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6AD2" w14:textId="77777777" w:rsidR="00BD2193" w:rsidRDefault="00BD2193" w:rsidP="00BD2193">
      <w:r>
        <w:rPr>
          <w:noProof/>
        </w:rPr>
        <w:drawing>
          <wp:anchor distT="0" distB="0" distL="114300" distR="114300" simplePos="0" relativeHeight="251709446" behindDoc="1" locked="0" layoutInCell="1" allowOverlap="1" wp14:anchorId="0FDA425F" wp14:editId="4330FA79">
            <wp:simplePos x="0" y="0"/>
            <wp:positionH relativeFrom="page">
              <wp:posOffset>-11069</wp:posOffset>
            </wp:positionH>
            <wp:positionV relativeFrom="page">
              <wp:posOffset>-38100</wp:posOffset>
            </wp:positionV>
            <wp:extent cx="7619913" cy="10778490"/>
            <wp:effectExtent l="0" t="0" r="63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Pr>
          <w:noProof/>
        </w:rPr>
        <w:drawing>
          <wp:anchor distT="0" distB="0" distL="114300" distR="114300" simplePos="0" relativeHeight="251706374" behindDoc="0" locked="0" layoutInCell="1" allowOverlap="1" wp14:anchorId="4905C421" wp14:editId="7D420D76">
            <wp:simplePos x="0" y="0"/>
            <wp:positionH relativeFrom="margin">
              <wp:posOffset>0</wp:posOffset>
            </wp:positionH>
            <wp:positionV relativeFrom="page">
              <wp:posOffset>1440180</wp:posOffset>
            </wp:positionV>
            <wp:extent cx="1413510" cy="723265"/>
            <wp:effectExtent l="19050" t="0" r="0" b="0"/>
            <wp:wrapSquare wrapText="bothSides"/>
            <wp:docPr id="9" name="Picture 9"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2124340437"/>
        <w:docPartObj>
          <w:docPartGallery w:val="Cover Pages"/>
          <w:docPartUnique/>
        </w:docPartObj>
      </w:sdtPr>
      <w:sdtEndPr>
        <w:rPr>
          <w:rFonts w:asciiTheme="majorHAnsi" w:eastAsia="Times New Roman" w:hAnsiTheme="majorHAnsi"/>
          <w:sz w:val="36"/>
          <w:szCs w:val="40"/>
        </w:rPr>
      </w:sdtEndPr>
      <w:sdtContent>
        <w:p w14:paraId="4702E908" w14:textId="77777777" w:rsidR="00BD2193" w:rsidRDefault="00BD2193" w:rsidP="00BD2193"/>
        <w:p w14:paraId="55B2C394" w14:textId="77777777" w:rsidR="00BD2193" w:rsidRDefault="00BD2193" w:rsidP="00BD2193">
          <w:pPr>
            <w:pStyle w:val="Heading1"/>
            <w:rPr>
              <w:rFonts w:asciiTheme="majorHAnsi" w:eastAsia="Times New Roman" w:hAnsiTheme="majorHAnsi"/>
              <w:caps w:val="0"/>
              <w:noProof/>
              <w:sz w:val="36"/>
              <w:szCs w:val="40"/>
            </w:rPr>
          </w:pPr>
          <w:r>
            <w:rPr>
              <w:rFonts w:asciiTheme="majorHAnsi" w:eastAsia="Times New Roman" w:hAnsiTheme="majorHAnsi"/>
              <w:caps w:val="0"/>
              <w:noProof/>
              <w:sz w:val="36"/>
              <w:szCs w:val="40"/>
            </w:rPr>
            <mc:AlternateContent>
              <mc:Choice Requires="wps">
                <w:drawing>
                  <wp:anchor distT="0" distB="0" distL="114300" distR="114300" simplePos="0" relativeHeight="251707398" behindDoc="0" locked="0" layoutInCell="1" allowOverlap="1" wp14:anchorId="6A0B6226" wp14:editId="51C1366D">
                    <wp:simplePos x="0" y="0"/>
                    <wp:positionH relativeFrom="margin">
                      <wp:posOffset>-214631</wp:posOffset>
                    </wp:positionH>
                    <wp:positionV relativeFrom="page">
                      <wp:posOffset>3771900</wp:posOffset>
                    </wp:positionV>
                    <wp:extent cx="4162425" cy="35941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D532" w14:textId="3DA747B1" w:rsidR="00BD2193" w:rsidRDefault="00B44108" w:rsidP="00B44108">
                                <w:pPr>
                                  <w:pStyle w:val="Title"/>
                                  <w:rPr>
                                    <w:color w:val="FFFFFF"/>
                                  </w:rPr>
                                </w:pPr>
                                <w:r>
                                  <w:rPr>
                                    <w:color w:val="FFFFFF"/>
                                  </w:rPr>
                                  <w:t xml:space="preserve">Mental Health NGO Subsector Commissioning: </w:t>
                                </w:r>
                                <w:r>
                                  <w:rPr>
                                    <w:color w:val="FFFFFF"/>
                                  </w:rPr>
                                  <w:br/>
                                  <w:t xml:space="preserve">Feedback Paper </w:t>
                                </w:r>
                              </w:p>
                              <w:p w14:paraId="6EDAA3B9" w14:textId="77777777" w:rsidR="00BD2193" w:rsidRDefault="00BD2193" w:rsidP="00BD2193">
                                <w:pPr>
                                  <w:pStyle w:val="Subtitle"/>
                                  <w:rPr>
                                    <w:color w:val="FFFFFF"/>
                                  </w:rPr>
                                </w:pPr>
                              </w:p>
                              <w:p w14:paraId="54C7D1C3" w14:textId="77777777" w:rsidR="00BD2193" w:rsidRDefault="00BD2193" w:rsidP="00BD2193">
                                <w:pPr>
                                  <w:pStyle w:val="Subtitle"/>
                                  <w:rPr>
                                    <w:color w:val="FFFFFF"/>
                                  </w:rPr>
                                </w:pPr>
                                <w:r>
                                  <w:rPr>
                                    <w:color w:val="FFFFFF"/>
                                  </w:rPr>
                                  <w:t>LGBTIQA+</w:t>
                                </w:r>
                              </w:p>
                              <w:p w14:paraId="10C712DD" w14:textId="77777777" w:rsidR="00BD2193" w:rsidRPr="001025D3" w:rsidRDefault="00BD2193" w:rsidP="00BD2193">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B6226" id="_x0000_t202" coordsize="21600,21600" o:spt="202" path="m,l,21600r21600,l21600,xe">
                    <v:stroke joinstyle="miter"/>
                    <v:path gradientshapeok="t" o:connecttype="rect"/>
                  </v:shapetype>
                  <v:shape id="Text Box 1" o:spid="_x0000_s1026" type="#_x0000_t202" style="position:absolute;margin-left:-16.9pt;margin-top:297pt;width:327.75pt;height:283pt;z-index:25170739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2F97D532" w14:textId="3DA747B1" w:rsidR="00BD2193" w:rsidRDefault="00B44108" w:rsidP="00B44108">
                          <w:pPr>
                            <w:pStyle w:val="Title"/>
                            <w:rPr>
                              <w:color w:val="FFFFFF"/>
                            </w:rPr>
                          </w:pPr>
                          <w:r>
                            <w:rPr>
                              <w:color w:val="FFFFFF"/>
                            </w:rPr>
                            <w:t xml:space="preserve">Mental Health NGO Subsector Commissioning: </w:t>
                          </w:r>
                          <w:r>
                            <w:rPr>
                              <w:color w:val="FFFFFF"/>
                            </w:rPr>
                            <w:br/>
                            <w:t xml:space="preserve">Feedback Paper </w:t>
                          </w:r>
                        </w:p>
                        <w:p w14:paraId="6EDAA3B9" w14:textId="77777777" w:rsidR="00BD2193" w:rsidRDefault="00BD2193" w:rsidP="00BD2193">
                          <w:pPr>
                            <w:pStyle w:val="Subtitle"/>
                            <w:rPr>
                              <w:color w:val="FFFFFF"/>
                            </w:rPr>
                          </w:pPr>
                        </w:p>
                        <w:p w14:paraId="54C7D1C3" w14:textId="77777777" w:rsidR="00BD2193" w:rsidRDefault="00BD2193" w:rsidP="00BD2193">
                          <w:pPr>
                            <w:pStyle w:val="Subtitle"/>
                            <w:rPr>
                              <w:color w:val="FFFFFF"/>
                            </w:rPr>
                          </w:pPr>
                          <w:r>
                            <w:rPr>
                              <w:color w:val="FFFFFF"/>
                            </w:rPr>
                            <w:t>LGBTIQA+</w:t>
                          </w:r>
                        </w:p>
                        <w:p w14:paraId="10C712DD" w14:textId="77777777" w:rsidR="00BD2193" w:rsidRPr="001025D3" w:rsidRDefault="00BD2193" w:rsidP="00BD2193">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Pr>
              <w:rFonts w:asciiTheme="majorHAnsi" w:eastAsia="Times New Roman" w:hAnsiTheme="majorHAnsi"/>
              <w:caps w:val="0"/>
              <w:noProof/>
              <w:sz w:val="36"/>
              <w:szCs w:val="40"/>
            </w:rPr>
            <mc:AlternateContent>
              <mc:Choice Requires="wps">
                <w:drawing>
                  <wp:anchor distT="0" distB="0" distL="114300" distR="114300" simplePos="0" relativeHeight="251708422" behindDoc="0" locked="0" layoutInCell="1" allowOverlap="1" wp14:anchorId="7C51DFA4" wp14:editId="6BFD93EE">
                    <wp:simplePos x="0" y="0"/>
                    <wp:positionH relativeFrom="margin">
                      <wp:posOffset>-210185</wp:posOffset>
                    </wp:positionH>
                    <wp:positionV relativeFrom="page">
                      <wp:posOffset>7810500</wp:posOffset>
                    </wp:positionV>
                    <wp:extent cx="2605405" cy="916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A680" w14:textId="77777777" w:rsidR="00BD2193" w:rsidRPr="001025D3" w:rsidRDefault="00BD2193" w:rsidP="00BD2193">
                                <w:pPr>
                                  <w:pStyle w:val="Intro"/>
                                  <w:rPr>
                                    <w:color w:val="FFFFFF"/>
                                  </w:rPr>
                                </w:pPr>
                                <w:r w:rsidRPr="000016B9">
                                  <w:rPr>
                                    <w:color w:val="FFFFFF"/>
                                  </w:rPr>
                                  <w:br/>
                                </w:r>
                                <w:r>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51DFA4" id="Text Box 3" o:spid="_x0000_s1027" type="#_x0000_t202" style="position:absolute;margin-left:-16.55pt;margin-top:615pt;width:205.15pt;height:72.2pt;z-index:25170842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5C12A680" w14:textId="77777777" w:rsidR="00BD2193" w:rsidRPr="001025D3" w:rsidRDefault="00BD2193" w:rsidP="00BD2193">
                          <w:pPr>
                            <w:pStyle w:val="Intro"/>
                            <w:rPr>
                              <w:color w:val="FFFFFF"/>
                            </w:rPr>
                          </w:pPr>
                          <w:r w:rsidRPr="000016B9">
                            <w:rPr>
                              <w:color w:val="FFFFFF"/>
                            </w:rPr>
                            <w:br/>
                          </w:r>
                          <w:r>
                            <w:rPr>
                              <w:color w:val="FFFFFF"/>
                            </w:rPr>
                            <w:t>ACT Commissioning for Outcomes 2022- 2024</w:t>
                          </w:r>
                        </w:p>
                      </w:txbxContent>
                    </v:textbox>
                    <w10:wrap anchorx="margin" anchory="page"/>
                  </v:shape>
                </w:pict>
              </mc:Fallback>
            </mc:AlternateContent>
          </w:r>
          <w:r>
            <w:rPr>
              <w:rFonts w:asciiTheme="majorHAnsi" w:eastAsia="Times New Roman" w:hAnsiTheme="majorHAnsi"/>
              <w:noProof/>
              <w:sz w:val="36"/>
              <w:szCs w:val="40"/>
            </w:rPr>
            <w:br w:type="page"/>
          </w:r>
        </w:p>
      </w:sdtContent>
    </w:sdt>
    <w:bookmarkStart w:id="0" w:name="_Toc135994156"/>
    <w:p w14:paraId="4605DF47" w14:textId="77777777" w:rsidR="00BD2193" w:rsidRDefault="00BD2193" w:rsidP="00290686">
      <w:pPr>
        <w:pStyle w:val="Heading1"/>
      </w:pPr>
      <w:r>
        <w:rPr>
          <w:rFonts w:asciiTheme="majorHAnsi" w:eastAsia="Times New Roman" w:hAnsiTheme="majorHAnsi"/>
          <w:caps w:val="0"/>
          <w:noProof/>
          <w:sz w:val="36"/>
          <w:szCs w:val="40"/>
        </w:rPr>
        <w:lastRenderedPageBreak/>
        <mc:AlternateContent>
          <mc:Choice Requires="wps">
            <w:drawing>
              <wp:anchor distT="0" distB="0" distL="114300" distR="114300" simplePos="0" relativeHeight="251711494" behindDoc="0" locked="0" layoutInCell="1" allowOverlap="1" wp14:anchorId="700C235E" wp14:editId="69610EC4">
                <wp:simplePos x="0" y="0"/>
                <wp:positionH relativeFrom="margin">
                  <wp:posOffset>-367030</wp:posOffset>
                </wp:positionH>
                <wp:positionV relativeFrom="paragraph">
                  <wp:posOffset>635</wp:posOffset>
                </wp:positionV>
                <wp:extent cx="6720840" cy="8763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720840" cy="876300"/>
                        </a:xfrm>
                        <a:prstGeom prst="rect">
                          <a:avLst/>
                        </a:prstGeom>
                        <a:noFill/>
                        <a:ln w="6350">
                          <a:noFill/>
                        </a:ln>
                      </wps:spPr>
                      <wps:txbx>
                        <w:txbxContent>
                          <w:p w14:paraId="65E15923" w14:textId="5AB4F6A8" w:rsidR="00BD2193" w:rsidRPr="00313E03" w:rsidRDefault="00BD2193" w:rsidP="00313E03">
                            <w:pPr>
                              <w:jc w:val="center"/>
                              <w:rPr>
                                <w:color w:val="FFFFFF" w:themeColor="background1"/>
                                <w:vertAlign w:val="superscript"/>
                              </w:rPr>
                            </w:pPr>
                            <w:r w:rsidRPr="00BD2193">
                              <w:rPr>
                                <w:b/>
                                <w:bCs/>
                                <w:i/>
                                <w:iCs/>
                                <w:color w:val="352168" w:themeColor="background2" w:themeShade="BF"/>
                              </w:rPr>
                              <w:t xml:space="preserve">“In popular culture LGBTI refers to sexual orientation, gender identity/history and intersex status and has also been used to mean anyone who is not cis-gendered (not their birth gender) or heterosexual (attracted to someone of the opposite sex, defined on a binary as ether female or male). Not everyone in the LGBTI community fits neatly within one of the letter categories and people’s affections, affiliations, and identity may move over time as they and the society around them changes.” </w:t>
                            </w:r>
                            <w:r w:rsidR="00A60CC7">
                              <w:rPr>
                                <w:b/>
                                <w:bCs/>
                                <w:color w:val="352168" w:themeColor="background2" w:themeShade="BF"/>
                              </w:rPr>
                              <w:t>– National LGBTI Health Alliance</w:t>
                            </w:r>
                            <w:r w:rsidR="00BA6020">
                              <w:rPr>
                                <w:b/>
                                <w:bCs/>
                                <w:color w:val="352168" w:themeColor="background2" w:themeShade="BF"/>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C235E" id="Text Box 11" o:spid="_x0000_s1028" type="#_x0000_t202" style="position:absolute;margin-left:-28.9pt;margin-top:.05pt;width:529.2pt;height:69pt;z-index:2517114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1JGgIAADMEAAAOAAAAZHJzL2Uyb0RvYy54bWysU01vGyEQvVfqf0Dc6107juOsvI7cRK4q&#10;WUkkp8oZs+BdCRgK2Lvur+/A+ktpT1UvMPCG+XhvmD10WpG9cL4BU9LhIKdEGA5VY7Yl/fG2/DKl&#10;xAdmKqbAiJIehKcP88+fZq0txAhqUJVwBIMYX7S2pHUItsgyz2uhmR+AFQZBCU6zgEe3zSrHWoyu&#10;VTbK80nWgqusAy68x9unHqTzFF9KwcOLlF4EokqKtYW0urRu4prNZ6zYOmbrhh/LYP9QhWaNwaTn&#10;UE8sMLJzzR+hdMMdeJBhwEFnIGXDReoBuxnmH7pZ18yK1AuS4+2ZJv//wvLn/dq+OhK6r9ChgJGQ&#10;1vrC42Xsp5NOxx0rJYgjhYczbaILhOPl5G6UT8cIccSmd5ObPPGaXV5b58M3AZpEo6QOZUlssf3K&#10;B8yIrieXmMzAslEqSaMMaTHDzW2eHpwRfKEMPrzUGq3QbTrSVCUdnfrYQHXA9hz0ynvLlw3WsGI+&#10;vDKHUmPZOL7hBRepAHPB0aKkBvfrb/fRHxVAlJIWR6ek/ueOOUGJ+m5Qm/vhOLIR0mF8i+xQ4q6R&#10;zTVidvoRcDqH+FEsT2b0D+pkSgf6Had8EbMixAzH3CUNJ/Mx9AONv4SLxSI54XRZFlZmbXkMHVmN&#10;DL9178zZowwBBXyG05Cx4oMavW+vx2IXQDZJqshzz+qRfpzMpODxF8XRvz4nr8tfn/8GAAD//wMA&#10;UEsDBBQABgAIAAAAIQCgHVb43gAAAAkBAAAPAAAAZHJzL2Rvd25yZXYueG1sTI9NS8NAEIbvgv9h&#10;GcFbu2mlGmI2pQSKIHpo7cXbJDtNgvsRs9s2+uudnOxthmd432fy9WiNONMQOu8ULOYJCHK1151r&#10;FBw+trMURIjoNBrvSMEPBVgXtzc5Ztpf3I7O+9gIDnEhQwVtjH0mZahbshjmvifH7OgHi5HXoZF6&#10;wAuHWyOXSfIoLXaOG1rsqWyp/tqfrILXcvuOu2pp019TvrwdN/334XOl1P3duHkGEWmM/8cw6bM6&#10;FOxU+ZPTQRgFs9UTq8cJiAkn3Aai4ukhXYAscnn9QfEHAAD//wMAUEsBAi0AFAAGAAgAAAAhALaD&#10;OJL+AAAA4QEAABMAAAAAAAAAAAAAAAAAAAAAAFtDb250ZW50X1R5cGVzXS54bWxQSwECLQAUAAYA&#10;CAAAACEAOP0h/9YAAACUAQAACwAAAAAAAAAAAAAAAAAvAQAAX3JlbHMvLnJlbHNQSwECLQAUAAYA&#10;CAAAACEAgH09SRoCAAAzBAAADgAAAAAAAAAAAAAAAAAuAgAAZHJzL2Uyb0RvYy54bWxQSwECLQAU&#10;AAYACAAAACEAoB1W+N4AAAAJAQAADwAAAAAAAAAAAAAAAAB0BAAAZHJzL2Rvd25yZXYueG1sUEsF&#10;BgAAAAAEAAQA8wAAAH8FAAAAAA==&#10;" filled="f" stroked="f" strokeweight=".5pt">
                <v:textbox>
                  <w:txbxContent>
                    <w:p w14:paraId="65E15923" w14:textId="5AB4F6A8" w:rsidR="00BD2193" w:rsidRPr="00313E03" w:rsidRDefault="00BD2193" w:rsidP="00313E03">
                      <w:pPr>
                        <w:jc w:val="center"/>
                        <w:rPr>
                          <w:color w:val="FFFFFF" w:themeColor="background1"/>
                          <w:vertAlign w:val="superscript"/>
                        </w:rPr>
                      </w:pPr>
                      <w:r w:rsidRPr="00BD2193">
                        <w:rPr>
                          <w:b/>
                          <w:bCs/>
                          <w:i/>
                          <w:iCs/>
                          <w:color w:val="352168" w:themeColor="background2" w:themeShade="BF"/>
                        </w:rPr>
                        <w:t xml:space="preserve">“In popular culture LGBTI refers to sexual orientation, gender identity/history and intersex status and has also been used to mean anyone who is not cis-gendered (not their birth gender) or heterosexual (attracted to someone of the opposite sex, defined on a binary as ether female or male). Not everyone in the LGBTI community fits neatly within one of the letter categories and people’s affections, affiliations, and identity may move over time as they and the society around them changes.” </w:t>
                      </w:r>
                      <w:r w:rsidR="00A60CC7">
                        <w:rPr>
                          <w:b/>
                          <w:bCs/>
                          <w:color w:val="352168" w:themeColor="background2" w:themeShade="BF"/>
                        </w:rPr>
                        <w:t>– National LGBTI Health Alliance</w:t>
                      </w:r>
                      <w:r w:rsidR="00BA6020">
                        <w:rPr>
                          <w:b/>
                          <w:bCs/>
                          <w:color w:val="352168" w:themeColor="background2" w:themeShade="BF"/>
                          <w:vertAlign w:val="superscript"/>
                        </w:rPr>
                        <w:t>1</w:t>
                      </w:r>
                    </w:p>
                  </w:txbxContent>
                </v:textbox>
                <w10:wrap anchorx="margin"/>
              </v:shape>
            </w:pict>
          </mc:Fallback>
        </mc:AlternateContent>
      </w:r>
    </w:p>
    <w:p w14:paraId="6A5390D0" w14:textId="77777777" w:rsidR="00BD2193" w:rsidRDefault="00BD2193" w:rsidP="00290686">
      <w:pPr>
        <w:pStyle w:val="Heading1"/>
      </w:pPr>
    </w:p>
    <w:p w14:paraId="22E77C97" w14:textId="77777777" w:rsidR="00F1103B" w:rsidRPr="00290686" w:rsidRDefault="002D4016" w:rsidP="00290686">
      <w:pPr>
        <w:pStyle w:val="Heading1"/>
      </w:pPr>
      <w:r>
        <w:t>What we</w:t>
      </w:r>
      <w:r w:rsidR="00FF4348">
        <w:t xml:space="preserve"> know</w:t>
      </w:r>
      <w:bookmarkEnd w:id="0"/>
      <w:r w:rsidR="00386CF0">
        <w:t xml:space="preserve"> </w:t>
      </w:r>
    </w:p>
    <w:p w14:paraId="25A37E74" w14:textId="3AF92491" w:rsidR="006D498E" w:rsidRDefault="00BD2193" w:rsidP="008314BD">
      <w:pPr>
        <w:spacing w:before="120" w:after="120"/>
      </w:pPr>
      <w:r>
        <w:t xml:space="preserve">The LGBTIQA+ community </w:t>
      </w:r>
      <w:r w:rsidR="00087C99">
        <w:t xml:space="preserve">is a broad, widely varied and ever-changing community. It </w:t>
      </w:r>
      <w:r>
        <w:t xml:space="preserve">is inclusive of all individuals who are lesbian, gay, bisexual, transgender, queer, intersex, asexual and the ‘+’ (plus) refers to various expressions of sexual, gender, relationship and bodily diversity. </w:t>
      </w:r>
      <w:r w:rsidR="006D5884" w:rsidRPr="006D5884">
        <w:t>The term ‘LGBT</w:t>
      </w:r>
      <w:r w:rsidR="00910E1E">
        <w:t>IQ</w:t>
      </w:r>
      <w:r w:rsidR="006D5884" w:rsidRPr="006D5884">
        <w:t>A+’ refers to a wide, varied community that is ever changing. Consultation has highlighted the need for inclusive services that can support our fellow LGBT</w:t>
      </w:r>
      <w:r w:rsidR="00910E1E">
        <w:t>IQ</w:t>
      </w:r>
      <w:r w:rsidR="006D5884" w:rsidRPr="006D5884">
        <w:t>A+ identifying Canberrans</w:t>
      </w:r>
      <w:r w:rsidR="00632963">
        <w:t xml:space="preserve">. </w:t>
      </w:r>
      <w:r w:rsidR="00631D08">
        <w:t xml:space="preserve">This community is </w:t>
      </w:r>
      <w:proofErr w:type="gramStart"/>
      <w:r w:rsidR="00631D08">
        <w:t>broad</w:t>
      </w:r>
      <w:proofErr w:type="gramEnd"/>
      <w:r w:rsidR="00631D08">
        <w:t xml:space="preserve"> and each</w:t>
      </w:r>
      <w:r w:rsidR="00743D22">
        <w:t xml:space="preserve"> individual </w:t>
      </w:r>
      <w:r w:rsidR="00F63887">
        <w:t>cohort</w:t>
      </w:r>
      <w:r w:rsidR="00743D22">
        <w:t xml:space="preserve"> </w:t>
      </w:r>
      <w:r w:rsidR="00CB04EE">
        <w:t xml:space="preserve">has </w:t>
      </w:r>
      <w:r w:rsidR="00087C99">
        <w:t>distinct</w:t>
      </w:r>
      <w:r w:rsidR="00CB04EE">
        <w:t xml:space="preserve"> challenges, experiences and needs.</w:t>
      </w:r>
    </w:p>
    <w:p w14:paraId="343738A9" w14:textId="2F90D009" w:rsidR="006C509A" w:rsidRDefault="00087C99" w:rsidP="00BD2193">
      <w:pPr>
        <w:spacing w:after="120"/>
      </w:pPr>
      <w:r>
        <w:t xml:space="preserve">Compared to the general population, </w:t>
      </w:r>
      <w:r w:rsidR="00F70C73">
        <w:t>LGBT</w:t>
      </w:r>
      <w:r w:rsidR="00910E1E">
        <w:t>I</w:t>
      </w:r>
      <w:r w:rsidR="00F70C73">
        <w:t>QA+ people</w:t>
      </w:r>
      <w:r w:rsidR="003E24D2">
        <w:t xml:space="preserve"> are nearly six times more likely to experience and be diagnosed with depression</w:t>
      </w:r>
      <w:r w:rsidR="00BD2996">
        <w:t xml:space="preserve"> and young LGBT</w:t>
      </w:r>
      <w:r w:rsidR="00910E1E">
        <w:t>I</w:t>
      </w:r>
      <w:r w:rsidR="00BD2996">
        <w:t xml:space="preserve">QA+ people </w:t>
      </w:r>
      <w:r>
        <w:t>(</w:t>
      </w:r>
      <w:r w:rsidR="00BD2996">
        <w:t>aged 16 to 28</w:t>
      </w:r>
      <w:r>
        <w:t>)</w:t>
      </w:r>
      <w:r w:rsidR="00BD2996">
        <w:t xml:space="preserve"> are five times more likely to have attempted suicide than the general population</w:t>
      </w:r>
      <w:r w:rsidR="00666761">
        <w:rPr>
          <w:vertAlign w:val="superscript"/>
        </w:rPr>
        <w:t>2</w:t>
      </w:r>
      <w:r w:rsidR="00BD2996">
        <w:t>.</w:t>
      </w:r>
      <w:r w:rsidR="00812E9E">
        <w:t xml:space="preserve"> </w:t>
      </w:r>
      <w:r w:rsidR="00C605A5">
        <w:t>While there are no exact statistics, research suggests that as many as 11 in 100 Australians may have a diverse sexual orientation, sex or gender identity</w:t>
      </w:r>
      <w:r w:rsidR="00C605A5">
        <w:rPr>
          <w:vertAlign w:val="superscript"/>
        </w:rPr>
        <w:t>3</w:t>
      </w:r>
      <w:r w:rsidR="00C605A5">
        <w:t xml:space="preserve">. </w:t>
      </w:r>
      <w:r w:rsidR="00241F69">
        <w:t xml:space="preserve">However, despite the </w:t>
      </w:r>
      <w:proofErr w:type="gramStart"/>
      <w:r w:rsidR="006C509A">
        <w:t>higher than average</w:t>
      </w:r>
      <w:proofErr w:type="gramEnd"/>
      <w:r w:rsidR="006C509A">
        <w:t xml:space="preserve"> rates of mental illness, LGBT</w:t>
      </w:r>
      <w:r w:rsidR="00910E1E">
        <w:t>I</w:t>
      </w:r>
      <w:r w:rsidR="006C509A">
        <w:t>QA+ people are underrepresented in mental health and suicide prevention services</w:t>
      </w:r>
      <w:r w:rsidR="00241F69">
        <w:rPr>
          <w:vertAlign w:val="superscript"/>
        </w:rPr>
        <w:t>4</w:t>
      </w:r>
      <w:r w:rsidR="006C509A">
        <w:t xml:space="preserve">. Though this </w:t>
      </w:r>
      <w:r>
        <w:t>may</w:t>
      </w:r>
      <w:r w:rsidR="006C509A">
        <w:t xml:space="preserve"> be due to </w:t>
      </w:r>
      <w:r>
        <w:t>a lack of personal disclosure, among other potential reasons</w:t>
      </w:r>
      <w:r w:rsidR="006C509A">
        <w:t xml:space="preserve">, </w:t>
      </w:r>
      <w:r>
        <w:t>it represents a concerning divide.</w:t>
      </w:r>
      <w:r w:rsidR="006C509A">
        <w:t xml:space="preserve"> </w:t>
      </w:r>
    </w:p>
    <w:p w14:paraId="0A1219D9" w14:textId="7D236509" w:rsidR="00812E9E" w:rsidRDefault="00666761" w:rsidP="00BD2193">
      <w:pPr>
        <w:spacing w:after="120"/>
        <w:rPr>
          <w:color w:val="FF0000"/>
        </w:rPr>
      </w:pPr>
      <w:r>
        <w:rPr>
          <w:noProof/>
        </w:rPr>
        <mc:AlternateContent>
          <mc:Choice Requires="wps">
            <w:drawing>
              <wp:anchor distT="45720" distB="45720" distL="114300" distR="114300" simplePos="0" relativeHeight="251681798" behindDoc="0" locked="0" layoutInCell="1" allowOverlap="1" wp14:anchorId="34C54992" wp14:editId="29329A9D">
                <wp:simplePos x="0" y="0"/>
                <wp:positionH relativeFrom="margin">
                  <wp:posOffset>0</wp:posOffset>
                </wp:positionH>
                <wp:positionV relativeFrom="paragraph">
                  <wp:posOffset>845820</wp:posOffset>
                </wp:positionV>
                <wp:extent cx="5815330" cy="967740"/>
                <wp:effectExtent l="0" t="0" r="1397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967740"/>
                        </a:xfrm>
                        <a:prstGeom prst="rect">
                          <a:avLst/>
                        </a:prstGeom>
                        <a:solidFill>
                          <a:schemeClr val="bg2">
                            <a:lumMod val="20000"/>
                            <a:lumOff val="80000"/>
                          </a:schemeClr>
                        </a:solidFill>
                        <a:ln w="9525">
                          <a:solidFill>
                            <a:schemeClr val="bg2"/>
                          </a:solidFill>
                          <a:miter lim="800000"/>
                          <a:headEnd/>
                          <a:tailEnd/>
                        </a:ln>
                      </wps:spPr>
                      <wps:txbx>
                        <w:txbxContent>
                          <w:p w14:paraId="67D6C4FE" w14:textId="2716F665" w:rsidR="007E58A5" w:rsidRPr="00BD2193" w:rsidRDefault="00BD2193" w:rsidP="00977184">
                            <w:pPr>
                              <w:spacing w:after="0"/>
                              <w:rPr>
                                <w:b/>
                                <w:bCs/>
                              </w:rPr>
                            </w:pPr>
                            <w:r>
                              <w:rPr>
                                <w:b/>
                                <w:bCs/>
                              </w:rPr>
                              <w:t xml:space="preserve">Question: </w:t>
                            </w:r>
                            <w:r w:rsidR="00087C99">
                              <w:rPr>
                                <w:b/>
                                <w:bCs/>
                              </w:rPr>
                              <w:t xml:space="preserve">What steps could be taken by community NGO services to indicate </w:t>
                            </w:r>
                            <w:r w:rsidR="00F55719">
                              <w:rPr>
                                <w:b/>
                                <w:bCs/>
                              </w:rPr>
                              <w:t xml:space="preserve">or provide </w:t>
                            </w:r>
                            <w:r w:rsidR="00087C99">
                              <w:rPr>
                                <w:b/>
                                <w:bCs/>
                              </w:rPr>
                              <w:t xml:space="preserve">safe and inclusive environments, to increase engagement with LGBTIQA+ people? </w:t>
                            </w:r>
                          </w:p>
                          <w:p w14:paraId="35502D19" w14:textId="77777777" w:rsidR="004C38B2" w:rsidRPr="00BD2193" w:rsidRDefault="004C38B2" w:rsidP="00BD2193">
                            <w:pPr>
                              <w:spacing w:after="0"/>
                              <w:contextualSpacing/>
                              <w:rPr>
                                <w:b/>
                                <w:bCs/>
                              </w:rPr>
                            </w:pPr>
                            <w:r w:rsidRPr="00BD2193">
                              <w:rPr>
                                <w:b/>
                                <w:bCs/>
                              </w:rPr>
                              <w:t xml:space="preserve">For example: </w:t>
                            </w:r>
                          </w:p>
                          <w:p w14:paraId="079D54C8" w14:textId="4767C6F6" w:rsidR="00A05D79" w:rsidRPr="00BD2193" w:rsidRDefault="00A62AFB" w:rsidP="00A05D79">
                            <w:pPr>
                              <w:pStyle w:val="ListParagraph"/>
                              <w:numPr>
                                <w:ilvl w:val="0"/>
                                <w:numId w:val="23"/>
                              </w:numPr>
                              <w:rPr>
                                <w:b/>
                                <w:bCs/>
                              </w:rPr>
                            </w:pPr>
                            <w:r w:rsidRPr="00BD2193">
                              <w:rPr>
                                <w:b/>
                                <w:bCs/>
                              </w:rPr>
                              <w:t xml:space="preserve">Displaying pride flags on service websites </w:t>
                            </w:r>
                            <w:r w:rsidR="00F55719">
                              <w:rPr>
                                <w:b/>
                                <w:bCs/>
                              </w:rPr>
                              <w:t>and in offices</w:t>
                            </w:r>
                          </w:p>
                          <w:p w14:paraId="39CA22B8" w14:textId="5EA3EB2A" w:rsidR="00F44D27" w:rsidRPr="00BD2193" w:rsidRDefault="00F55719" w:rsidP="0073274E">
                            <w:pPr>
                              <w:pStyle w:val="ListParagraph"/>
                              <w:numPr>
                                <w:ilvl w:val="0"/>
                                <w:numId w:val="23"/>
                              </w:numPr>
                              <w:rPr>
                                <w:b/>
                                <w:bCs/>
                              </w:rPr>
                            </w:pPr>
                            <w:r>
                              <w:rPr>
                                <w:b/>
                                <w:bCs/>
                              </w:rPr>
                              <w:t>Using</w:t>
                            </w:r>
                            <w:r w:rsidR="007C3C22" w:rsidRPr="00BD2193">
                              <w:rPr>
                                <w:b/>
                                <w:bCs/>
                              </w:rPr>
                              <w:t xml:space="preserve"> appropriate and inclusive language </w:t>
                            </w:r>
                          </w:p>
                          <w:p w14:paraId="1AA2D12D" w14:textId="77777777" w:rsidR="00974FBF" w:rsidRPr="00A3761E" w:rsidRDefault="00974FBF" w:rsidP="00C353E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54992" id="Text Box 2" o:spid="_x0000_s1029" type="#_x0000_t202" style="position:absolute;margin-left:0;margin-top:66.6pt;width:457.9pt;height:76.2pt;z-index:2516817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kDMAIAAF8EAAAOAAAAZHJzL2Uyb0RvYy54bWysVNuO2yAQfa/Uf0C8N851N2vFWW2z3arS&#10;9iJt+wEY4xgVGAokdvr1O2Dn1r5VfUEwY86cOWfw6r7TiuyF8xJMQSejMSXCcKik2Rb0x/end0tK&#10;fGCmYgqMKOhBeHq/fvtm1dpcTKEBVQlHEMT4vLUFbUKweZZ53gjN/AisMJiswWkW8Oi2WeVYi+ha&#10;ZdPx+CZrwVXWARfeY/SxT9J1wq9rwcPXuvYiEFVQ5BbS6tJaxjVbr1i+dcw2kg802D+w0EwaLHqC&#10;emSBkZ2Tf0FpyR14qMOIg86griUXqQfsZjL+o5uXhlmRekFxvD3J5P8fLP+yf7HfHAnde+jQwNSE&#10;t8/Af3piYNMwsxUPzkHbCFZh4UmULGutz4erUWqf+whStp+hQpPZLkAC6mqnoyrYJ0F0NOBwEl10&#10;gXAMLpaTxWyGKY65u5vb23lyJWP58bZ1PnwUoEncFNShqQmd7Z99iGxYfvwkFvOgZPUklUqHOEhi&#10;oxzZMxyBcjtNV9VOI9U+hmM0HgYBwzgufXh5DCN8GseIkopdFVCGtMh7MV0k4Kvc6dq5eE/36ist&#10;Az4BJXVBU82BS9T7g6nSgAYmVb9HMsoMBkTNe/VDV3ZEVgWdRXeiHyVUB3TEQT/x+EJx04D7TUmL&#10;015Q/2vHnKBEfTLo6t1kjrKTkA7zxe0UD+4yU15mmOEIVdBASb/dhPSkouAGHtD9WiZjzkwGyjjF&#10;ScLhxcVncnlOX53/C+tXAAAA//8DAFBLAwQUAAYACAAAACEAPMtnRd8AAAAIAQAADwAAAGRycy9k&#10;b3ducmV2LnhtbEyPy07DMBBF90j8gzVI3VHnoVYlxKmqCCp1wYLAB7jxNAnE4xC7acrXM6xgOXNH&#10;d87Jt7PtxYSj7xwpiJcRCKTamY4aBe9vz/cbED5oMrp3hAqu6GFb3N7kOjPuQq84VaERXEI+0wra&#10;EIZMSl+3aLVfugGJs5MbrQ48jo00o75wue1lEkVraXVH/KHVA5Yt1p/V2SqYniabfpWH3amuShvv&#10;o++XYf5QanE37x5BBJzD3zH84jM6FMx0dGcyXvQKWCTwNk0TEBw/xCs2OSpINqs1yCKX/wWKHwAA&#10;AP//AwBQSwECLQAUAAYACAAAACEAtoM4kv4AAADhAQAAEwAAAAAAAAAAAAAAAAAAAAAAW0NvbnRl&#10;bnRfVHlwZXNdLnhtbFBLAQItABQABgAIAAAAIQA4/SH/1gAAAJQBAAALAAAAAAAAAAAAAAAAAC8B&#10;AABfcmVscy8ucmVsc1BLAQItABQABgAIAAAAIQAr2QkDMAIAAF8EAAAOAAAAAAAAAAAAAAAAAC4C&#10;AABkcnMvZTJvRG9jLnhtbFBLAQItABQABgAIAAAAIQA8y2dF3wAAAAgBAAAPAAAAAAAAAAAAAAAA&#10;AIoEAABkcnMvZG93bnJldi54bWxQSwUGAAAAAAQABADzAAAAlgUAAAAA&#10;" fillcolor="#d7cdef [670]" strokecolor="#482d8c [3214]">
                <v:textbox>
                  <w:txbxContent>
                    <w:p w14:paraId="67D6C4FE" w14:textId="2716F665" w:rsidR="007E58A5" w:rsidRPr="00BD2193" w:rsidRDefault="00BD2193" w:rsidP="00977184">
                      <w:pPr>
                        <w:spacing w:after="0"/>
                        <w:rPr>
                          <w:b/>
                          <w:bCs/>
                        </w:rPr>
                      </w:pPr>
                      <w:r>
                        <w:rPr>
                          <w:b/>
                          <w:bCs/>
                        </w:rPr>
                        <w:t xml:space="preserve">Question: </w:t>
                      </w:r>
                      <w:r w:rsidR="00087C99">
                        <w:rPr>
                          <w:b/>
                          <w:bCs/>
                        </w:rPr>
                        <w:t xml:space="preserve">What steps could be taken by community NGO services to indicate </w:t>
                      </w:r>
                      <w:r w:rsidR="00F55719">
                        <w:rPr>
                          <w:b/>
                          <w:bCs/>
                        </w:rPr>
                        <w:t xml:space="preserve">or provide </w:t>
                      </w:r>
                      <w:r w:rsidR="00087C99">
                        <w:rPr>
                          <w:b/>
                          <w:bCs/>
                        </w:rPr>
                        <w:t xml:space="preserve">safe and inclusive environments, to increase engagement with LGBTIQA+ people? </w:t>
                      </w:r>
                    </w:p>
                    <w:p w14:paraId="35502D19" w14:textId="77777777" w:rsidR="004C38B2" w:rsidRPr="00BD2193" w:rsidRDefault="004C38B2" w:rsidP="00BD2193">
                      <w:pPr>
                        <w:spacing w:after="0"/>
                        <w:contextualSpacing/>
                        <w:rPr>
                          <w:b/>
                          <w:bCs/>
                        </w:rPr>
                      </w:pPr>
                      <w:r w:rsidRPr="00BD2193">
                        <w:rPr>
                          <w:b/>
                          <w:bCs/>
                        </w:rPr>
                        <w:t xml:space="preserve">For example: </w:t>
                      </w:r>
                    </w:p>
                    <w:p w14:paraId="079D54C8" w14:textId="4767C6F6" w:rsidR="00A05D79" w:rsidRPr="00BD2193" w:rsidRDefault="00A62AFB" w:rsidP="00A05D79">
                      <w:pPr>
                        <w:pStyle w:val="ListParagraph"/>
                        <w:numPr>
                          <w:ilvl w:val="0"/>
                          <w:numId w:val="23"/>
                        </w:numPr>
                        <w:rPr>
                          <w:b/>
                          <w:bCs/>
                        </w:rPr>
                      </w:pPr>
                      <w:r w:rsidRPr="00BD2193">
                        <w:rPr>
                          <w:b/>
                          <w:bCs/>
                        </w:rPr>
                        <w:t xml:space="preserve">Displaying pride flags on service websites </w:t>
                      </w:r>
                      <w:r w:rsidR="00F55719">
                        <w:rPr>
                          <w:b/>
                          <w:bCs/>
                        </w:rPr>
                        <w:t>and in offices</w:t>
                      </w:r>
                    </w:p>
                    <w:p w14:paraId="39CA22B8" w14:textId="5EA3EB2A" w:rsidR="00F44D27" w:rsidRPr="00BD2193" w:rsidRDefault="00F55719" w:rsidP="0073274E">
                      <w:pPr>
                        <w:pStyle w:val="ListParagraph"/>
                        <w:numPr>
                          <w:ilvl w:val="0"/>
                          <w:numId w:val="23"/>
                        </w:numPr>
                        <w:rPr>
                          <w:b/>
                          <w:bCs/>
                        </w:rPr>
                      </w:pPr>
                      <w:r>
                        <w:rPr>
                          <w:b/>
                          <w:bCs/>
                        </w:rPr>
                        <w:t>Using</w:t>
                      </w:r>
                      <w:r w:rsidR="007C3C22" w:rsidRPr="00BD2193">
                        <w:rPr>
                          <w:b/>
                          <w:bCs/>
                        </w:rPr>
                        <w:t xml:space="preserve"> appropriate and inclusive language </w:t>
                      </w:r>
                    </w:p>
                    <w:p w14:paraId="1AA2D12D" w14:textId="77777777" w:rsidR="00974FBF" w:rsidRPr="00A3761E" w:rsidRDefault="00974FBF" w:rsidP="00C353EE">
                      <w:pPr>
                        <w:rPr>
                          <w:b/>
                          <w:bCs/>
                        </w:rPr>
                      </w:pPr>
                    </w:p>
                  </w:txbxContent>
                </v:textbox>
                <w10:wrap type="square" anchorx="margin"/>
              </v:shape>
            </w:pict>
          </mc:Fallback>
        </mc:AlternateContent>
      </w:r>
      <w:r w:rsidR="00241F69">
        <w:t xml:space="preserve">As part of this, To explain </w:t>
      </w:r>
      <w:r w:rsidR="00125E50">
        <w:t>A 2019 study</w:t>
      </w:r>
      <w:r w:rsidR="00812E9E" w:rsidRPr="00460ECF">
        <w:t xml:space="preserve"> found that 71% of LGBTIQA+ participants did not engage with crisis mental health services due to an expectation that they would experience discrimination</w:t>
      </w:r>
      <w:r>
        <w:t>, either due to previous negative experiences or perceived stigma</w:t>
      </w:r>
      <w:r w:rsidR="00241F69">
        <w:rPr>
          <w:vertAlign w:val="superscript"/>
        </w:rPr>
        <w:t>5</w:t>
      </w:r>
      <w:r w:rsidR="00144E07" w:rsidRPr="00460ECF">
        <w:t xml:space="preserve">. The Productivity Commission equally found that </w:t>
      </w:r>
      <w:r w:rsidR="00B66458" w:rsidRPr="00460ECF">
        <w:t>LGBTI</w:t>
      </w:r>
      <w:r w:rsidR="00910E1E">
        <w:t>Q</w:t>
      </w:r>
      <w:r w:rsidR="00B66458" w:rsidRPr="00460ECF">
        <w:t xml:space="preserve">A+ Australians </w:t>
      </w:r>
      <w:r>
        <w:t xml:space="preserve">do not </w:t>
      </w:r>
      <w:r w:rsidR="00B66458" w:rsidRPr="00460ECF">
        <w:t xml:space="preserve">access </w:t>
      </w:r>
      <w:r>
        <w:t xml:space="preserve">or seek help from mental health services </w:t>
      </w:r>
      <w:r w:rsidR="00B66458" w:rsidRPr="00460ECF">
        <w:t xml:space="preserve">due to </w:t>
      </w:r>
      <w:r w:rsidR="00460ECF" w:rsidRPr="00460ECF">
        <w:t>perceived</w:t>
      </w:r>
      <w:r w:rsidR="00B66458" w:rsidRPr="00460ECF">
        <w:t xml:space="preserve"> and actual discrimination</w:t>
      </w:r>
      <w:r w:rsidR="00460ECF" w:rsidRPr="00460ECF">
        <w:t xml:space="preserve"> and stigma.</w:t>
      </w:r>
      <w:r w:rsidR="00241F69">
        <w:rPr>
          <w:vertAlign w:val="superscript"/>
        </w:rPr>
        <w:t>6</w:t>
      </w:r>
      <w:r w:rsidR="007501E6">
        <w:rPr>
          <w:vertAlign w:val="superscript"/>
        </w:rPr>
        <w:t xml:space="preserve">   </w:t>
      </w:r>
    </w:p>
    <w:p w14:paraId="47F7C414" w14:textId="6FF89F90" w:rsidR="005D5E67" w:rsidRDefault="00666761" w:rsidP="002C53BE">
      <w:r>
        <w:t>In addition, t</w:t>
      </w:r>
      <w:r w:rsidR="00223A78">
        <w:t xml:space="preserve">here are </w:t>
      </w:r>
      <w:proofErr w:type="gramStart"/>
      <w:r w:rsidR="00223A78">
        <w:t>a number of</w:t>
      </w:r>
      <w:proofErr w:type="gramEnd"/>
      <w:r w:rsidR="00223A78">
        <w:t xml:space="preserve"> </w:t>
      </w:r>
      <w:r>
        <w:t xml:space="preserve">other </w:t>
      </w:r>
      <w:r w:rsidR="00223A78">
        <w:t xml:space="preserve">challenges and barriers that can impact </w:t>
      </w:r>
      <w:r w:rsidR="00F55719">
        <w:t xml:space="preserve">the access of </w:t>
      </w:r>
      <w:r w:rsidR="00223A78">
        <w:t>LGBTI</w:t>
      </w:r>
      <w:r w:rsidR="00910E1E">
        <w:t>Q</w:t>
      </w:r>
      <w:r w:rsidR="00223A78">
        <w:t xml:space="preserve">A+ </w:t>
      </w:r>
      <w:r w:rsidR="00F55719">
        <w:t>people to health services</w:t>
      </w:r>
      <w:r w:rsidR="000A366C">
        <w:t>, these include</w:t>
      </w:r>
      <w:r w:rsidR="00241F69">
        <w:rPr>
          <w:vertAlign w:val="superscript"/>
        </w:rPr>
        <w:t>7</w:t>
      </w:r>
      <w:r w:rsidR="000A366C">
        <w:t>:</w:t>
      </w:r>
    </w:p>
    <w:p w14:paraId="75854581" w14:textId="3FE45513" w:rsidR="00241F69" w:rsidRDefault="00241F69" w:rsidP="000A366C">
      <w:pPr>
        <w:pStyle w:val="ListParagraph"/>
        <w:numPr>
          <w:ilvl w:val="0"/>
          <w:numId w:val="29"/>
        </w:numPr>
      </w:pPr>
      <w:r>
        <w:t xml:space="preserve">reduced awareness and knowledge among healthcare staff; </w:t>
      </w:r>
    </w:p>
    <w:p w14:paraId="1A807173" w14:textId="2D9A4B8A" w:rsidR="00241F69" w:rsidRDefault="00241F69" w:rsidP="000A366C">
      <w:pPr>
        <w:pStyle w:val="ListParagraph"/>
        <w:numPr>
          <w:ilvl w:val="0"/>
          <w:numId w:val="29"/>
        </w:numPr>
      </w:pPr>
      <w:r>
        <w:t>Limited</w:t>
      </w:r>
      <w:r w:rsidR="00F55719">
        <w:t xml:space="preserve"> </w:t>
      </w:r>
      <w:r>
        <w:t>health literacy</w:t>
      </w:r>
    </w:p>
    <w:p w14:paraId="072A028B" w14:textId="24501DC7" w:rsidR="000A366C" w:rsidRDefault="00241F69" w:rsidP="000A366C">
      <w:pPr>
        <w:pStyle w:val="ListParagraph"/>
        <w:numPr>
          <w:ilvl w:val="0"/>
          <w:numId w:val="29"/>
        </w:numPr>
      </w:pPr>
      <w:r>
        <w:t xml:space="preserve">Internalised homophobia </w:t>
      </w:r>
    </w:p>
    <w:p w14:paraId="71B048B6" w14:textId="748E18AF" w:rsidR="000A366C" w:rsidRDefault="00241F69" w:rsidP="000A366C">
      <w:pPr>
        <w:pStyle w:val="ListParagraph"/>
        <w:numPr>
          <w:ilvl w:val="0"/>
          <w:numId w:val="29"/>
        </w:numPr>
      </w:pPr>
      <w:r>
        <w:t>Discrimination and/or exclusion</w:t>
      </w:r>
    </w:p>
    <w:p w14:paraId="734F3755" w14:textId="4EE8698F" w:rsidR="004C19AA" w:rsidRDefault="00241F69" w:rsidP="002C53BE">
      <w:r>
        <w:rPr>
          <w:noProof/>
        </w:rPr>
        <mc:AlternateContent>
          <mc:Choice Requires="wps">
            <w:drawing>
              <wp:anchor distT="45720" distB="45720" distL="114300" distR="114300" simplePos="0" relativeHeight="251692038" behindDoc="1" locked="0" layoutInCell="1" allowOverlap="1" wp14:anchorId="6ED5581B" wp14:editId="05071BD3">
                <wp:simplePos x="0" y="0"/>
                <wp:positionH relativeFrom="margin">
                  <wp:posOffset>5715</wp:posOffset>
                </wp:positionH>
                <wp:positionV relativeFrom="paragraph">
                  <wp:posOffset>8255</wp:posOffset>
                </wp:positionV>
                <wp:extent cx="5823549" cy="768927"/>
                <wp:effectExtent l="0" t="0" r="254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49" cy="768927"/>
                        </a:xfrm>
                        <a:prstGeom prst="rect">
                          <a:avLst/>
                        </a:prstGeom>
                        <a:solidFill>
                          <a:schemeClr val="bg2">
                            <a:lumMod val="20000"/>
                            <a:lumOff val="80000"/>
                          </a:schemeClr>
                        </a:solidFill>
                        <a:ln w="9525">
                          <a:solidFill>
                            <a:schemeClr val="bg2"/>
                          </a:solidFill>
                          <a:miter lim="800000"/>
                          <a:headEnd/>
                          <a:tailEnd/>
                        </a:ln>
                      </wps:spPr>
                      <wps:txbx>
                        <w:txbxContent>
                          <w:p w14:paraId="6264A7F8" w14:textId="77777777" w:rsidR="00B94E89" w:rsidRDefault="00BD2193"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Question: </w:t>
                            </w:r>
                            <w:r w:rsidR="00B94E89">
                              <w:rPr>
                                <w:rFonts w:ascii="Calibri" w:hAnsi="Calibri" w:cs="Calibri"/>
                                <w:b/>
                                <w:bCs/>
                                <w:sz w:val="22"/>
                                <w:szCs w:val="22"/>
                              </w:rPr>
                              <w:t xml:space="preserve">Which of these barriers, or others you can identify, are the biggest barriers for: </w:t>
                            </w:r>
                          </w:p>
                          <w:p w14:paraId="4A8CB17B" w14:textId="77777777" w:rsidR="00B94E89"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a) LGBT</w:t>
                            </w:r>
                            <w:r w:rsidR="00910E1E">
                              <w:rPr>
                                <w:rFonts w:ascii="Calibri" w:hAnsi="Calibri" w:cs="Calibri"/>
                                <w:b/>
                                <w:bCs/>
                                <w:sz w:val="22"/>
                                <w:szCs w:val="22"/>
                              </w:rPr>
                              <w:t>I</w:t>
                            </w:r>
                            <w:r>
                              <w:rPr>
                                <w:rFonts w:ascii="Calibri" w:hAnsi="Calibri" w:cs="Calibri"/>
                                <w:b/>
                                <w:bCs/>
                                <w:sz w:val="22"/>
                                <w:szCs w:val="22"/>
                              </w:rPr>
                              <w:t xml:space="preserve">QA+ people to access and engage with </w:t>
                            </w:r>
                            <w:r w:rsidR="009C785D">
                              <w:rPr>
                                <w:rFonts w:ascii="Calibri" w:hAnsi="Calibri" w:cs="Calibri"/>
                                <w:b/>
                                <w:bCs/>
                                <w:sz w:val="22"/>
                                <w:szCs w:val="22"/>
                              </w:rPr>
                              <w:t xml:space="preserve">NGO </w:t>
                            </w:r>
                            <w:r>
                              <w:rPr>
                                <w:rFonts w:ascii="Calibri" w:hAnsi="Calibri" w:cs="Calibri"/>
                                <w:b/>
                                <w:bCs/>
                                <w:sz w:val="22"/>
                                <w:szCs w:val="22"/>
                              </w:rPr>
                              <w:t xml:space="preserve">services; and </w:t>
                            </w:r>
                          </w:p>
                          <w:p w14:paraId="1281941A" w14:textId="77777777" w:rsidR="00B94E89" w:rsidRDefault="00B94E89" w:rsidP="001C5322">
                            <w:pPr>
                              <w:pStyle w:val="NormalWeb"/>
                              <w:spacing w:before="0" w:beforeAutospacing="0" w:after="0" w:afterAutospacing="0"/>
                            </w:pPr>
                            <w:r>
                              <w:rPr>
                                <w:rFonts w:ascii="Calibri" w:hAnsi="Calibri" w:cs="Calibri"/>
                                <w:b/>
                                <w:bCs/>
                                <w:sz w:val="22"/>
                                <w:szCs w:val="22"/>
                              </w:rPr>
                              <w:t xml:space="preserve">b) </w:t>
                            </w:r>
                            <w:r w:rsidR="009C785D">
                              <w:rPr>
                                <w:rFonts w:ascii="Calibri" w:hAnsi="Calibri" w:cs="Calibri"/>
                                <w:b/>
                                <w:bCs/>
                                <w:sz w:val="22"/>
                                <w:szCs w:val="22"/>
                              </w:rPr>
                              <w:t xml:space="preserve">NGO </w:t>
                            </w:r>
                            <w:r>
                              <w:rPr>
                                <w:rFonts w:ascii="Calibri" w:hAnsi="Calibri" w:cs="Calibri"/>
                                <w:b/>
                                <w:bCs/>
                                <w:sz w:val="22"/>
                                <w:szCs w:val="22"/>
                              </w:rPr>
                              <w:t xml:space="preserve">services to provide </w:t>
                            </w:r>
                            <w:r w:rsidR="000957E8">
                              <w:rPr>
                                <w:rFonts w:ascii="Calibri" w:hAnsi="Calibri" w:cs="Calibri"/>
                                <w:b/>
                                <w:bCs/>
                                <w:sz w:val="22"/>
                                <w:szCs w:val="22"/>
                              </w:rPr>
                              <w:t xml:space="preserve">inclusive, </w:t>
                            </w:r>
                            <w:r>
                              <w:rPr>
                                <w:rFonts w:ascii="Calibri" w:hAnsi="Calibri" w:cs="Calibri"/>
                                <w:b/>
                                <w:bCs/>
                                <w:sz w:val="22"/>
                                <w:szCs w:val="22"/>
                              </w:rPr>
                              <w:t>culturally sensitive and appropriate care for LGBTI</w:t>
                            </w:r>
                            <w:r w:rsidR="00910E1E">
                              <w:rPr>
                                <w:rFonts w:ascii="Calibri" w:hAnsi="Calibri" w:cs="Calibri"/>
                                <w:b/>
                                <w:bCs/>
                                <w:sz w:val="22"/>
                                <w:szCs w:val="22"/>
                              </w:rPr>
                              <w:t>Q</w:t>
                            </w:r>
                            <w:r>
                              <w:rPr>
                                <w:rFonts w:ascii="Calibri" w:hAnsi="Calibri" w:cs="Calibri"/>
                                <w:b/>
                                <w:bCs/>
                                <w:sz w:val="22"/>
                                <w:szCs w:val="22"/>
                              </w:rPr>
                              <w:t xml:space="preserve">A+ people? </w:t>
                            </w:r>
                          </w:p>
                          <w:p w14:paraId="101B69D0" w14:textId="77777777" w:rsidR="007C3C22" w:rsidRPr="00A3761E" w:rsidRDefault="007C3C22" w:rsidP="00B94E89">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5581B" id="Text Box 12" o:spid="_x0000_s1030" type="#_x0000_t202" style="position:absolute;margin-left:.45pt;margin-top:.65pt;width:458.55pt;height:60.55pt;z-index:-2516244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NMgIAAF8EAAAOAAAAZHJzL2Uyb0RvYy54bWysVNuO0zAQfUfiHyy/07Sh3bZR09XSZRHS&#10;cpEWPsB1nMbC9hjbbVK+nrGT3uAN8WJ5ZuIzZ87MZHXfaUUOwnkJpqST0ZgSYThU0uxK+v3b05sF&#10;JT4wUzEFRpT0KDy9X79+tWptIXJoQFXCEQQxvmhtSZsQbJFlnjdCMz8CKwwGa3CaBTTdLqscaxFd&#10;qywfj++yFlxlHXDhPXof+yBdJ/y6Fjx8qWsvAlElRW4hnS6d23hm6xUrdo7ZRvKBBvsHFppJg0nP&#10;UI8sMLJ38i8oLbkDD3UYcdAZ1LXkItWA1UzGf1Tz0jArUi0ojrdnmfz/g+WfDy/2qyOhewcdNjAV&#10;4e0z8B+eGNg0zOzEg3PQNoJVmHgSJcta64vhaZTaFz6CbNtPUGGT2T5AAupqp6MqWCdBdGzA8Sy6&#10;6ALh6Jwt8rez6ZISjrH53WKZz1MKVpxeW+fDBwGaxEtJHTY1obPDsw+RDStOn8RkHpSsnqRSyYiD&#10;JDbKkQPDEdju8vRU7TVS7X04RuNhENCN49K7Fyc3wqdxjCgp2U0CZUhb0uUsnyXgm9j52SV5T/fm&#10;Ky0DroCSuqQp58Al6v3eVGlAA5OqvyMZZYYGRM179UO37YisSjqN0sV+bKE6Ykcc9BOPG4qXBtwv&#10;Slqc9pL6n3vmBCXqo8GuLifTaVyPZExn8xwNdx3ZXkeY4QhV0kBJf92EtFJRcAMP2P1apsZcmAyU&#10;cYqThMPGxTW5ttNXl//C+jcAAAD//wMAUEsDBBQABgAIAAAAIQDXsLt73AAAAAYBAAAPAAAAZHJz&#10;L2Rvd25yZXYueG1sTI/BTsMwEETvSP0Hayv1Rp2kCLUhTlVFUIkDBwIf4MbbJDRep7GbBr6e5USP&#10;szOafZNtJ9uJEQffOlIQLyMQSJUzLdUKPj9e7tcgfNBkdOcIFXyjh20+u8t0atyV3nEsQy24hHyq&#10;FTQh9KmUvmrQar90PRJ7RzdYHVgOtTSDvnK57WQSRY/S6pb4Q6N7LBqsTuXFKhifR7s6F6+7Y1UW&#10;Nt5HP2/99KXUYj7tnkAEnMJ/GP7wGR1yZjq4CxkvOgUbzvF1BYLNTbzmYQfWSfIAMs/kLX7+CwAA&#10;//8DAFBLAQItABQABgAIAAAAIQC2gziS/gAAAOEBAAATAAAAAAAAAAAAAAAAAAAAAABbQ29udGVu&#10;dF9UeXBlc10ueG1sUEsBAi0AFAAGAAgAAAAhADj9If/WAAAAlAEAAAsAAAAAAAAAAAAAAAAALwEA&#10;AF9yZWxzLy5yZWxzUEsBAi0AFAAGAAgAAAAhAJUgb40yAgAAXwQAAA4AAAAAAAAAAAAAAAAALgIA&#10;AGRycy9lMm9Eb2MueG1sUEsBAi0AFAAGAAgAAAAhANewu3vcAAAABgEAAA8AAAAAAAAAAAAAAAAA&#10;jAQAAGRycy9kb3ducmV2LnhtbFBLBQYAAAAABAAEAPMAAACVBQAAAAA=&#10;" fillcolor="#d7cdef [670]" strokecolor="#482d8c [3214]">
                <v:textbox>
                  <w:txbxContent>
                    <w:p w14:paraId="6264A7F8" w14:textId="77777777" w:rsidR="00B94E89" w:rsidRDefault="00BD2193"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Question: </w:t>
                      </w:r>
                      <w:r w:rsidR="00B94E89">
                        <w:rPr>
                          <w:rFonts w:ascii="Calibri" w:hAnsi="Calibri" w:cs="Calibri"/>
                          <w:b/>
                          <w:bCs/>
                          <w:sz w:val="22"/>
                          <w:szCs w:val="22"/>
                        </w:rPr>
                        <w:t xml:space="preserve">Which of these barriers, or others you can identify, are the biggest barriers for: </w:t>
                      </w:r>
                    </w:p>
                    <w:p w14:paraId="4A8CB17B" w14:textId="77777777" w:rsidR="00B94E89"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a) LGBT</w:t>
                      </w:r>
                      <w:r w:rsidR="00910E1E">
                        <w:rPr>
                          <w:rFonts w:ascii="Calibri" w:hAnsi="Calibri" w:cs="Calibri"/>
                          <w:b/>
                          <w:bCs/>
                          <w:sz w:val="22"/>
                          <w:szCs w:val="22"/>
                        </w:rPr>
                        <w:t>I</w:t>
                      </w:r>
                      <w:r>
                        <w:rPr>
                          <w:rFonts w:ascii="Calibri" w:hAnsi="Calibri" w:cs="Calibri"/>
                          <w:b/>
                          <w:bCs/>
                          <w:sz w:val="22"/>
                          <w:szCs w:val="22"/>
                        </w:rPr>
                        <w:t xml:space="preserve">QA+ people to access and engage with </w:t>
                      </w:r>
                      <w:r w:rsidR="009C785D">
                        <w:rPr>
                          <w:rFonts w:ascii="Calibri" w:hAnsi="Calibri" w:cs="Calibri"/>
                          <w:b/>
                          <w:bCs/>
                          <w:sz w:val="22"/>
                          <w:szCs w:val="22"/>
                        </w:rPr>
                        <w:t xml:space="preserve">NGO </w:t>
                      </w:r>
                      <w:r>
                        <w:rPr>
                          <w:rFonts w:ascii="Calibri" w:hAnsi="Calibri" w:cs="Calibri"/>
                          <w:b/>
                          <w:bCs/>
                          <w:sz w:val="22"/>
                          <w:szCs w:val="22"/>
                        </w:rPr>
                        <w:t xml:space="preserve">services; and </w:t>
                      </w:r>
                    </w:p>
                    <w:p w14:paraId="1281941A" w14:textId="77777777" w:rsidR="00B94E89" w:rsidRDefault="00B94E89" w:rsidP="001C5322">
                      <w:pPr>
                        <w:pStyle w:val="NormalWeb"/>
                        <w:spacing w:before="0" w:beforeAutospacing="0" w:after="0" w:afterAutospacing="0"/>
                      </w:pPr>
                      <w:r>
                        <w:rPr>
                          <w:rFonts w:ascii="Calibri" w:hAnsi="Calibri" w:cs="Calibri"/>
                          <w:b/>
                          <w:bCs/>
                          <w:sz w:val="22"/>
                          <w:szCs w:val="22"/>
                        </w:rPr>
                        <w:t xml:space="preserve">b) </w:t>
                      </w:r>
                      <w:r w:rsidR="009C785D">
                        <w:rPr>
                          <w:rFonts w:ascii="Calibri" w:hAnsi="Calibri" w:cs="Calibri"/>
                          <w:b/>
                          <w:bCs/>
                          <w:sz w:val="22"/>
                          <w:szCs w:val="22"/>
                        </w:rPr>
                        <w:t xml:space="preserve">NGO </w:t>
                      </w:r>
                      <w:r>
                        <w:rPr>
                          <w:rFonts w:ascii="Calibri" w:hAnsi="Calibri" w:cs="Calibri"/>
                          <w:b/>
                          <w:bCs/>
                          <w:sz w:val="22"/>
                          <w:szCs w:val="22"/>
                        </w:rPr>
                        <w:t xml:space="preserve">services to provide </w:t>
                      </w:r>
                      <w:r w:rsidR="000957E8">
                        <w:rPr>
                          <w:rFonts w:ascii="Calibri" w:hAnsi="Calibri" w:cs="Calibri"/>
                          <w:b/>
                          <w:bCs/>
                          <w:sz w:val="22"/>
                          <w:szCs w:val="22"/>
                        </w:rPr>
                        <w:t xml:space="preserve">inclusive, </w:t>
                      </w:r>
                      <w:r>
                        <w:rPr>
                          <w:rFonts w:ascii="Calibri" w:hAnsi="Calibri" w:cs="Calibri"/>
                          <w:b/>
                          <w:bCs/>
                          <w:sz w:val="22"/>
                          <w:szCs w:val="22"/>
                        </w:rPr>
                        <w:t>culturally sensitive and appropriate care for LGBTI</w:t>
                      </w:r>
                      <w:r w:rsidR="00910E1E">
                        <w:rPr>
                          <w:rFonts w:ascii="Calibri" w:hAnsi="Calibri" w:cs="Calibri"/>
                          <w:b/>
                          <w:bCs/>
                          <w:sz w:val="22"/>
                          <w:szCs w:val="22"/>
                        </w:rPr>
                        <w:t>Q</w:t>
                      </w:r>
                      <w:r>
                        <w:rPr>
                          <w:rFonts w:ascii="Calibri" w:hAnsi="Calibri" w:cs="Calibri"/>
                          <w:b/>
                          <w:bCs/>
                          <w:sz w:val="22"/>
                          <w:szCs w:val="22"/>
                        </w:rPr>
                        <w:t xml:space="preserve">A+ people? </w:t>
                      </w:r>
                    </w:p>
                    <w:p w14:paraId="101B69D0" w14:textId="77777777" w:rsidR="007C3C22" w:rsidRPr="00A3761E" w:rsidRDefault="007C3C22" w:rsidP="00B94E89">
                      <w:pPr>
                        <w:rPr>
                          <w:b/>
                          <w:bCs/>
                        </w:rPr>
                      </w:pPr>
                    </w:p>
                  </w:txbxContent>
                </v:textbox>
                <w10:wrap anchorx="margin"/>
              </v:shape>
            </w:pict>
          </mc:Fallback>
        </mc:AlternateContent>
      </w:r>
    </w:p>
    <w:p w14:paraId="5014741B" w14:textId="54A64D83" w:rsidR="00723F5F" w:rsidRPr="00723F5F" w:rsidRDefault="001025D3" w:rsidP="00D319E0">
      <w:pPr>
        <w:pStyle w:val="Heading1"/>
      </w:pPr>
      <w:r>
        <w:br w:type="page"/>
      </w:r>
      <w:bookmarkStart w:id="1" w:name="_Toc135994157"/>
      <w:r w:rsidR="00BE14B7">
        <w:lastRenderedPageBreak/>
        <w:t>policy and framework documents</w:t>
      </w:r>
      <w:bookmarkEnd w:id="1"/>
    </w:p>
    <w:p w14:paraId="3BB6FD49" w14:textId="0AF88451" w:rsidR="00C428AF" w:rsidRPr="00BD2193" w:rsidRDefault="00C428AF" w:rsidP="008314BD">
      <w:pPr>
        <w:spacing w:after="0"/>
        <w:contextualSpacing/>
      </w:pPr>
      <w:r w:rsidRPr="00BD2193">
        <w:t xml:space="preserve">Below is a list of Policies, Frameworks and Guidelines that relate to individuals represented in this priority </w:t>
      </w:r>
      <w:proofErr w:type="gramStart"/>
      <w:r w:rsidRPr="00BD2193">
        <w:t>group</w:t>
      </w:r>
      <w:r w:rsidR="003F6AE9" w:rsidRPr="00BD2193">
        <w:t xml:space="preserve">, </w:t>
      </w:r>
      <w:r w:rsidR="00CF20C2">
        <w:t>and</w:t>
      </w:r>
      <w:proofErr w:type="gramEnd"/>
      <w:r w:rsidR="003F6AE9" w:rsidRPr="00BD2193">
        <w:t xml:space="preserve"> are relevant to</w:t>
      </w:r>
      <w:r w:rsidRPr="00BD2193">
        <w:t xml:space="preserve"> the </w:t>
      </w:r>
      <w:r w:rsidR="003F6AE9" w:rsidRPr="00BD2193">
        <w:t xml:space="preserve">current </w:t>
      </w:r>
      <w:r w:rsidRPr="00BD2193">
        <w:t>commissioning process</w:t>
      </w:r>
      <w:r w:rsidR="00D319E0" w:rsidRPr="00BD2193">
        <w:t>.</w:t>
      </w:r>
      <w:r w:rsidR="00FD3B9B" w:rsidRPr="00BD2193">
        <w:t xml:space="preserve"> </w:t>
      </w:r>
      <w:r w:rsidR="007E0CE8">
        <w:br/>
      </w:r>
    </w:p>
    <w:p w14:paraId="761FAC50" w14:textId="77777777" w:rsidR="00C428AF" w:rsidRPr="00313E03" w:rsidRDefault="00C428AF" w:rsidP="00313E03">
      <w:pPr>
        <w:pStyle w:val="NormalIndent5mm"/>
        <w:spacing w:before="0" w:after="120"/>
        <w:ind w:left="0"/>
        <w:rPr>
          <w:rFonts w:asciiTheme="minorHAnsi" w:hAnsiTheme="minorHAnsi" w:cstheme="minorHAnsi"/>
          <w:sz w:val="21"/>
          <w:szCs w:val="21"/>
          <w:u w:val="single"/>
        </w:rPr>
      </w:pPr>
      <w:bookmarkStart w:id="2" w:name="_Toc135994158"/>
      <w:r w:rsidRPr="00313E03">
        <w:rPr>
          <w:rFonts w:asciiTheme="minorHAnsi" w:hAnsiTheme="minorHAnsi" w:cstheme="minorHAnsi"/>
          <w:sz w:val="21"/>
          <w:szCs w:val="21"/>
          <w:u w:val="single"/>
        </w:rPr>
        <w:t>National and Community</w:t>
      </w:r>
      <w:bookmarkEnd w:id="2"/>
    </w:p>
    <w:p w14:paraId="38226E40" w14:textId="744E2FDD" w:rsidR="00C428AF" w:rsidRPr="00313E03" w:rsidRDefault="007D2166" w:rsidP="00313E03">
      <w:pPr>
        <w:pStyle w:val="NormalIndent5mm"/>
        <w:numPr>
          <w:ilvl w:val="0"/>
          <w:numId w:val="39"/>
        </w:numPr>
        <w:spacing w:before="0" w:after="120"/>
        <w:rPr>
          <w:rFonts w:cstheme="minorHAnsi"/>
        </w:rPr>
      </w:pPr>
      <w:r w:rsidRPr="00313E03">
        <w:rPr>
          <w:rFonts w:asciiTheme="minorHAnsi" w:hAnsiTheme="minorHAnsi" w:cstheme="minorHAnsi"/>
          <w:sz w:val="21"/>
          <w:szCs w:val="21"/>
        </w:rPr>
        <w:t xml:space="preserve">Beyond Urgent: </w:t>
      </w:r>
      <w:r w:rsidR="00C428AF" w:rsidRPr="00313E03">
        <w:rPr>
          <w:rFonts w:asciiTheme="minorHAnsi" w:hAnsiTheme="minorHAnsi" w:cstheme="minorHAnsi"/>
          <w:sz w:val="21"/>
          <w:szCs w:val="21"/>
        </w:rPr>
        <w:t>The National LGBTIQ+ Mental Health and Suicide Prevention Strategy</w:t>
      </w:r>
      <w:r w:rsidR="00241F69">
        <w:rPr>
          <w:rFonts w:asciiTheme="minorHAnsi" w:hAnsiTheme="minorHAnsi" w:cstheme="minorHAnsi"/>
          <w:sz w:val="21"/>
          <w:szCs w:val="21"/>
          <w:vertAlign w:val="superscript"/>
        </w:rPr>
        <w:t>8</w:t>
      </w:r>
      <w:r w:rsidR="00C428AF" w:rsidRPr="00313E03">
        <w:rPr>
          <w:rFonts w:asciiTheme="minorHAnsi" w:hAnsiTheme="minorHAnsi" w:cstheme="minorHAnsi"/>
          <w:sz w:val="21"/>
          <w:szCs w:val="21"/>
        </w:rPr>
        <w:t>;</w:t>
      </w:r>
    </w:p>
    <w:p w14:paraId="1BEC6A63" w14:textId="6FAF2B77" w:rsidR="00C428AF" w:rsidRPr="00313E03" w:rsidRDefault="00C428AF" w:rsidP="00313E03">
      <w:pPr>
        <w:pStyle w:val="NormalIndent5mm"/>
        <w:numPr>
          <w:ilvl w:val="0"/>
          <w:numId w:val="39"/>
        </w:numPr>
        <w:spacing w:before="0" w:after="120"/>
        <w:rPr>
          <w:rFonts w:cstheme="minorHAnsi"/>
        </w:rPr>
      </w:pPr>
      <w:r w:rsidRPr="00313E03">
        <w:rPr>
          <w:rFonts w:asciiTheme="minorHAnsi" w:hAnsiTheme="minorHAnsi" w:cstheme="minorHAnsi"/>
          <w:sz w:val="21"/>
          <w:szCs w:val="21"/>
        </w:rPr>
        <w:t>Going Upstream: A Framework for Promoting the Mental Health of LGBTI People</w:t>
      </w:r>
      <w:r w:rsidR="00241F69">
        <w:rPr>
          <w:rFonts w:asciiTheme="minorHAnsi" w:hAnsiTheme="minorHAnsi" w:cstheme="minorHAnsi"/>
          <w:sz w:val="21"/>
          <w:szCs w:val="21"/>
          <w:vertAlign w:val="superscript"/>
        </w:rPr>
        <w:t>9</w:t>
      </w:r>
      <w:r w:rsidRPr="00313E03">
        <w:rPr>
          <w:rFonts w:asciiTheme="minorHAnsi" w:hAnsiTheme="minorHAnsi" w:cstheme="minorHAnsi"/>
          <w:sz w:val="21"/>
          <w:szCs w:val="21"/>
        </w:rPr>
        <w:t>;</w:t>
      </w:r>
    </w:p>
    <w:p w14:paraId="57BA2956" w14:textId="071AAE04" w:rsidR="00C428AF" w:rsidRPr="002E2DB7" w:rsidRDefault="00C428AF" w:rsidP="00313E03">
      <w:pPr>
        <w:pStyle w:val="NormalIndent5mm"/>
        <w:numPr>
          <w:ilvl w:val="0"/>
          <w:numId w:val="39"/>
        </w:numPr>
        <w:spacing w:before="0" w:after="120"/>
        <w:rPr>
          <w:rFonts w:cstheme="minorHAnsi"/>
        </w:rPr>
      </w:pPr>
      <w:r w:rsidRPr="00313E03">
        <w:rPr>
          <w:rFonts w:asciiTheme="minorHAnsi" w:hAnsiTheme="minorHAnsi" w:cstheme="minorHAnsi"/>
          <w:sz w:val="21"/>
          <w:szCs w:val="21"/>
        </w:rPr>
        <w:t>Cultural Competency Implementation Framework: Achieving Inclusive Practice with Lesbian, Gay, Bisexual, Trans and Intersex (LGBTI) Communities</w:t>
      </w:r>
      <w:r w:rsidR="00F55719">
        <w:rPr>
          <w:rFonts w:asciiTheme="minorHAnsi" w:hAnsiTheme="minorHAnsi" w:cstheme="minorHAnsi"/>
          <w:sz w:val="21"/>
          <w:szCs w:val="21"/>
          <w:vertAlign w:val="superscript"/>
        </w:rPr>
        <w:t>10</w:t>
      </w:r>
      <w:r w:rsidRPr="00313E03">
        <w:rPr>
          <w:rFonts w:asciiTheme="minorHAnsi" w:hAnsiTheme="minorHAnsi" w:cstheme="minorHAnsi"/>
          <w:sz w:val="21"/>
          <w:szCs w:val="21"/>
        </w:rPr>
        <w:t>;</w:t>
      </w:r>
    </w:p>
    <w:p w14:paraId="4169B9F9" w14:textId="09B24EB6" w:rsidR="002E2DB7" w:rsidRPr="00121B39" w:rsidRDefault="002E2DB7" w:rsidP="00121B39">
      <w:pPr>
        <w:pStyle w:val="NormalIndent5mm"/>
        <w:numPr>
          <w:ilvl w:val="0"/>
          <w:numId w:val="39"/>
        </w:numPr>
        <w:spacing w:before="0" w:after="120"/>
        <w:rPr>
          <w:rFonts w:asciiTheme="minorHAnsi" w:hAnsiTheme="minorHAnsi" w:cstheme="minorHAnsi"/>
          <w:sz w:val="21"/>
          <w:szCs w:val="21"/>
        </w:rPr>
      </w:pPr>
      <w:r w:rsidRPr="00121B39">
        <w:rPr>
          <w:rFonts w:asciiTheme="minorHAnsi" w:hAnsiTheme="minorHAnsi" w:cstheme="minorHAnsi"/>
          <w:sz w:val="21"/>
          <w:szCs w:val="21"/>
        </w:rPr>
        <w:t>National Safety and Quality Health Service Standards</w:t>
      </w:r>
      <w:r w:rsidR="00121B39">
        <w:rPr>
          <w:rFonts w:asciiTheme="minorHAnsi" w:hAnsiTheme="minorHAnsi" w:cstheme="minorHAnsi"/>
          <w:sz w:val="21"/>
          <w:szCs w:val="21"/>
          <w:vertAlign w:val="superscript"/>
        </w:rPr>
        <w:t>11</w:t>
      </w:r>
      <w:r w:rsidR="00121B39">
        <w:rPr>
          <w:rFonts w:asciiTheme="minorHAnsi" w:hAnsiTheme="minorHAnsi" w:cstheme="minorHAnsi"/>
          <w:sz w:val="21"/>
          <w:szCs w:val="21"/>
        </w:rPr>
        <w:t>;</w:t>
      </w:r>
    </w:p>
    <w:p w14:paraId="10105E07" w14:textId="00C34C02" w:rsidR="002E2DB7" w:rsidRPr="00121B39" w:rsidRDefault="002E2DB7" w:rsidP="00121B39">
      <w:pPr>
        <w:pStyle w:val="NormalIndent5mm"/>
        <w:numPr>
          <w:ilvl w:val="0"/>
          <w:numId w:val="39"/>
        </w:numPr>
        <w:spacing w:before="0" w:after="120"/>
        <w:rPr>
          <w:rFonts w:asciiTheme="minorHAnsi" w:hAnsiTheme="minorHAnsi" w:cstheme="minorHAnsi"/>
          <w:sz w:val="21"/>
          <w:szCs w:val="21"/>
        </w:rPr>
      </w:pPr>
      <w:r w:rsidRPr="00121B39">
        <w:rPr>
          <w:rFonts w:asciiTheme="minorHAnsi" w:hAnsiTheme="minorHAnsi" w:cstheme="minorHAnsi"/>
          <w:sz w:val="21"/>
          <w:szCs w:val="21"/>
        </w:rPr>
        <w:t>National Safety and Quality Mental Health Standards for Community Managed Organisations</w:t>
      </w:r>
      <w:r w:rsidR="00121B39">
        <w:rPr>
          <w:rFonts w:asciiTheme="minorHAnsi" w:hAnsiTheme="minorHAnsi" w:cstheme="minorHAnsi"/>
          <w:sz w:val="21"/>
          <w:szCs w:val="21"/>
          <w:vertAlign w:val="superscript"/>
        </w:rPr>
        <w:t>12</w:t>
      </w:r>
      <w:r w:rsidR="00121B39">
        <w:rPr>
          <w:rFonts w:asciiTheme="minorHAnsi" w:hAnsiTheme="minorHAnsi" w:cstheme="minorHAnsi"/>
          <w:sz w:val="21"/>
          <w:szCs w:val="21"/>
        </w:rPr>
        <w:t>;</w:t>
      </w:r>
    </w:p>
    <w:p w14:paraId="5EF3DA7A" w14:textId="3DA4842A" w:rsidR="002E2DB7" w:rsidRPr="00121B39" w:rsidRDefault="002E2DB7" w:rsidP="00121B39">
      <w:pPr>
        <w:pStyle w:val="NormalIndent5mm"/>
        <w:numPr>
          <w:ilvl w:val="0"/>
          <w:numId w:val="39"/>
        </w:numPr>
        <w:spacing w:before="0" w:after="120"/>
        <w:rPr>
          <w:rFonts w:asciiTheme="minorHAnsi" w:hAnsiTheme="minorHAnsi" w:cstheme="minorHAnsi"/>
          <w:sz w:val="21"/>
          <w:szCs w:val="21"/>
        </w:rPr>
      </w:pPr>
      <w:r w:rsidRPr="00121B39">
        <w:rPr>
          <w:rFonts w:asciiTheme="minorHAnsi" w:hAnsiTheme="minorHAnsi" w:cstheme="minorHAnsi"/>
          <w:sz w:val="21"/>
          <w:szCs w:val="21"/>
        </w:rPr>
        <w:t>Mental Health Statement of Rights and Responsibilities</w:t>
      </w:r>
      <w:r w:rsidR="00121B39">
        <w:rPr>
          <w:rFonts w:asciiTheme="minorHAnsi" w:hAnsiTheme="minorHAnsi" w:cstheme="minorHAnsi"/>
          <w:sz w:val="21"/>
          <w:szCs w:val="21"/>
          <w:vertAlign w:val="superscript"/>
        </w:rPr>
        <w:t>13</w:t>
      </w:r>
      <w:r w:rsidR="00121B39">
        <w:rPr>
          <w:rFonts w:asciiTheme="minorHAnsi" w:hAnsiTheme="minorHAnsi" w:cstheme="minorHAnsi"/>
          <w:sz w:val="21"/>
          <w:szCs w:val="21"/>
        </w:rPr>
        <w:t>;</w:t>
      </w:r>
    </w:p>
    <w:p w14:paraId="25928644" w14:textId="0689B32D" w:rsidR="002E2DB7" w:rsidRPr="00121B39" w:rsidRDefault="002E2DB7" w:rsidP="00121B39">
      <w:pPr>
        <w:pStyle w:val="NormalIndent5mm"/>
        <w:numPr>
          <w:ilvl w:val="0"/>
          <w:numId w:val="39"/>
        </w:numPr>
        <w:spacing w:before="0" w:after="120"/>
        <w:rPr>
          <w:rFonts w:asciiTheme="minorHAnsi" w:hAnsiTheme="minorHAnsi" w:cstheme="minorHAnsi"/>
          <w:sz w:val="21"/>
          <w:szCs w:val="21"/>
        </w:rPr>
      </w:pPr>
      <w:r w:rsidRPr="00121B39">
        <w:rPr>
          <w:rFonts w:asciiTheme="minorHAnsi" w:hAnsiTheme="minorHAnsi" w:cstheme="minorHAnsi"/>
          <w:sz w:val="21"/>
          <w:szCs w:val="21"/>
        </w:rPr>
        <w:t>National Mental Health and Suicide Prevention Agreement</w:t>
      </w:r>
      <w:r w:rsidR="00121B39">
        <w:rPr>
          <w:rFonts w:asciiTheme="minorHAnsi" w:hAnsiTheme="minorHAnsi" w:cstheme="minorHAnsi"/>
          <w:sz w:val="21"/>
          <w:szCs w:val="21"/>
          <w:vertAlign w:val="superscript"/>
        </w:rPr>
        <w:t>14</w:t>
      </w:r>
      <w:r w:rsidR="00121B39">
        <w:rPr>
          <w:rFonts w:asciiTheme="minorHAnsi" w:hAnsiTheme="minorHAnsi" w:cstheme="minorHAnsi"/>
          <w:sz w:val="21"/>
          <w:szCs w:val="21"/>
        </w:rPr>
        <w:t>.</w:t>
      </w:r>
    </w:p>
    <w:p w14:paraId="1BD0AC20" w14:textId="77777777" w:rsidR="00C428AF" w:rsidRPr="00313E03" w:rsidRDefault="00C428AF" w:rsidP="00313E03">
      <w:pPr>
        <w:pStyle w:val="NormalIndent5mm"/>
        <w:spacing w:before="0" w:after="120"/>
        <w:ind w:left="0"/>
        <w:rPr>
          <w:rFonts w:asciiTheme="minorHAnsi" w:hAnsiTheme="minorHAnsi" w:cstheme="minorHAnsi"/>
          <w:sz w:val="21"/>
          <w:szCs w:val="21"/>
          <w:u w:val="single"/>
        </w:rPr>
      </w:pPr>
      <w:bookmarkStart w:id="3" w:name="_Toc135994159"/>
      <w:r w:rsidRPr="00313E03">
        <w:rPr>
          <w:rFonts w:asciiTheme="minorHAnsi" w:hAnsiTheme="minorHAnsi" w:cstheme="minorHAnsi"/>
          <w:sz w:val="21"/>
          <w:szCs w:val="21"/>
          <w:u w:val="single"/>
        </w:rPr>
        <w:t>Australian Capital Territory</w:t>
      </w:r>
      <w:bookmarkEnd w:id="3"/>
    </w:p>
    <w:p w14:paraId="2F67FFF9" w14:textId="6176C257" w:rsidR="00F8342E" w:rsidRPr="00313E03" w:rsidRDefault="00F8342E" w:rsidP="00313E03">
      <w:pPr>
        <w:pStyle w:val="NormalIndent5mm"/>
        <w:numPr>
          <w:ilvl w:val="0"/>
          <w:numId w:val="38"/>
        </w:numPr>
        <w:spacing w:before="0" w:after="120"/>
        <w:rPr>
          <w:rFonts w:cstheme="minorHAnsi"/>
        </w:rPr>
      </w:pPr>
      <w:r w:rsidRPr="00313E03">
        <w:rPr>
          <w:rFonts w:asciiTheme="minorHAnsi" w:hAnsiTheme="minorHAnsi" w:cstheme="minorHAnsi"/>
          <w:sz w:val="21"/>
          <w:szCs w:val="21"/>
        </w:rPr>
        <w:t>Accessible, Accountable, Sustainable: A Framework for the ACT Public Health System 2020-2030</w:t>
      </w:r>
      <w:r w:rsidR="00F55719">
        <w:rPr>
          <w:rFonts w:asciiTheme="minorHAnsi" w:hAnsiTheme="minorHAnsi" w:cstheme="minorHAnsi"/>
          <w:sz w:val="21"/>
          <w:szCs w:val="21"/>
          <w:vertAlign w:val="superscript"/>
        </w:rPr>
        <w:t>1</w:t>
      </w:r>
      <w:r w:rsidR="002C26D5">
        <w:rPr>
          <w:rFonts w:asciiTheme="minorHAnsi" w:hAnsiTheme="minorHAnsi" w:cstheme="minorHAnsi"/>
          <w:sz w:val="21"/>
          <w:szCs w:val="21"/>
          <w:vertAlign w:val="superscript"/>
        </w:rPr>
        <w:t>5</w:t>
      </w:r>
      <w:r w:rsidRPr="00313E03">
        <w:rPr>
          <w:rFonts w:asciiTheme="minorHAnsi" w:hAnsiTheme="minorHAnsi" w:cstheme="minorHAnsi"/>
          <w:sz w:val="21"/>
          <w:szCs w:val="21"/>
        </w:rPr>
        <w:t>;</w:t>
      </w:r>
    </w:p>
    <w:p w14:paraId="43D3BDB6" w14:textId="3D95A5BE" w:rsidR="00C428AF" w:rsidRPr="00313E03" w:rsidRDefault="00C428AF" w:rsidP="00313E03">
      <w:pPr>
        <w:pStyle w:val="NormalIndent5mm"/>
        <w:numPr>
          <w:ilvl w:val="0"/>
          <w:numId w:val="38"/>
        </w:numPr>
        <w:spacing w:before="0" w:after="120"/>
        <w:rPr>
          <w:rFonts w:cstheme="minorHAnsi"/>
        </w:rPr>
      </w:pPr>
      <w:r w:rsidRPr="00313E03">
        <w:rPr>
          <w:rFonts w:asciiTheme="minorHAnsi" w:hAnsiTheme="minorHAnsi" w:cstheme="minorHAnsi"/>
          <w:sz w:val="21"/>
          <w:szCs w:val="21"/>
        </w:rPr>
        <w:t>Guidance to Support Gender Affirming Care for Mental Health</w:t>
      </w:r>
      <w:r w:rsidR="00BA6020">
        <w:rPr>
          <w:rFonts w:asciiTheme="minorHAnsi" w:hAnsiTheme="minorHAnsi" w:cstheme="minorHAnsi"/>
          <w:sz w:val="21"/>
          <w:szCs w:val="21"/>
          <w:vertAlign w:val="superscript"/>
        </w:rPr>
        <w:t>1</w:t>
      </w:r>
      <w:r w:rsidR="002C26D5">
        <w:rPr>
          <w:rFonts w:asciiTheme="minorHAnsi" w:hAnsiTheme="minorHAnsi" w:cstheme="minorHAnsi"/>
          <w:sz w:val="21"/>
          <w:szCs w:val="21"/>
          <w:vertAlign w:val="superscript"/>
        </w:rPr>
        <w:t>6</w:t>
      </w:r>
      <w:r w:rsidRPr="00313E03">
        <w:rPr>
          <w:rFonts w:asciiTheme="minorHAnsi" w:hAnsiTheme="minorHAnsi" w:cstheme="minorHAnsi"/>
          <w:sz w:val="21"/>
          <w:szCs w:val="21"/>
        </w:rPr>
        <w:t>;</w:t>
      </w:r>
    </w:p>
    <w:p w14:paraId="2D21C92F" w14:textId="6AF7781C" w:rsidR="00D319E0" w:rsidRPr="00313E03" w:rsidRDefault="00C428AF" w:rsidP="00313E03">
      <w:pPr>
        <w:pStyle w:val="NormalIndent5mm"/>
        <w:numPr>
          <w:ilvl w:val="0"/>
          <w:numId w:val="38"/>
        </w:numPr>
        <w:spacing w:before="0" w:after="120"/>
        <w:rPr>
          <w:rFonts w:cstheme="minorHAnsi"/>
        </w:rPr>
      </w:pPr>
      <w:r w:rsidRPr="00313E03">
        <w:rPr>
          <w:rFonts w:asciiTheme="minorHAnsi" w:hAnsiTheme="minorHAnsi" w:cstheme="minorHAnsi"/>
          <w:sz w:val="21"/>
          <w:szCs w:val="21"/>
        </w:rPr>
        <w:t>Capital of Equality Strategy: Action Plan</w:t>
      </w:r>
      <w:r w:rsidR="00D82A52" w:rsidRPr="00313E03">
        <w:rPr>
          <w:rFonts w:asciiTheme="minorHAnsi" w:hAnsiTheme="minorHAnsi" w:cstheme="minorHAnsi"/>
          <w:sz w:val="21"/>
          <w:szCs w:val="21"/>
        </w:rPr>
        <w:t>s</w:t>
      </w:r>
      <w:r w:rsidR="00BA6020">
        <w:rPr>
          <w:rFonts w:asciiTheme="minorHAnsi" w:hAnsiTheme="minorHAnsi" w:cstheme="minorHAnsi"/>
          <w:sz w:val="21"/>
          <w:szCs w:val="21"/>
          <w:vertAlign w:val="superscript"/>
        </w:rPr>
        <w:t>1</w:t>
      </w:r>
      <w:r w:rsidR="005277D5">
        <w:rPr>
          <w:rFonts w:asciiTheme="minorHAnsi" w:hAnsiTheme="minorHAnsi" w:cstheme="minorHAnsi"/>
          <w:sz w:val="21"/>
          <w:szCs w:val="21"/>
          <w:vertAlign w:val="superscript"/>
        </w:rPr>
        <w:t>7</w:t>
      </w:r>
      <w:r w:rsidR="00D82A52" w:rsidRPr="00313E03">
        <w:rPr>
          <w:rFonts w:asciiTheme="minorHAnsi" w:hAnsiTheme="minorHAnsi" w:cstheme="minorHAnsi"/>
          <w:sz w:val="21"/>
          <w:szCs w:val="21"/>
        </w:rPr>
        <w:t>;</w:t>
      </w:r>
      <w:r w:rsidR="00282EA7" w:rsidRPr="00313E03">
        <w:rPr>
          <w:rFonts w:asciiTheme="minorHAnsi" w:hAnsiTheme="minorHAnsi" w:cstheme="minorHAnsi"/>
          <w:sz w:val="21"/>
          <w:szCs w:val="21"/>
        </w:rPr>
        <w:t xml:space="preserve"> and</w:t>
      </w:r>
    </w:p>
    <w:p w14:paraId="042FD04B" w14:textId="47B9B469" w:rsidR="00AF2FBC" w:rsidRPr="00313E03" w:rsidRDefault="00C428AF" w:rsidP="00313E03">
      <w:pPr>
        <w:pStyle w:val="NormalIndent5mm"/>
        <w:numPr>
          <w:ilvl w:val="0"/>
          <w:numId w:val="38"/>
        </w:numPr>
        <w:spacing w:before="0" w:after="120"/>
        <w:rPr>
          <w:rFonts w:cstheme="minorHAnsi"/>
        </w:rPr>
      </w:pPr>
      <w:r w:rsidRPr="00313E03">
        <w:rPr>
          <w:rFonts w:asciiTheme="minorHAnsi" w:hAnsiTheme="minorHAnsi" w:cstheme="minorHAnsi"/>
          <w:sz w:val="21"/>
          <w:szCs w:val="21"/>
        </w:rPr>
        <w:t>ACT Wellbeing Framework 2020</w:t>
      </w:r>
      <w:r w:rsidR="00BA6020">
        <w:rPr>
          <w:rFonts w:asciiTheme="minorHAnsi" w:hAnsiTheme="minorHAnsi" w:cstheme="minorHAnsi"/>
          <w:sz w:val="21"/>
          <w:szCs w:val="21"/>
          <w:vertAlign w:val="superscript"/>
        </w:rPr>
        <w:t>1</w:t>
      </w:r>
      <w:r w:rsidR="005277D5">
        <w:rPr>
          <w:rFonts w:asciiTheme="minorHAnsi" w:hAnsiTheme="minorHAnsi" w:cstheme="minorHAnsi"/>
          <w:sz w:val="21"/>
          <w:szCs w:val="21"/>
          <w:vertAlign w:val="superscript"/>
        </w:rPr>
        <w:t>8</w:t>
      </w:r>
      <w:r w:rsidR="00AF2FBC" w:rsidRPr="00313E03">
        <w:rPr>
          <w:rFonts w:asciiTheme="minorHAnsi" w:hAnsiTheme="minorHAnsi" w:cstheme="minorHAnsi"/>
          <w:sz w:val="21"/>
          <w:szCs w:val="21"/>
        </w:rPr>
        <w:t>.</w:t>
      </w:r>
    </w:p>
    <w:p w14:paraId="395673E9" w14:textId="3AAABDFA" w:rsidR="006C312D" w:rsidRPr="00BD2193" w:rsidRDefault="00282EA7" w:rsidP="008314BD">
      <w:pPr>
        <w:spacing w:after="0"/>
        <w:contextualSpacing/>
      </w:pPr>
      <w:r w:rsidRPr="00BD2193">
        <w:t xml:space="preserve">The </w:t>
      </w:r>
      <w:r w:rsidR="006C312D" w:rsidRPr="00BD2193">
        <w:t>Cultural Competency Implementation Framework: Achieving Inclusive Practice with Lesbian, Gay, Bisexual, Trans and Intersex (LGBTI) Communities</w:t>
      </w:r>
      <w:r w:rsidR="006A3760" w:rsidRPr="00BD2193">
        <w:t xml:space="preserve"> </w:t>
      </w:r>
      <w:r w:rsidR="00327C0D" w:rsidRPr="00BD2193">
        <w:t xml:space="preserve">outlines </w:t>
      </w:r>
      <w:r w:rsidR="006C71B4" w:rsidRPr="00BD2193">
        <w:t xml:space="preserve">a national, best practise framework </w:t>
      </w:r>
      <w:r w:rsidR="00EC34AC" w:rsidRPr="00BD2193">
        <w:t>developed by</w:t>
      </w:r>
      <w:r w:rsidR="00E54321" w:rsidRPr="00BD2193">
        <w:t xml:space="preserve"> LGBTIQ+ Health Australia</w:t>
      </w:r>
      <w:r w:rsidR="00BA6020">
        <w:rPr>
          <w:vertAlign w:val="superscript"/>
        </w:rPr>
        <w:t>1</w:t>
      </w:r>
      <w:r w:rsidR="00F55719">
        <w:rPr>
          <w:vertAlign w:val="superscript"/>
        </w:rPr>
        <w:t>5</w:t>
      </w:r>
      <w:r w:rsidR="00E54321" w:rsidRPr="00BD2193">
        <w:t xml:space="preserve">. LGBTIQ+ Health Australia provide a national voice on policy for </w:t>
      </w:r>
      <w:r w:rsidR="00960DDE" w:rsidRPr="00BD2193">
        <w:t>LGBTI</w:t>
      </w:r>
      <w:r w:rsidR="00910E1E" w:rsidRPr="00BD2193">
        <w:t>Q</w:t>
      </w:r>
      <w:r w:rsidR="00960DDE" w:rsidRPr="00BD2193">
        <w:t>A+ people</w:t>
      </w:r>
      <w:r w:rsidR="0045623B" w:rsidRPr="00BD2193">
        <w:t xml:space="preserve"> </w:t>
      </w:r>
      <w:r w:rsidR="000E2E0C" w:rsidRPr="00BD2193">
        <w:t>and this framework outlines principles for best practise service delivery</w:t>
      </w:r>
      <w:r w:rsidR="002D1964" w:rsidRPr="00BD2193">
        <w:t>.</w:t>
      </w:r>
    </w:p>
    <w:p w14:paraId="44A980FE" w14:textId="77777777" w:rsidR="002D1964" w:rsidRPr="00BD2193" w:rsidRDefault="002D1964" w:rsidP="003F6AE9">
      <w:pPr>
        <w:spacing w:after="120"/>
      </w:pPr>
      <w:r w:rsidRPr="00BD2193">
        <w:t>These principles include:</w:t>
      </w:r>
    </w:p>
    <w:p w14:paraId="35C677D3" w14:textId="77777777" w:rsidR="002D1964" w:rsidRPr="00BD2193" w:rsidRDefault="001B2131" w:rsidP="003F6AE9">
      <w:pPr>
        <w:pStyle w:val="NormalIndent5mm"/>
        <w:numPr>
          <w:ilvl w:val="0"/>
          <w:numId w:val="27"/>
        </w:numPr>
        <w:spacing w:before="0" w:after="120"/>
        <w:rPr>
          <w:rFonts w:asciiTheme="minorHAnsi" w:hAnsiTheme="minorHAnsi" w:cstheme="minorHAnsi"/>
          <w:sz w:val="21"/>
          <w:szCs w:val="21"/>
        </w:rPr>
      </w:pPr>
      <w:r w:rsidRPr="00BD2193">
        <w:rPr>
          <w:rFonts w:asciiTheme="minorHAnsi" w:hAnsiTheme="minorHAnsi" w:cstheme="minorHAnsi"/>
          <w:sz w:val="21"/>
          <w:szCs w:val="21"/>
        </w:rPr>
        <w:t>Recognise that it is important to increase cultural competency;</w:t>
      </w:r>
    </w:p>
    <w:p w14:paraId="19EFB48B" w14:textId="77777777" w:rsidR="001B2131" w:rsidRPr="00BD2193" w:rsidRDefault="005137C4" w:rsidP="003F6AE9">
      <w:pPr>
        <w:pStyle w:val="NormalIndent5mm"/>
        <w:numPr>
          <w:ilvl w:val="0"/>
          <w:numId w:val="27"/>
        </w:numPr>
        <w:spacing w:before="0" w:after="120"/>
        <w:rPr>
          <w:rFonts w:asciiTheme="minorHAnsi" w:hAnsiTheme="minorHAnsi" w:cstheme="minorHAnsi"/>
          <w:sz w:val="21"/>
          <w:szCs w:val="21"/>
        </w:rPr>
      </w:pPr>
      <w:r w:rsidRPr="00BD2193">
        <w:rPr>
          <w:rFonts w:asciiTheme="minorHAnsi" w:hAnsiTheme="minorHAnsi" w:cstheme="minorHAnsi"/>
          <w:sz w:val="21"/>
          <w:szCs w:val="21"/>
        </w:rPr>
        <w:t>Recognise and affirm sexual orientation, sex and gender diversity and intersex status;</w:t>
      </w:r>
    </w:p>
    <w:p w14:paraId="1BEDF8A3" w14:textId="77777777" w:rsidR="005137C4" w:rsidRPr="00BD2193" w:rsidRDefault="001A6AFA" w:rsidP="003F6AE9">
      <w:pPr>
        <w:pStyle w:val="NormalIndent5mm"/>
        <w:numPr>
          <w:ilvl w:val="0"/>
          <w:numId w:val="27"/>
        </w:numPr>
        <w:spacing w:before="0" w:after="120"/>
        <w:rPr>
          <w:rFonts w:asciiTheme="minorHAnsi" w:hAnsiTheme="minorHAnsi" w:cstheme="minorHAnsi"/>
          <w:sz w:val="21"/>
          <w:szCs w:val="21"/>
        </w:rPr>
      </w:pPr>
      <w:r w:rsidRPr="00BD2193">
        <w:rPr>
          <w:rFonts w:asciiTheme="minorHAnsi" w:hAnsiTheme="minorHAnsi" w:cstheme="minorHAnsi"/>
          <w:sz w:val="21"/>
          <w:szCs w:val="21"/>
        </w:rPr>
        <w:t>Foster a safe, welcoming environment and inclusive services;</w:t>
      </w:r>
      <w:r w:rsidR="00E43A94" w:rsidRPr="00BD2193">
        <w:rPr>
          <w:rFonts w:asciiTheme="minorHAnsi" w:hAnsiTheme="minorHAnsi" w:cstheme="minorHAnsi"/>
          <w:sz w:val="21"/>
          <w:szCs w:val="21"/>
        </w:rPr>
        <w:t xml:space="preserve"> and</w:t>
      </w:r>
    </w:p>
    <w:p w14:paraId="13684B47" w14:textId="77777777" w:rsidR="005E5489" w:rsidRPr="00BD2193" w:rsidRDefault="004A5221" w:rsidP="003F6AE9">
      <w:pPr>
        <w:pStyle w:val="NormalIndent5mm"/>
        <w:numPr>
          <w:ilvl w:val="0"/>
          <w:numId w:val="27"/>
        </w:numPr>
        <w:spacing w:before="0" w:after="120"/>
        <w:rPr>
          <w:rFonts w:asciiTheme="minorHAnsi" w:hAnsiTheme="minorHAnsi" w:cstheme="minorHAnsi"/>
          <w:sz w:val="21"/>
          <w:szCs w:val="21"/>
        </w:rPr>
      </w:pPr>
      <w:r w:rsidRPr="00BD2193">
        <w:rPr>
          <w:rFonts w:asciiTheme="minorHAnsi" w:hAnsiTheme="minorHAnsi" w:cstheme="minorHAnsi"/>
          <w:sz w:val="21"/>
          <w:szCs w:val="21"/>
        </w:rPr>
        <w:t>Make a commitment to dynamic, ongoing change</w:t>
      </w:r>
      <w:r w:rsidR="00E43A94" w:rsidRPr="00BD2193">
        <w:rPr>
          <w:rFonts w:asciiTheme="minorHAnsi" w:hAnsiTheme="minorHAnsi" w:cstheme="minorHAnsi"/>
          <w:sz w:val="21"/>
          <w:szCs w:val="21"/>
        </w:rPr>
        <w:t>.</w:t>
      </w:r>
    </w:p>
    <w:p w14:paraId="231C8FE7" w14:textId="41BA4FA7" w:rsidR="00415E67" w:rsidRPr="00BD2193" w:rsidRDefault="00313E03" w:rsidP="00BD2193">
      <w:pPr>
        <w:spacing w:after="120"/>
        <w:contextualSpacing/>
      </w:pPr>
      <w:r w:rsidRPr="00BD2193">
        <w:rPr>
          <w:noProof/>
        </w:rPr>
        <mc:AlternateContent>
          <mc:Choice Requires="wps">
            <w:drawing>
              <wp:anchor distT="45720" distB="45720" distL="114300" distR="114300" simplePos="0" relativeHeight="251685894" behindDoc="1" locked="0" layoutInCell="1" allowOverlap="1" wp14:anchorId="690F7768" wp14:editId="36355C94">
                <wp:simplePos x="0" y="0"/>
                <wp:positionH relativeFrom="margin">
                  <wp:align>left</wp:align>
                </wp:positionH>
                <wp:positionV relativeFrom="paragraph">
                  <wp:posOffset>1036955</wp:posOffset>
                </wp:positionV>
                <wp:extent cx="6238875" cy="1219200"/>
                <wp:effectExtent l="0" t="0" r="28575" b="19050"/>
                <wp:wrapTight wrapText="bothSides">
                  <wp:wrapPolygon edited="0">
                    <wp:start x="0" y="0"/>
                    <wp:lineTo x="0" y="21600"/>
                    <wp:lineTo x="21633" y="21600"/>
                    <wp:lineTo x="2163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219200"/>
                        </a:xfrm>
                        <a:prstGeom prst="rect">
                          <a:avLst/>
                        </a:prstGeom>
                        <a:solidFill>
                          <a:srgbClr val="482D8C">
                            <a:lumMod val="20000"/>
                            <a:lumOff val="80000"/>
                          </a:srgbClr>
                        </a:solidFill>
                        <a:ln w="9525">
                          <a:solidFill>
                            <a:srgbClr val="482D8C"/>
                          </a:solidFill>
                          <a:miter lim="800000"/>
                          <a:headEnd/>
                          <a:tailEnd/>
                        </a:ln>
                      </wps:spPr>
                      <wps:txbx>
                        <w:txbxContent>
                          <w:p w14:paraId="364DE35E" w14:textId="77777777" w:rsidR="00290686" w:rsidRPr="007C3C22" w:rsidRDefault="00BD2193" w:rsidP="007C3C22">
                            <w:pPr>
                              <w:spacing w:after="120"/>
                              <w:rPr>
                                <w:rFonts w:cstheme="minorBidi"/>
                                <w:b/>
                                <w:bCs/>
                                <w:sz w:val="22"/>
                                <w:szCs w:val="22"/>
                                <w:lang w:eastAsia="en-US"/>
                              </w:rPr>
                            </w:pPr>
                            <w:r>
                              <w:rPr>
                                <w:rFonts w:cstheme="minorBidi"/>
                                <w:b/>
                                <w:bCs/>
                                <w:sz w:val="22"/>
                                <w:szCs w:val="22"/>
                                <w:lang w:eastAsia="en-US"/>
                              </w:rPr>
                              <w:t xml:space="preserve">Question: </w:t>
                            </w:r>
                            <w:r w:rsidR="00D86380" w:rsidRPr="007C3C22">
                              <w:rPr>
                                <w:rFonts w:cstheme="minorBidi"/>
                                <w:b/>
                                <w:bCs/>
                                <w:sz w:val="22"/>
                                <w:szCs w:val="22"/>
                                <w:lang w:eastAsia="en-US"/>
                              </w:rPr>
                              <w:t>What support do community services need to ensure they are culturally competent for LGBTI</w:t>
                            </w:r>
                            <w:r w:rsidR="00910E1E">
                              <w:rPr>
                                <w:rFonts w:cstheme="minorBidi"/>
                                <w:b/>
                                <w:bCs/>
                                <w:sz w:val="22"/>
                                <w:szCs w:val="22"/>
                                <w:lang w:eastAsia="en-US"/>
                              </w:rPr>
                              <w:t>Q</w:t>
                            </w:r>
                            <w:r w:rsidR="00D86380" w:rsidRPr="007C3C22">
                              <w:rPr>
                                <w:rFonts w:cstheme="minorBidi"/>
                                <w:b/>
                                <w:bCs/>
                                <w:sz w:val="22"/>
                                <w:szCs w:val="22"/>
                                <w:lang w:eastAsia="en-US"/>
                              </w:rPr>
                              <w:t>A+ people?</w:t>
                            </w:r>
                          </w:p>
                          <w:p w14:paraId="65184F15" w14:textId="51818AD7" w:rsidR="007C3C22" w:rsidRDefault="00BD2193" w:rsidP="007C3C22">
                            <w:pPr>
                              <w:spacing w:after="120"/>
                            </w:pPr>
                            <w:r>
                              <w:rPr>
                                <w:rFonts w:cstheme="minorBidi"/>
                                <w:b/>
                                <w:bCs/>
                                <w:sz w:val="22"/>
                                <w:szCs w:val="22"/>
                                <w:lang w:eastAsia="en-US"/>
                              </w:rPr>
                              <w:t xml:space="preserve">Question: </w:t>
                            </w:r>
                            <w:r w:rsidR="007C3C22">
                              <w:rPr>
                                <w:rFonts w:cstheme="minorBidi"/>
                                <w:b/>
                                <w:bCs/>
                                <w:sz w:val="22"/>
                                <w:szCs w:val="22"/>
                                <w:lang w:eastAsia="en-US"/>
                              </w:rPr>
                              <w:t>For community services that have tried to be more accessible for LGBTI</w:t>
                            </w:r>
                            <w:r w:rsidR="00910E1E">
                              <w:rPr>
                                <w:rFonts w:cstheme="minorBidi"/>
                                <w:b/>
                                <w:bCs/>
                                <w:sz w:val="22"/>
                                <w:szCs w:val="22"/>
                                <w:lang w:eastAsia="en-US"/>
                              </w:rPr>
                              <w:t>Q</w:t>
                            </w:r>
                            <w:r w:rsidR="007C3C22">
                              <w:rPr>
                                <w:rFonts w:cstheme="minorBidi"/>
                                <w:b/>
                                <w:bCs/>
                                <w:sz w:val="22"/>
                                <w:szCs w:val="22"/>
                                <w:lang w:eastAsia="en-US"/>
                              </w:rPr>
                              <w:t xml:space="preserve">A+ people, what approaches have been successful? </w:t>
                            </w:r>
                            <w:r w:rsidR="001F24E8">
                              <w:rPr>
                                <w:rFonts w:cstheme="minorBidi"/>
                                <w:b/>
                                <w:bCs/>
                                <w:sz w:val="22"/>
                                <w:szCs w:val="22"/>
                                <w:lang w:eastAsia="en-US"/>
                              </w:rPr>
                              <w:t>What approaches have been less successful</w:t>
                            </w:r>
                            <w:r w:rsidR="007C3C22">
                              <w:rPr>
                                <w:rFonts w:cstheme="minorBidi"/>
                                <w:b/>
                                <w:bCs/>
                                <w:sz w:val="22"/>
                                <w:szCs w:val="22"/>
                                <w:lang w:eastAsia="en-US"/>
                              </w:rPr>
                              <w:t>?</w:t>
                            </w:r>
                            <w:r w:rsidR="007C3C22" w:rsidRPr="00C54480">
                              <w:t xml:space="preserve"> </w:t>
                            </w:r>
                          </w:p>
                          <w:p w14:paraId="709ED2D6" w14:textId="77777777" w:rsidR="007C3C22" w:rsidRDefault="00BD2193" w:rsidP="007C3C22">
                            <w:pPr>
                              <w:spacing w:after="120"/>
                              <w:rPr>
                                <w:rFonts w:cstheme="minorBidi"/>
                                <w:b/>
                                <w:bCs/>
                                <w:sz w:val="22"/>
                                <w:szCs w:val="22"/>
                                <w:lang w:eastAsia="en-US"/>
                              </w:rPr>
                            </w:pPr>
                            <w:r>
                              <w:rPr>
                                <w:rFonts w:cstheme="minorBidi"/>
                                <w:b/>
                                <w:bCs/>
                                <w:sz w:val="22"/>
                                <w:szCs w:val="22"/>
                                <w:lang w:eastAsia="en-US"/>
                              </w:rPr>
                              <w:t xml:space="preserve">Question: </w:t>
                            </w:r>
                            <w:r w:rsidR="007C3C22" w:rsidRPr="00C54480">
                              <w:rPr>
                                <w:rFonts w:cstheme="minorBidi"/>
                                <w:b/>
                                <w:bCs/>
                                <w:sz w:val="22"/>
                                <w:szCs w:val="22"/>
                                <w:lang w:eastAsia="en-US"/>
                              </w:rPr>
                              <w:t>How can the</w:t>
                            </w:r>
                            <w:r w:rsidR="007C3C22">
                              <w:rPr>
                                <w:rFonts w:cstheme="minorBidi"/>
                                <w:b/>
                                <w:bCs/>
                                <w:sz w:val="22"/>
                                <w:szCs w:val="22"/>
                                <w:lang w:eastAsia="en-US"/>
                              </w:rPr>
                              <w:t xml:space="preserve"> NGO</w:t>
                            </w:r>
                            <w:r w:rsidR="007C3C22" w:rsidRPr="00C54480">
                              <w:rPr>
                                <w:rFonts w:cstheme="minorBidi"/>
                                <w:b/>
                                <w:bCs/>
                                <w:sz w:val="22"/>
                                <w:szCs w:val="22"/>
                                <w:lang w:eastAsia="en-US"/>
                              </w:rPr>
                              <w:t xml:space="preserve"> sector be supported to provide inclusive services to the LGBTIQA+ community? </w:t>
                            </w:r>
                          </w:p>
                          <w:p w14:paraId="180B3F66" w14:textId="77777777" w:rsidR="00290686" w:rsidRPr="00A3761E" w:rsidRDefault="00290686" w:rsidP="007C3C22">
                            <w:pPr>
                              <w:spacing w:after="12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F7768" id="_x0000_s1031" type="#_x0000_t202" style="position:absolute;margin-left:0;margin-top:81.65pt;width:491.25pt;height:96pt;z-index:-25163058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1MQIAAGAEAAAOAAAAZHJzL2Uyb0RvYy54bWysVNtu2zAMfR+wfxD0vjj2ktYx4hRdsg4D&#10;ugvQ7QNkWY6FSaInKbG7ry8lO2m6PQwY9iKIpHVInkN6fTNoRY7COgmmpOlsTokwHGpp9iX9/u3u&#10;TU6J88zUTIERJX0Ujt5sXr9a910hMmhB1cISBDGu6LuStt53RZI43grN3Aw6YTDYgNXMo2n3SW1Z&#10;j+haJdl8fpX0YOvOAhfOoXc3Bukm4jeN4P5L0zjhiSop1ubjaeNZhTPZrFmxt6xrJZ/KYP9QhWbS&#10;YNIz1I55Rg5W/gGlJbfgoPEzDjqBppFcxB6wm3T+WzcPLetE7AXJcd2ZJvf/YPnn40P31RI/vIMB&#10;BYxNuO4e+A9HDGxbZvbi1lroW8FqTJwGypK+c8X0NFDtChdAqv4T1CgyO3iIQENjdWAF+ySIjgI8&#10;nkkXgyccnVfZ2zy/XlLCMZZm6QpljTlYcXreWec/CNAkXEpqUdUIz473zodyWHH6JGRzoGR9J5WK&#10;ht1XW2XJkeEELPJsl2/jW3XQWOzoxoxjTlagGwdmdOcnN+K7ESbmeoGvDOlLulpmy5G6v+Uey30B&#10;oaXHHVBSlzSmnKYyEP7e1HFCPZNqvGMtykwKBNJH+v1QDUTWJV0G6oIgFdSPKImFceRxRfHSgv1F&#10;SY/jXlL388CsoER9NCjrKl0swn5EY7G8ztCwl5HqMsIMR6iSekrG69bHnQqEG7hF+RsZhXmuZCoZ&#10;xzhyOK1c2JNLO371/GPYPAEAAP//AwBQSwMEFAAGAAgAAAAhAEeuZKTeAAAACAEAAA8AAABkcnMv&#10;ZG93bnJldi54bWxMj8FOwzAQRO9I/IO1SNyoQ6NUIcSpEBUSJ0QLEhw3tklc4nUUu23g61lOcJyd&#10;1cybej37QRztFF0gBdeLDIQlHYyjTsHry8NVCSImJINDIKvgy0ZYN+dnNVYmnGhrj7vUCQ6hWKGC&#10;PqWxkjLq3nqMizBaYu8jTB4Ty6mTZsITh/tBLrNsJT064oYeR3vfW/25O3gFjlC3z+VmQ2+P7im9&#10;6/12L7+VuryY725BJDunv2f4xWd0aJipDQcyUQwKeEji6yrPQbB9Uy4LEK2CvChykE0t/w9ofgAA&#10;AP//AwBQSwECLQAUAAYACAAAACEAtoM4kv4AAADhAQAAEwAAAAAAAAAAAAAAAAAAAAAAW0NvbnRl&#10;bnRfVHlwZXNdLnhtbFBLAQItABQABgAIAAAAIQA4/SH/1gAAAJQBAAALAAAAAAAAAAAAAAAAAC8B&#10;AABfcmVscy8ucmVsc1BLAQItABQABgAIAAAAIQBhdn+1MQIAAGAEAAAOAAAAAAAAAAAAAAAAAC4C&#10;AABkcnMvZTJvRG9jLnhtbFBLAQItABQABgAIAAAAIQBHrmSk3gAAAAgBAAAPAAAAAAAAAAAAAAAA&#10;AIsEAABkcnMvZG93bnJldi54bWxQSwUGAAAAAAQABADzAAAAlgUAAAAA&#10;" fillcolor="#d7ceef" strokecolor="#482d8c">
                <v:textbox>
                  <w:txbxContent>
                    <w:p w14:paraId="364DE35E" w14:textId="77777777" w:rsidR="00290686" w:rsidRPr="007C3C22" w:rsidRDefault="00BD2193" w:rsidP="007C3C22">
                      <w:pPr>
                        <w:spacing w:after="120"/>
                        <w:rPr>
                          <w:rFonts w:cstheme="minorBidi"/>
                          <w:b/>
                          <w:bCs/>
                          <w:sz w:val="22"/>
                          <w:szCs w:val="22"/>
                          <w:lang w:eastAsia="en-US"/>
                        </w:rPr>
                      </w:pPr>
                      <w:r>
                        <w:rPr>
                          <w:rFonts w:cstheme="minorBidi"/>
                          <w:b/>
                          <w:bCs/>
                          <w:sz w:val="22"/>
                          <w:szCs w:val="22"/>
                          <w:lang w:eastAsia="en-US"/>
                        </w:rPr>
                        <w:t xml:space="preserve">Question: </w:t>
                      </w:r>
                      <w:r w:rsidR="00D86380" w:rsidRPr="007C3C22">
                        <w:rPr>
                          <w:rFonts w:cstheme="minorBidi"/>
                          <w:b/>
                          <w:bCs/>
                          <w:sz w:val="22"/>
                          <w:szCs w:val="22"/>
                          <w:lang w:eastAsia="en-US"/>
                        </w:rPr>
                        <w:t>What support do community services need to ensure they are culturally competent for LGBTI</w:t>
                      </w:r>
                      <w:r w:rsidR="00910E1E">
                        <w:rPr>
                          <w:rFonts w:cstheme="minorBidi"/>
                          <w:b/>
                          <w:bCs/>
                          <w:sz w:val="22"/>
                          <w:szCs w:val="22"/>
                          <w:lang w:eastAsia="en-US"/>
                        </w:rPr>
                        <w:t>Q</w:t>
                      </w:r>
                      <w:r w:rsidR="00D86380" w:rsidRPr="007C3C22">
                        <w:rPr>
                          <w:rFonts w:cstheme="minorBidi"/>
                          <w:b/>
                          <w:bCs/>
                          <w:sz w:val="22"/>
                          <w:szCs w:val="22"/>
                          <w:lang w:eastAsia="en-US"/>
                        </w:rPr>
                        <w:t>A+ people?</w:t>
                      </w:r>
                    </w:p>
                    <w:p w14:paraId="65184F15" w14:textId="51818AD7" w:rsidR="007C3C22" w:rsidRDefault="00BD2193" w:rsidP="007C3C22">
                      <w:pPr>
                        <w:spacing w:after="120"/>
                      </w:pPr>
                      <w:r>
                        <w:rPr>
                          <w:rFonts w:cstheme="minorBidi"/>
                          <w:b/>
                          <w:bCs/>
                          <w:sz w:val="22"/>
                          <w:szCs w:val="22"/>
                          <w:lang w:eastAsia="en-US"/>
                        </w:rPr>
                        <w:t xml:space="preserve">Question: </w:t>
                      </w:r>
                      <w:r w:rsidR="007C3C22">
                        <w:rPr>
                          <w:rFonts w:cstheme="minorBidi"/>
                          <w:b/>
                          <w:bCs/>
                          <w:sz w:val="22"/>
                          <w:szCs w:val="22"/>
                          <w:lang w:eastAsia="en-US"/>
                        </w:rPr>
                        <w:t>For community services that have tried to be more accessible for LGBTI</w:t>
                      </w:r>
                      <w:r w:rsidR="00910E1E">
                        <w:rPr>
                          <w:rFonts w:cstheme="minorBidi"/>
                          <w:b/>
                          <w:bCs/>
                          <w:sz w:val="22"/>
                          <w:szCs w:val="22"/>
                          <w:lang w:eastAsia="en-US"/>
                        </w:rPr>
                        <w:t>Q</w:t>
                      </w:r>
                      <w:r w:rsidR="007C3C22">
                        <w:rPr>
                          <w:rFonts w:cstheme="minorBidi"/>
                          <w:b/>
                          <w:bCs/>
                          <w:sz w:val="22"/>
                          <w:szCs w:val="22"/>
                          <w:lang w:eastAsia="en-US"/>
                        </w:rPr>
                        <w:t xml:space="preserve">A+ people, what approaches have been successful? </w:t>
                      </w:r>
                      <w:r w:rsidR="001F24E8">
                        <w:rPr>
                          <w:rFonts w:cstheme="minorBidi"/>
                          <w:b/>
                          <w:bCs/>
                          <w:sz w:val="22"/>
                          <w:szCs w:val="22"/>
                          <w:lang w:eastAsia="en-US"/>
                        </w:rPr>
                        <w:t>What approaches have been less successful</w:t>
                      </w:r>
                      <w:r w:rsidR="007C3C22">
                        <w:rPr>
                          <w:rFonts w:cstheme="minorBidi"/>
                          <w:b/>
                          <w:bCs/>
                          <w:sz w:val="22"/>
                          <w:szCs w:val="22"/>
                          <w:lang w:eastAsia="en-US"/>
                        </w:rPr>
                        <w:t>?</w:t>
                      </w:r>
                      <w:r w:rsidR="007C3C22" w:rsidRPr="00C54480">
                        <w:t xml:space="preserve"> </w:t>
                      </w:r>
                    </w:p>
                    <w:p w14:paraId="709ED2D6" w14:textId="77777777" w:rsidR="007C3C22" w:rsidRDefault="00BD2193" w:rsidP="007C3C22">
                      <w:pPr>
                        <w:spacing w:after="120"/>
                        <w:rPr>
                          <w:rFonts w:cstheme="minorBidi"/>
                          <w:b/>
                          <w:bCs/>
                          <w:sz w:val="22"/>
                          <w:szCs w:val="22"/>
                          <w:lang w:eastAsia="en-US"/>
                        </w:rPr>
                      </w:pPr>
                      <w:r>
                        <w:rPr>
                          <w:rFonts w:cstheme="minorBidi"/>
                          <w:b/>
                          <w:bCs/>
                          <w:sz w:val="22"/>
                          <w:szCs w:val="22"/>
                          <w:lang w:eastAsia="en-US"/>
                        </w:rPr>
                        <w:t xml:space="preserve">Question: </w:t>
                      </w:r>
                      <w:r w:rsidR="007C3C22" w:rsidRPr="00C54480">
                        <w:rPr>
                          <w:rFonts w:cstheme="minorBidi"/>
                          <w:b/>
                          <w:bCs/>
                          <w:sz w:val="22"/>
                          <w:szCs w:val="22"/>
                          <w:lang w:eastAsia="en-US"/>
                        </w:rPr>
                        <w:t>How can the</w:t>
                      </w:r>
                      <w:r w:rsidR="007C3C22">
                        <w:rPr>
                          <w:rFonts w:cstheme="minorBidi"/>
                          <w:b/>
                          <w:bCs/>
                          <w:sz w:val="22"/>
                          <w:szCs w:val="22"/>
                          <w:lang w:eastAsia="en-US"/>
                        </w:rPr>
                        <w:t xml:space="preserve"> NGO</w:t>
                      </w:r>
                      <w:r w:rsidR="007C3C22" w:rsidRPr="00C54480">
                        <w:rPr>
                          <w:rFonts w:cstheme="minorBidi"/>
                          <w:b/>
                          <w:bCs/>
                          <w:sz w:val="22"/>
                          <w:szCs w:val="22"/>
                          <w:lang w:eastAsia="en-US"/>
                        </w:rPr>
                        <w:t xml:space="preserve"> sector be supported to provide inclusive services to the LGBTIQA+ community? </w:t>
                      </w:r>
                    </w:p>
                    <w:p w14:paraId="180B3F66" w14:textId="77777777" w:rsidR="00290686" w:rsidRPr="00A3761E" w:rsidRDefault="00290686" w:rsidP="007C3C22">
                      <w:pPr>
                        <w:spacing w:after="120"/>
                        <w:rPr>
                          <w:b/>
                          <w:bCs/>
                        </w:rPr>
                      </w:pPr>
                    </w:p>
                  </w:txbxContent>
                </v:textbox>
                <w10:wrap type="tight" anchorx="margin"/>
              </v:shape>
            </w:pict>
          </mc:Fallback>
        </mc:AlternateContent>
      </w:r>
      <w:r w:rsidR="00B96723" w:rsidRPr="00BD2193">
        <w:t xml:space="preserve">This </w:t>
      </w:r>
      <w:r w:rsidR="00CA0AC6" w:rsidRPr="00BD2193">
        <w:t xml:space="preserve">cultural competency </w:t>
      </w:r>
      <w:r w:rsidR="00B96723" w:rsidRPr="00BD2193">
        <w:t xml:space="preserve">framework </w:t>
      </w:r>
      <w:r w:rsidR="00CA0AC6" w:rsidRPr="00BD2193">
        <w:t>could be used to address a lack of access to and engagement with health services, which is a key determinant of health and wellbeing.</w:t>
      </w:r>
      <w:r w:rsidR="00F46AA4">
        <w:t xml:space="preserve"> Cultural competency is widely acknowledged as a preliminary step</w:t>
      </w:r>
      <w:r w:rsidR="00CA0AC6" w:rsidRPr="00BD2193">
        <w:t xml:space="preserve"> </w:t>
      </w:r>
      <w:r w:rsidR="00F46AA4">
        <w:t xml:space="preserve">when considering accessible and appropriate services for LGBTIQA+ people. </w:t>
      </w:r>
      <w:r w:rsidR="00CF20C2">
        <w:t>T</w:t>
      </w:r>
      <w:r w:rsidR="00CF20C2" w:rsidRPr="00313E03">
        <w:rPr>
          <w:i/>
          <w:iCs/>
        </w:rPr>
        <w:t xml:space="preserve">he ACT Guidance to Support Gender </w:t>
      </w:r>
      <w:r w:rsidR="00FE7BC9" w:rsidRPr="00FE7BC9">
        <w:rPr>
          <w:i/>
          <w:iCs/>
        </w:rPr>
        <w:t>Affirming</w:t>
      </w:r>
      <w:r w:rsidR="00CF20C2" w:rsidRPr="00313E03">
        <w:rPr>
          <w:i/>
          <w:iCs/>
        </w:rPr>
        <w:t xml:space="preserve"> Care for Mental Health</w:t>
      </w:r>
      <w:r w:rsidR="00987FF2">
        <w:rPr>
          <w:vertAlign w:val="superscript"/>
        </w:rPr>
        <w:t>1</w:t>
      </w:r>
      <w:r w:rsidR="00F55719">
        <w:rPr>
          <w:vertAlign w:val="superscript"/>
        </w:rPr>
        <w:t>6</w:t>
      </w:r>
      <w:r w:rsidR="00CF20C2" w:rsidRPr="00CF20C2">
        <w:t xml:space="preserve"> </w:t>
      </w:r>
      <w:r w:rsidR="00CF20C2">
        <w:t xml:space="preserve">also provides practical steps for delivering gender </w:t>
      </w:r>
      <w:r w:rsidR="00F46AA4">
        <w:t>affirming</w:t>
      </w:r>
      <w:r w:rsidR="00CF20C2">
        <w:t xml:space="preserve"> care supporting transgende</w:t>
      </w:r>
      <w:r w:rsidR="00F46AA4">
        <w:t xml:space="preserve">r and </w:t>
      </w:r>
      <w:r w:rsidR="00CF20C2">
        <w:t>gender divers</w:t>
      </w:r>
      <w:r w:rsidR="00F55719">
        <w:t>e</w:t>
      </w:r>
      <w:r w:rsidR="00CF20C2">
        <w:t xml:space="preserve"> </w:t>
      </w:r>
      <w:r w:rsidR="00F46AA4">
        <w:t>people</w:t>
      </w:r>
      <w:r w:rsidR="00FE7BC9">
        <w:t xml:space="preserve">, tailored for </w:t>
      </w:r>
      <w:r w:rsidR="00F46AA4">
        <w:t>mental</w:t>
      </w:r>
      <w:r w:rsidR="00FE7BC9">
        <w:t xml:space="preserve"> health services in the ACT context.</w:t>
      </w:r>
      <w:r w:rsidR="00CF20C2">
        <w:t xml:space="preserve"> </w:t>
      </w:r>
    </w:p>
    <w:p w14:paraId="19C951BC" w14:textId="73DB5E37" w:rsidR="007C1C19" w:rsidRPr="001147B3" w:rsidRDefault="00863052" w:rsidP="00C02F86">
      <w:pPr>
        <w:pStyle w:val="Heading1"/>
      </w:pPr>
      <w:bookmarkStart w:id="4" w:name="_Toc135994160"/>
      <w:r>
        <w:lastRenderedPageBreak/>
        <w:t>design</w:t>
      </w:r>
      <w:bookmarkEnd w:id="4"/>
      <w:r w:rsidR="00161B2E">
        <w:t xml:space="preserve"> ConsiDerations</w:t>
      </w:r>
      <w:r w:rsidR="001F24E8">
        <w:t xml:space="preserve"> </w:t>
      </w:r>
    </w:p>
    <w:p w14:paraId="5B515158" w14:textId="30EB0B84" w:rsidR="001D0E87" w:rsidRDefault="001D0E87" w:rsidP="00C353EE">
      <w:pPr>
        <w:spacing w:after="120"/>
      </w:pPr>
      <w:r>
        <w:t>Most people and services understand the need for cultural competency training when working with people from culturally and linguistically diverse backgrounds</w:t>
      </w:r>
      <w:r w:rsidR="007C3C22">
        <w:t>.</w:t>
      </w:r>
      <w:r>
        <w:t xml:space="preserve"> </w:t>
      </w:r>
      <w:r w:rsidR="007C3C22">
        <w:t>H</w:t>
      </w:r>
      <w:r>
        <w:t xml:space="preserve">owever, </w:t>
      </w:r>
      <w:r w:rsidR="007C3C22">
        <w:t>it is important to consider that</w:t>
      </w:r>
      <w:r w:rsidR="00F55719">
        <w:t xml:space="preserve"> each cohort in the</w:t>
      </w:r>
      <w:r w:rsidR="007C3C22">
        <w:t xml:space="preserve"> </w:t>
      </w:r>
      <w:r>
        <w:t>LGBTI</w:t>
      </w:r>
      <w:r w:rsidR="00910E1E">
        <w:t>Q</w:t>
      </w:r>
      <w:r>
        <w:t xml:space="preserve">A+ </w:t>
      </w:r>
      <w:r w:rsidR="007C3C22">
        <w:t xml:space="preserve">communities also </w:t>
      </w:r>
      <w:r>
        <w:t>have their own distinct culture</w:t>
      </w:r>
      <w:r w:rsidR="00C353EE">
        <w:t>s</w:t>
      </w:r>
      <w:r>
        <w:t xml:space="preserve">. </w:t>
      </w:r>
    </w:p>
    <w:p w14:paraId="59AA71B6" w14:textId="46A5278E" w:rsidR="007E191D" w:rsidRDefault="00B8431B" w:rsidP="00C353EE">
      <w:pPr>
        <w:spacing w:after="120"/>
      </w:pPr>
      <w:r>
        <w:t xml:space="preserve">Through this commissioning process the </w:t>
      </w:r>
      <w:r w:rsidR="00E17088">
        <w:t>m</w:t>
      </w:r>
      <w:r>
        <w:t xml:space="preserve">ental </w:t>
      </w:r>
      <w:r w:rsidR="00E17088">
        <w:t>h</w:t>
      </w:r>
      <w:r>
        <w:t xml:space="preserve">ealth </w:t>
      </w:r>
      <w:r w:rsidR="00E17088">
        <w:t>c</w:t>
      </w:r>
      <w:r>
        <w:t xml:space="preserve">ommissioning team </w:t>
      </w:r>
      <w:r w:rsidR="00B46109">
        <w:t xml:space="preserve">wants to identify the specific characteristics or design of mental health NGO services that can support our community. </w:t>
      </w:r>
      <w:r w:rsidR="00950A69">
        <w:t xml:space="preserve">To do this, it will be important that commissioned and funded services are </w:t>
      </w:r>
      <w:r w:rsidR="00F3761D">
        <w:t xml:space="preserve">safe, culturally competent, appropriate and able to support </w:t>
      </w:r>
      <w:r w:rsidR="005B0872">
        <w:t>anyone in our community who is seeking help</w:t>
      </w:r>
      <w:r w:rsidR="007E0CE8">
        <w:t>, including LGBTIQA+ people</w:t>
      </w:r>
      <w:r w:rsidR="005B0872">
        <w:t xml:space="preserve">. The commissioning process aims to </w:t>
      </w:r>
      <w:r w:rsidR="00F46AA4">
        <w:t>create</w:t>
      </w:r>
      <w:r w:rsidR="00077597">
        <w:t xml:space="preserve"> </w:t>
      </w:r>
      <w:r w:rsidR="00404515">
        <w:t>a representative, collaborative and accessibl</w:t>
      </w:r>
      <w:r w:rsidR="00552D9D">
        <w:t>e</w:t>
      </w:r>
      <w:r w:rsidR="00E17088">
        <w:t xml:space="preserve"> services</w:t>
      </w:r>
      <w:r w:rsidR="00077597">
        <w:t xml:space="preserve"> sector and reduce</w:t>
      </w:r>
      <w:r w:rsidR="00C8694D">
        <w:t xml:space="preserve"> </w:t>
      </w:r>
      <w:r w:rsidR="00A64352">
        <w:t>service gaps to improve the mental health of Canberrans.</w:t>
      </w:r>
    </w:p>
    <w:p w14:paraId="7AD93DA9" w14:textId="77777777" w:rsidR="005A4A97" w:rsidRDefault="007E191D" w:rsidP="00C353EE">
      <w:pPr>
        <w:spacing w:after="120"/>
      </w:pPr>
      <w:r>
        <w:t xml:space="preserve">The commissioning process will be an ongoing process moving forward </w:t>
      </w:r>
      <w:r w:rsidR="00FB00BE">
        <w:t xml:space="preserve">and will ensure </w:t>
      </w:r>
      <w:r w:rsidR="000D550E">
        <w:t xml:space="preserve">that these </w:t>
      </w:r>
      <w:r w:rsidR="00140710">
        <w:t xml:space="preserve">service </w:t>
      </w:r>
      <w:r w:rsidR="000D550E">
        <w:t xml:space="preserve">improvements will </w:t>
      </w:r>
      <w:r w:rsidR="00140710">
        <w:t xml:space="preserve">be adaptable, ever changing and our mental health sector continues to </w:t>
      </w:r>
      <w:r w:rsidR="00F54CD1">
        <w:t>be representative, collaborative and accessible.</w:t>
      </w:r>
    </w:p>
    <w:p w14:paraId="7B1F87D5" w14:textId="780EFED2" w:rsidR="00217467" w:rsidRDefault="007E0CE8" w:rsidP="00C353EE">
      <w:pPr>
        <w:spacing w:after="120"/>
      </w:pPr>
      <w:r>
        <w:t xml:space="preserve">A number of ways to support LGBTIQA+ people to access mental health services have been discussed in this paper, </w:t>
      </w:r>
      <w:proofErr w:type="gramStart"/>
      <w:r>
        <w:t>including</w:t>
      </w:r>
      <w:r w:rsidR="00582516">
        <w:t>:</w:t>
      </w:r>
      <w:proofErr w:type="gramEnd"/>
      <w:r w:rsidR="00450A96">
        <w:t xml:space="preserve"> </w:t>
      </w:r>
      <w:r w:rsidR="000E5C4C">
        <w:t xml:space="preserve">creating a welcoming environment, using inclusive language, </w:t>
      </w:r>
      <w:r w:rsidR="004B35E4">
        <w:t xml:space="preserve">and </w:t>
      </w:r>
      <w:r>
        <w:t>improved awareness and cultural competency training,</w:t>
      </w:r>
      <w:r w:rsidDel="007E0CE8">
        <w:t xml:space="preserve"> </w:t>
      </w:r>
      <w:r>
        <w:t xml:space="preserve">including for gender affirming guidelines. The Commissioning team is also considering broader service design questions as part of the Design phase including the inclusion of LGBTIQA+ lived experience workers. </w:t>
      </w:r>
      <w:bookmarkStart w:id="5" w:name="_Toc135994161"/>
      <w:r w:rsidR="00996925">
        <w:t xml:space="preserve"> </w:t>
      </w:r>
    </w:p>
    <w:p w14:paraId="5B9B820D" w14:textId="06B8112A" w:rsidR="00825C70" w:rsidRPr="00825C70" w:rsidRDefault="00BA6020" w:rsidP="008314BD">
      <w:pPr>
        <w:pStyle w:val="Heading4"/>
        <w:spacing w:before="0" w:after="0"/>
        <w:rPr>
          <w:color w:val="auto"/>
          <w:sz w:val="21"/>
          <w:szCs w:val="21"/>
        </w:rPr>
      </w:pPr>
      <w:bookmarkStart w:id="6" w:name="_Toc135994162"/>
      <w:bookmarkEnd w:id="5"/>
      <w:r>
        <w:rPr>
          <w:color w:val="auto"/>
          <w:sz w:val="21"/>
          <w:szCs w:val="21"/>
        </w:rPr>
        <w:t>Lived Experience</w:t>
      </w:r>
      <w:r w:rsidR="00825C70" w:rsidRPr="00825C70">
        <w:rPr>
          <w:color w:val="auto"/>
          <w:sz w:val="21"/>
          <w:szCs w:val="21"/>
        </w:rPr>
        <w:t xml:space="preserve"> Workers</w:t>
      </w:r>
      <w:bookmarkEnd w:id="6"/>
    </w:p>
    <w:p w14:paraId="77D9062F" w14:textId="2D90BCD3" w:rsidR="00996925" w:rsidRDefault="00313E03" w:rsidP="008314BD">
      <w:pPr>
        <w:spacing w:after="120"/>
      </w:pPr>
      <w:r>
        <w:rPr>
          <w:noProof/>
        </w:rPr>
        <mc:AlternateContent>
          <mc:Choice Requires="wps">
            <w:drawing>
              <wp:anchor distT="45720" distB="45720" distL="114300" distR="114300" simplePos="0" relativeHeight="251704326" behindDoc="1" locked="0" layoutInCell="1" allowOverlap="1" wp14:anchorId="31A59DD3" wp14:editId="22B9805C">
                <wp:simplePos x="0" y="0"/>
                <wp:positionH relativeFrom="margin">
                  <wp:align>left</wp:align>
                </wp:positionH>
                <wp:positionV relativeFrom="paragraph">
                  <wp:posOffset>1938020</wp:posOffset>
                </wp:positionV>
                <wp:extent cx="6315075" cy="504825"/>
                <wp:effectExtent l="0" t="0" r="28575" b="28575"/>
                <wp:wrapTight wrapText="bothSides">
                  <wp:wrapPolygon edited="0">
                    <wp:start x="0" y="0"/>
                    <wp:lineTo x="0" y="22008"/>
                    <wp:lineTo x="21633" y="22008"/>
                    <wp:lineTo x="21633"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04825"/>
                        </a:xfrm>
                        <a:prstGeom prst="rect">
                          <a:avLst/>
                        </a:prstGeom>
                        <a:solidFill>
                          <a:schemeClr val="bg2">
                            <a:lumMod val="20000"/>
                            <a:lumOff val="80000"/>
                          </a:schemeClr>
                        </a:solidFill>
                        <a:ln w="9525">
                          <a:solidFill>
                            <a:schemeClr val="bg2"/>
                          </a:solidFill>
                          <a:miter lim="800000"/>
                          <a:headEnd/>
                          <a:tailEnd/>
                        </a:ln>
                      </wps:spPr>
                      <wps:txbx>
                        <w:txbxContent>
                          <w:p w14:paraId="2410ED17" w14:textId="71B8391D" w:rsidR="00C353EE" w:rsidRPr="00C353EE" w:rsidRDefault="00BD2193" w:rsidP="00BD2193">
                            <w:pPr>
                              <w:spacing w:after="8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Question: </w:t>
                            </w:r>
                            <w:r w:rsidR="003770D8" w:rsidRPr="00C353EE">
                              <w:rPr>
                                <w:rStyle w:val="cf01"/>
                                <w:rFonts w:asciiTheme="minorHAnsi" w:hAnsiTheme="minorHAnsi" w:cstheme="minorHAnsi"/>
                                <w:b/>
                                <w:bCs/>
                                <w:sz w:val="22"/>
                                <w:szCs w:val="22"/>
                              </w:rPr>
                              <w:t>Of the options</w:t>
                            </w:r>
                            <w:r w:rsidR="003F16FA" w:rsidRPr="00C353EE">
                              <w:rPr>
                                <w:rStyle w:val="cf01"/>
                                <w:rFonts w:asciiTheme="minorHAnsi" w:hAnsiTheme="minorHAnsi" w:cstheme="minorHAnsi"/>
                                <w:b/>
                                <w:bCs/>
                                <w:sz w:val="22"/>
                                <w:szCs w:val="22"/>
                              </w:rPr>
                              <w:t xml:space="preserve"> </w:t>
                            </w:r>
                            <w:r w:rsidR="00C353EE" w:rsidRPr="00C353EE">
                              <w:rPr>
                                <w:rStyle w:val="cf01"/>
                                <w:rFonts w:asciiTheme="minorHAnsi" w:hAnsiTheme="minorHAnsi" w:cstheme="minorHAnsi"/>
                                <w:b/>
                                <w:bCs/>
                                <w:sz w:val="22"/>
                                <w:szCs w:val="22"/>
                              </w:rPr>
                              <w:t>described</w:t>
                            </w:r>
                            <w:r w:rsidR="008314BD">
                              <w:rPr>
                                <w:rStyle w:val="cf01"/>
                                <w:rFonts w:asciiTheme="minorHAnsi" w:hAnsiTheme="minorHAnsi" w:cstheme="minorHAnsi"/>
                                <w:b/>
                                <w:bCs/>
                                <w:sz w:val="22"/>
                                <w:szCs w:val="22"/>
                              </w:rPr>
                              <w:t xml:space="preserve"> in this </w:t>
                            </w:r>
                            <w:r w:rsidR="007E0CE8">
                              <w:rPr>
                                <w:rStyle w:val="cf01"/>
                                <w:rFonts w:asciiTheme="minorHAnsi" w:hAnsiTheme="minorHAnsi" w:cstheme="minorHAnsi"/>
                                <w:b/>
                                <w:bCs/>
                                <w:sz w:val="22"/>
                                <w:szCs w:val="22"/>
                              </w:rPr>
                              <w:t>paper</w:t>
                            </w:r>
                            <w:r w:rsidR="003770D8" w:rsidRPr="00C353EE">
                              <w:rPr>
                                <w:rStyle w:val="cf01"/>
                                <w:rFonts w:asciiTheme="minorHAnsi" w:hAnsiTheme="minorHAnsi" w:cstheme="minorHAnsi"/>
                                <w:b/>
                                <w:bCs/>
                                <w:sz w:val="22"/>
                                <w:szCs w:val="22"/>
                              </w:rPr>
                              <w:t xml:space="preserve">, or any others you can identify, what are your top priorities for </w:t>
                            </w:r>
                            <w:r w:rsidR="000E3440" w:rsidRPr="00C353EE">
                              <w:rPr>
                                <w:rStyle w:val="cf01"/>
                                <w:rFonts w:asciiTheme="minorHAnsi" w:hAnsiTheme="minorHAnsi" w:cstheme="minorHAnsi"/>
                                <w:b/>
                                <w:bCs/>
                                <w:sz w:val="22"/>
                                <w:szCs w:val="22"/>
                              </w:rPr>
                              <w:t xml:space="preserve">community </w:t>
                            </w:r>
                            <w:r w:rsidR="003770D8" w:rsidRPr="00C353EE">
                              <w:rPr>
                                <w:rStyle w:val="cf01"/>
                                <w:rFonts w:asciiTheme="minorHAnsi" w:hAnsiTheme="minorHAnsi" w:cstheme="minorHAnsi"/>
                                <w:b/>
                                <w:bCs/>
                                <w:sz w:val="22"/>
                                <w:szCs w:val="22"/>
                              </w:rPr>
                              <w:t>services and design for LGBTIQA+ people?</w:t>
                            </w:r>
                          </w:p>
                          <w:p w14:paraId="38645FBA" w14:textId="2628ECFC" w:rsidR="00C353EE" w:rsidRPr="003770D8" w:rsidRDefault="00C353EE" w:rsidP="00BD2193">
                            <w:pPr>
                              <w:spacing w:after="80"/>
                              <w:rPr>
                                <w:rFonts w:cstheme="minorHAnsi"/>
                                <w:b/>
                                <w:bC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59DD3" id="_x0000_t202" coordsize="21600,21600" o:spt="202" path="m,l,21600r21600,l21600,xe">
                <v:stroke joinstyle="miter"/>
                <v:path gradientshapeok="t" o:connecttype="rect"/>
              </v:shapetype>
              <v:shape id="Text Box 26" o:spid="_x0000_s1032" type="#_x0000_t202" style="position:absolute;margin-left:0;margin-top:152.6pt;width:497.25pt;height:39.75pt;z-index:-2516121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3yNPQIAAIcEAAAOAAAAZHJzL2Uyb0RvYy54bWysVMFu2zAMvQ/YPwi6L3aypE2NOEWXrsOA&#10;bh3Q7QNkWY6FSaImKbGzry8lO2naXYZhF0Ek5cfHR9Kr614rshfOSzAlnU5ySoThUEuzLemP73fv&#10;lpT4wEzNFBhR0oPw9Hr99s2qs4WYQQuqFo4giPFFZ0vahmCLLPO8FZr5CVhhMNiA0yyg6bZZ7ViH&#10;6Fplszy/yDpwtXXAhffovR2CdJ3wm0bw8NA0XgSiSorcQjpdOqt4ZusVK7aO2VbykQb7BxaaSYNJ&#10;T1C3LDCyc/IPKC25Aw9NmHDQGTSN5CLVgNVM81fVPLbMilQLiuPtSSb//2D51/2j/eZI6D9Ajw1M&#10;RXh7D/ynJwY2LTNbceMcdK1gNSaeRsmyzvpi/DRK7QsfQaruC9TYZLYLkID6xumoCtZJEB0bcDiJ&#10;LvpAODov3k8X+eWCEo6xRT5fzhYpBSuOX1vnwycBmsRLSR02NaGz/b0PkQ0rjk9iMg9K1ndSqWTE&#10;QRIb5cie4QhU21n6VO00Uh18OEb5OAjoxnEZ3MujG+HTOEaUlOxFAmVIV9KrBbL+m+QD3RcIWgZc&#10;ASV1SVPOkUvU+6Op04AGJtVwRzLKjA2Img/qh77qiaxRzChd7EcF9QE74mCYeNzQ8IBHowDZciUt&#10;JS2436998R0OF0Yo6XArSup/7ZgTlKjPBrt/NZ3P4xolY764nKHhziPVeYQZjlAlDZQM101IqxeF&#10;MnCDU9LI1MBnxmNpOO1J6nEz4zqd2+nV8/9j/QQAAP//AwBQSwMEFAAGAAgAAAAhALwMxXzfAAAA&#10;CAEAAA8AAABkcnMvZG93bnJldi54bWxMj81OwzAQhO9IvIO1SNyo3T9o0zhVFQEShx4IfQA33iaB&#10;eB1iNw08PcsJjrOzmvkm3Y6uFQP2ofGkYTpRIJBKbxuqNBzenu5WIEI0ZE3rCTV8YYBtdn2VmsT6&#10;C73iUMRKcAiFxGioY+wSKUNZozNh4jsk9k6+dyay7Ctpe3PhcNfKmVL30pmGuKE2HeY1lh/F2WkY&#10;Hgc3/8xfdqeyyN30WX3vu/Fd69ubcbcBEXGMf8/wi8/okDHT0Z/JBtFq4CFRw1wtZyDYXq8XSxBH&#10;vqwWDyCzVP4fkP0AAAD//wMAUEsBAi0AFAAGAAgAAAAhALaDOJL+AAAA4QEAABMAAAAAAAAAAAAA&#10;AAAAAAAAAFtDb250ZW50X1R5cGVzXS54bWxQSwECLQAUAAYACAAAACEAOP0h/9YAAACUAQAACwAA&#10;AAAAAAAAAAAAAAAvAQAAX3JlbHMvLnJlbHNQSwECLQAUAAYACAAAACEAq498jT0CAACHBAAADgAA&#10;AAAAAAAAAAAAAAAuAgAAZHJzL2Uyb0RvYy54bWxQSwECLQAUAAYACAAAACEAvAzFfN8AAAAIAQAA&#10;DwAAAAAAAAAAAAAAAACXBAAAZHJzL2Rvd25yZXYueG1sUEsFBgAAAAAEAAQA8wAAAKMFAAAAAA==&#10;" fillcolor="#d7cdef [670]" strokecolor="#482d8c [3214]">
                <v:textbox>
                  <w:txbxContent>
                    <w:p w14:paraId="2410ED17" w14:textId="71B8391D" w:rsidR="00C353EE" w:rsidRPr="00C353EE" w:rsidRDefault="00BD2193" w:rsidP="00BD2193">
                      <w:pPr>
                        <w:spacing w:after="8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Question: </w:t>
                      </w:r>
                      <w:r w:rsidR="003770D8" w:rsidRPr="00C353EE">
                        <w:rPr>
                          <w:rStyle w:val="cf01"/>
                          <w:rFonts w:asciiTheme="minorHAnsi" w:hAnsiTheme="minorHAnsi" w:cstheme="minorHAnsi"/>
                          <w:b/>
                          <w:bCs/>
                          <w:sz w:val="22"/>
                          <w:szCs w:val="22"/>
                        </w:rPr>
                        <w:t>Of the options</w:t>
                      </w:r>
                      <w:r w:rsidR="003F16FA" w:rsidRPr="00C353EE">
                        <w:rPr>
                          <w:rStyle w:val="cf01"/>
                          <w:rFonts w:asciiTheme="minorHAnsi" w:hAnsiTheme="minorHAnsi" w:cstheme="minorHAnsi"/>
                          <w:b/>
                          <w:bCs/>
                          <w:sz w:val="22"/>
                          <w:szCs w:val="22"/>
                        </w:rPr>
                        <w:t xml:space="preserve"> </w:t>
                      </w:r>
                      <w:r w:rsidR="00C353EE" w:rsidRPr="00C353EE">
                        <w:rPr>
                          <w:rStyle w:val="cf01"/>
                          <w:rFonts w:asciiTheme="minorHAnsi" w:hAnsiTheme="minorHAnsi" w:cstheme="minorHAnsi"/>
                          <w:b/>
                          <w:bCs/>
                          <w:sz w:val="22"/>
                          <w:szCs w:val="22"/>
                        </w:rPr>
                        <w:t>described</w:t>
                      </w:r>
                      <w:r w:rsidR="008314BD">
                        <w:rPr>
                          <w:rStyle w:val="cf01"/>
                          <w:rFonts w:asciiTheme="minorHAnsi" w:hAnsiTheme="minorHAnsi" w:cstheme="minorHAnsi"/>
                          <w:b/>
                          <w:bCs/>
                          <w:sz w:val="22"/>
                          <w:szCs w:val="22"/>
                        </w:rPr>
                        <w:t xml:space="preserve"> in this </w:t>
                      </w:r>
                      <w:r w:rsidR="007E0CE8">
                        <w:rPr>
                          <w:rStyle w:val="cf01"/>
                          <w:rFonts w:asciiTheme="minorHAnsi" w:hAnsiTheme="minorHAnsi" w:cstheme="minorHAnsi"/>
                          <w:b/>
                          <w:bCs/>
                          <w:sz w:val="22"/>
                          <w:szCs w:val="22"/>
                        </w:rPr>
                        <w:t>paper</w:t>
                      </w:r>
                      <w:r w:rsidR="003770D8" w:rsidRPr="00C353EE">
                        <w:rPr>
                          <w:rStyle w:val="cf01"/>
                          <w:rFonts w:asciiTheme="minorHAnsi" w:hAnsiTheme="minorHAnsi" w:cstheme="minorHAnsi"/>
                          <w:b/>
                          <w:bCs/>
                          <w:sz w:val="22"/>
                          <w:szCs w:val="22"/>
                        </w:rPr>
                        <w:t xml:space="preserve">, or any others you can identify, what are your top priorities for </w:t>
                      </w:r>
                      <w:r w:rsidR="000E3440" w:rsidRPr="00C353EE">
                        <w:rPr>
                          <w:rStyle w:val="cf01"/>
                          <w:rFonts w:asciiTheme="minorHAnsi" w:hAnsiTheme="minorHAnsi" w:cstheme="minorHAnsi"/>
                          <w:b/>
                          <w:bCs/>
                          <w:sz w:val="22"/>
                          <w:szCs w:val="22"/>
                        </w:rPr>
                        <w:t xml:space="preserve">community </w:t>
                      </w:r>
                      <w:r w:rsidR="003770D8" w:rsidRPr="00C353EE">
                        <w:rPr>
                          <w:rStyle w:val="cf01"/>
                          <w:rFonts w:asciiTheme="minorHAnsi" w:hAnsiTheme="minorHAnsi" w:cstheme="minorHAnsi"/>
                          <w:b/>
                          <w:bCs/>
                          <w:sz w:val="22"/>
                          <w:szCs w:val="22"/>
                        </w:rPr>
                        <w:t>services and design for LGBTIQA+ people?</w:t>
                      </w:r>
                    </w:p>
                    <w:p w14:paraId="38645FBA" w14:textId="2628ECFC" w:rsidR="00C353EE" w:rsidRPr="003770D8" w:rsidRDefault="00C353EE" w:rsidP="00BD2193">
                      <w:pPr>
                        <w:spacing w:after="80"/>
                        <w:rPr>
                          <w:rFonts w:cstheme="minorHAnsi"/>
                          <w:b/>
                          <w:bCs/>
                        </w:rPr>
                      </w:pPr>
                    </w:p>
                  </w:txbxContent>
                </v:textbox>
                <w10:wrap type="tight" anchorx="margin"/>
              </v:shape>
            </w:pict>
          </mc:Fallback>
        </mc:AlternateContent>
      </w:r>
      <w:r>
        <w:rPr>
          <w:noProof/>
        </w:rPr>
        <mc:AlternateContent>
          <mc:Choice Requires="wps">
            <w:drawing>
              <wp:anchor distT="45720" distB="45720" distL="114300" distR="114300" simplePos="0" relativeHeight="251694086" behindDoc="0" locked="0" layoutInCell="1" allowOverlap="1" wp14:anchorId="6C506196" wp14:editId="636FC7E8">
                <wp:simplePos x="0" y="0"/>
                <wp:positionH relativeFrom="margin">
                  <wp:align>left</wp:align>
                </wp:positionH>
                <wp:positionV relativeFrom="paragraph">
                  <wp:posOffset>1085215</wp:posOffset>
                </wp:positionV>
                <wp:extent cx="6324600" cy="6191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19125"/>
                        </a:xfrm>
                        <a:prstGeom prst="rect">
                          <a:avLst/>
                        </a:prstGeom>
                        <a:solidFill>
                          <a:schemeClr val="bg2">
                            <a:lumMod val="20000"/>
                            <a:lumOff val="80000"/>
                          </a:schemeClr>
                        </a:solidFill>
                        <a:ln w="9525">
                          <a:solidFill>
                            <a:schemeClr val="bg2"/>
                          </a:solidFill>
                          <a:miter lim="800000"/>
                          <a:headEnd/>
                          <a:tailEnd/>
                        </a:ln>
                      </wps:spPr>
                      <wps:txbx>
                        <w:txbxContent>
                          <w:p w14:paraId="4397B91D" w14:textId="4373F3AA" w:rsidR="00FB1A22" w:rsidRPr="00C353EE" w:rsidRDefault="00BD2193" w:rsidP="00BD2193">
                            <w:pPr>
                              <w:spacing w:after="80"/>
                              <w:rPr>
                                <w:b/>
                                <w:bCs/>
                                <w:sz w:val="22"/>
                                <w:szCs w:val="22"/>
                              </w:rPr>
                            </w:pPr>
                            <w:r>
                              <w:rPr>
                                <w:b/>
                                <w:bCs/>
                                <w:sz w:val="22"/>
                                <w:szCs w:val="22"/>
                              </w:rPr>
                              <w:t xml:space="preserve">Question: </w:t>
                            </w:r>
                            <w:r w:rsidR="00FB1A22" w:rsidRPr="00C353EE">
                              <w:rPr>
                                <w:b/>
                                <w:bCs/>
                                <w:sz w:val="22"/>
                                <w:szCs w:val="22"/>
                              </w:rPr>
                              <w:t xml:space="preserve">What </w:t>
                            </w:r>
                            <w:r w:rsidR="009F7C14" w:rsidRPr="00C353EE">
                              <w:rPr>
                                <w:b/>
                                <w:bCs/>
                                <w:sz w:val="22"/>
                                <w:szCs w:val="22"/>
                              </w:rPr>
                              <w:t xml:space="preserve">kind of </w:t>
                            </w:r>
                            <w:r w:rsidR="00FB1A22" w:rsidRPr="00C353EE">
                              <w:rPr>
                                <w:b/>
                                <w:bCs/>
                                <w:sz w:val="22"/>
                                <w:szCs w:val="22"/>
                              </w:rPr>
                              <w:t xml:space="preserve">services should </w:t>
                            </w:r>
                            <w:r w:rsidR="003F6AE9">
                              <w:rPr>
                                <w:b/>
                                <w:bCs/>
                                <w:sz w:val="22"/>
                                <w:szCs w:val="22"/>
                              </w:rPr>
                              <w:t xml:space="preserve">be promoting </w:t>
                            </w:r>
                            <w:r w:rsidR="007274BB" w:rsidRPr="00C353EE">
                              <w:rPr>
                                <w:b/>
                                <w:bCs/>
                                <w:sz w:val="22"/>
                                <w:szCs w:val="22"/>
                              </w:rPr>
                              <w:t>LGBTI</w:t>
                            </w:r>
                            <w:r w:rsidR="00910E1E">
                              <w:rPr>
                                <w:b/>
                                <w:bCs/>
                                <w:sz w:val="22"/>
                                <w:szCs w:val="22"/>
                              </w:rPr>
                              <w:t>Q</w:t>
                            </w:r>
                            <w:r w:rsidR="007274BB" w:rsidRPr="00C353EE">
                              <w:rPr>
                                <w:b/>
                                <w:bCs/>
                                <w:sz w:val="22"/>
                                <w:szCs w:val="22"/>
                              </w:rPr>
                              <w:t xml:space="preserve">A+ </w:t>
                            </w:r>
                            <w:r w:rsidR="00BA6020">
                              <w:rPr>
                                <w:b/>
                                <w:bCs/>
                                <w:sz w:val="22"/>
                                <w:szCs w:val="22"/>
                              </w:rPr>
                              <w:t>lived experience workers</w:t>
                            </w:r>
                            <w:r w:rsidR="007274BB" w:rsidRPr="00C353EE">
                              <w:rPr>
                                <w:b/>
                                <w:bCs/>
                                <w:sz w:val="22"/>
                                <w:szCs w:val="22"/>
                              </w:rPr>
                              <w:t>?</w:t>
                            </w:r>
                          </w:p>
                          <w:p w14:paraId="2EA566C7" w14:textId="178360E5" w:rsidR="00FB1A22" w:rsidRPr="00C353EE" w:rsidRDefault="00BD2193" w:rsidP="00BD2193">
                            <w:pPr>
                              <w:spacing w:after="80"/>
                              <w:rPr>
                                <w:b/>
                                <w:bCs/>
                                <w:sz w:val="22"/>
                                <w:szCs w:val="22"/>
                              </w:rPr>
                            </w:pPr>
                            <w:r>
                              <w:rPr>
                                <w:b/>
                                <w:bCs/>
                                <w:sz w:val="22"/>
                                <w:szCs w:val="22"/>
                              </w:rPr>
                              <w:t xml:space="preserve">Question: </w:t>
                            </w:r>
                            <w:r w:rsidR="007274BB" w:rsidRPr="00C353EE">
                              <w:rPr>
                                <w:b/>
                                <w:bCs/>
                                <w:sz w:val="22"/>
                                <w:szCs w:val="22"/>
                              </w:rPr>
                              <w:t>How can LGBTI</w:t>
                            </w:r>
                            <w:r w:rsidR="00910E1E">
                              <w:rPr>
                                <w:b/>
                                <w:bCs/>
                                <w:sz w:val="22"/>
                                <w:szCs w:val="22"/>
                              </w:rPr>
                              <w:t>Q</w:t>
                            </w:r>
                            <w:r w:rsidR="007274BB" w:rsidRPr="00C353EE">
                              <w:rPr>
                                <w:b/>
                                <w:bCs/>
                                <w:sz w:val="22"/>
                                <w:szCs w:val="22"/>
                              </w:rPr>
                              <w:t xml:space="preserve">A+ </w:t>
                            </w:r>
                            <w:r w:rsidR="009F7C14" w:rsidRPr="00C353EE">
                              <w:rPr>
                                <w:b/>
                                <w:bCs/>
                                <w:sz w:val="22"/>
                                <w:szCs w:val="22"/>
                              </w:rPr>
                              <w:t>people</w:t>
                            </w:r>
                            <w:r w:rsidR="007274BB" w:rsidRPr="00C353EE">
                              <w:rPr>
                                <w:b/>
                                <w:bCs/>
                                <w:sz w:val="22"/>
                                <w:szCs w:val="22"/>
                              </w:rPr>
                              <w:t xml:space="preserve"> be supported to engage with </w:t>
                            </w:r>
                            <w:r w:rsidR="00AB057B" w:rsidRPr="00C353EE">
                              <w:rPr>
                                <w:b/>
                                <w:bCs/>
                                <w:sz w:val="22"/>
                                <w:szCs w:val="22"/>
                              </w:rPr>
                              <w:t>courses</w:t>
                            </w:r>
                            <w:r w:rsidR="008614E5" w:rsidRPr="00C353EE">
                              <w:rPr>
                                <w:b/>
                                <w:bCs/>
                                <w:sz w:val="22"/>
                                <w:szCs w:val="22"/>
                              </w:rPr>
                              <w:t xml:space="preserve"> and opportunities</w:t>
                            </w:r>
                            <w:r w:rsidR="007E0CE8">
                              <w:rPr>
                                <w:b/>
                                <w:bCs/>
                                <w:sz w:val="22"/>
                                <w:szCs w:val="22"/>
                              </w:rPr>
                              <w:t xml:space="preserve"> to become lived experience worker</w:t>
                            </w:r>
                            <w:r w:rsidR="00AB057B" w:rsidRPr="00C353EE">
                              <w:rPr>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06196" id="_x0000_s1033" type="#_x0000_t202" style="position:absolute;margin-left:0;margin-top:85.45pt;width:498pt;height:48.75pt;z-index:25169408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yALQIAAF8EAAAOAAAAZHJzL2Uyb0RvYy54bWysVNtu2zAMfR+wfxD0vjjxkrQx4hRdug4D&#10;ugvQ7QNkWY6FSaImKbGzry8lO2m6vQzDXgSRtA4PD0mvb3qtyEE4L8GUdDaZUiIMh1qaXUm/f7t/&#10;c02JD8zUTIERJT0KT282r1+tO1uIHFpQtXAEQYwvOlvSNgRbZJnnrdDMT8AKg8EGnGYBTbfLasc6&#10;RNcqy6fTZdaBq60DLrxH790QpJuE3zSChy9N40UgqqTILaTTpbOKZ7ZZs2LnmG0lH2mwf2ChmTSY&#10;9Ax1xwIjeyf/gNKSO/DQhAkHnUHTSC5SDVjNbPpbNY8tsyLVguJ4e5bJ/z9Y/vnwaL86Evp30GMD&#10;UxHePgD/4YmBbcvMTtw6B10rWI2JZ1GyrLO+GJ9GqX3hI0jVfYIam8z2ARJQ3zgdVcE6CaJjA45n&#10;0UUfCEfn8m0+X04xxDG2nK1m+SKlYMXptXU+fBCgSbyU1GFTEzo7PPgQ2bDi9ElM5kHJ+l4qlYw4&#10;SGKrHDkwHIFql6enaq+R6uDDMcL0aRDQjeMyuK9PboRP4xhRUrIXCZQhXUlXC2T9N8kHui8QtAy4&#10;AkrqkqacI5eo93tTJ16BSTXckYwyYwOi5oP6oa96IuuSXsU6Yj8qqI/YEQfDxOOG4qUF94uSDqe9&#10;pP7nnjlBifposKur2Xwe1yMZ88VVjoa7jFSXEWY4QpU0UDJctyGtVBTAwC12v5GpMc9MRso4xUnC&#10;cePimlza6avn/8LmCQAA//8DAFBLAwQUAAYACAAAACEAyeDm7t4AAAAIAQAADwAAAGRycy9kb3du&#10;cmV2LnhtbEyPwU7DMBBE70j8g7VI3KjdgkIT4lRVBEgcOBD4ADfeJmnjdYjdNPD1LCc47sxo9k2+&#10;mV0vJhxD50nDcqFAINXedtRo+Hh/ulmDCNGQNb0n1PCFATbF5UVuMuvP9IZTFRvBJRQyo6GNccik&#10;DHWLzoSFH5DY2/vRmcjn2Eg7mjOXu16ulEqkMx3xh9YMWLZYH6uT0zA9Tu72s3zZ7uuqdMtn9f06&#10;zAetr6/m7QOIiHP8C8MvPqNDwUw7fyIbRK+Bh0RW71UKgu00TVjZaVgl6zuQRS7/Dyh+AAAA//8D&#10;AFBLAQItABQABgAIAAAAIQC2gziS/gAAAOEBAAATAAAAAAAAAAAAAAAAAAAAAABbQ29udGVudF9U&#10;eXBlc10ueG1sUEsBAi0AFAAGAAgAAAAhADj9If/WAAAAlAEAAAsAAAAAAAAAAAAAAAAALwEAAF9y&#10;ZWxzLy5yZWxzUEsBAi0AFAAGAAgAAAAhAIbiTIAtAgAAXwQAAA4AAAAAAAAAAAAAAAAALgIAAGRy&#10;cy9lMm9Eb2MueG1sUEsBAi0AFAAGAAgAAAAhAMng5u7eAAAACAEAAA8AAAAAAAAAAAAAAAAAhwQA&#10;AGRycy9kb3ducmV2LnhtbFBLBQYAAAAABAAEAPMAAACSBQAAAAA=&#10;" fillcolor="#d7cdef [670]" strokecolor="#482d8c [3214]">
                <v:textbox>
                  <w:txbxContent>
                    <w:p w14:paraId="4397B91D" w14:textId="4373F3AA" w:rsidR="00FB1A22" w:rsidRPr="00C353EE" w:rsidRDefault="00BD2193" w:rsidP="00BD2193">
                      <w:pPr>
                        <w:spacing w:after="80"/>
                        <w:rPr>
                          <w:b/>
                          <w:bCs/>
                          <w:sz w:val="22"/>
                          <w:szCs w:val="22"/>
                        </w:rPr>
                      </w:pPr>
                      <w:r>
                        <w:rPr>
                          <w:b/>
                          <w:bCs/>
                          <w:sz w:val="22"/>
                          <w:szCs w:val="22"/>
                        </w:rPr>
                        <w:t xml:space="preserve">Question: </w:t>
                      </w:r>
                      <w:r w:rsidR="00FB1A22" w:rsidRPr="00C353EE">
                        <w:rPr>
                          <w:b/>
                          <w:bCs/>
                          <w:sz w:val="22"/>
                          <w:szCs w:val="22"/>
                        </w:rPr>
                        <w:t xml:space="preserve">What </w:t>
                      </w:r>
                      <w:r w:rsidR="009F7C14" w:rsidRPr="00C353EE">
                        <w:rPr>
                          <w:b/>
                          <w:bCs/>
                          <w:sz w:val="22"/>
                          <w:szCs w:val="22"/>
                        </w:rPr>
                        <w:t xml:space="preserve">kind of </w:t>
                      </w:r>
                      <w:r w:rsidR="00FB1A22" w:rsidRPr="00C353EE">
                        <w:rPr>
                          <w:b/>
                          <w:bCs/>
                          <w:sz w:val="22"/>
                          <w:szCs w:val="22"/>
                        </w:rPr>
                        <w:t xml:space="preserve">services should </w:t>
                      </w:r>
                      <w:r w:rsidR="003F6AE9">
                        <w:rPr>
                          <w:b/>
                          <w:bCs/>
                          <w:sz w:val="22"/>
                          <w:szCs w:val="22"/>
                        </w:rPr>
                        <w:t xml:space="preserve">be promoting </w:t>
                      </w:r>
                      <w:r w:rsidR="007274BB" w:rsidRPr="00C353EE">
                        <w:rPr>
                          <w:b/>
                          <w:bCs/>
                          <w:sz w:val="22"/>
                          <w:szCs w:val="22"/>
                        </w:rPr>
                        <w:t>LGBTI</w:t>
                      </w:r>
                      <w:r w:rsidR="00910E1E">
                        <w:rPr>
                          <w:b/>
                          <w:bCs/>
                          <w:sz w:val="22"/>
                          <w:szCs w:val="22"/>
                        </w:rPr>
                        <w:t>Q</w:t>
                      </w:r>
                      <w:r w:rsidR="007274BB" w:rsidRPr="00C353EE">
                        <w:rPr>
                          <w:b/>
                          <w:bCs/>
                          <w:sz w:val="22"/>
                          <w:szCs w:val="22"/>
                        </w:rPr>
                        <w:t xml:space="preserve">A+ </w:t>
                      </w:r>
                      <w:r w:rsidR="00BA6020">
                        <w:rPr>
                          <w:b/>
                          <w:bCs/>
                          <w:sz w:val="22"/>
                          <w:szCs w:val="22"/>
                        </w:rPr>
                        <w:t>lived experience workers</w:t>
                      </w:r>
                      <w:r w:rsidR="007274BB" w:rsidRPr="00C353EE">
                        <w:rPr>
                          <w:b/>
                          <w:bCs/>
                          <w:sz w:val="22"/>
                          <w:szCs w:val="22"/>
                        </w:rPr>
                        <w:t>?</w:t>
                      </w:r>
                    </w:p>
                    <w:p w14:paraId="2EA566C7" w14:textId="178360E5" w:rsidR="00FB1A22" w:rsidRPr="00C353EE" w:rsidRDefault="00BD2193" w:rsidP="00BD2193">
                      <w:pPr>
                        <w:spacing w:after="80"/>
                        <w:rPr>
                          <w:b/>
                          <w:bCs/>
                          <w:sz w:val="22"/>
                          <w:szCs w:val="22"/>
                        </w:rPr>
                      </w:pPr>
                      <w:r>
                        <w:rPr>
                          <w:b/>
                          <w:bCs/>
                          <w:sz w:val="22"/>
                          <w:szCs w:val="22"/>
                        </w:rPr>
                        <w:t xml:space="preserve">Question: </w:t>
                      </w:r>
                      <w:r w:rsidR="007274BB" w:rsidRPr="00C353EE">
                        <w:rPr>
                          <w:b/>
                          <w:bCs/>
                          <w:sz w:val="22"/>
                          <w:szCs w:val="22"/>
                        </w:rPr>
                        <w:t>How can LGBTI</w:t>
                      </w:r>
                      <w:r w:rsidR="00910E1E">
                        <w:rPr>
                          <w:b/>
                          <w:bCs/>
                          <w:sz w:val="22"/>
                          <w:szCs w:val="22"/>
                        </w:rPr>
                        <w:t>Q</w:t>
                      </w:r>
                      <w:r w:rsidR="007274BB" w:rsidRPr="00C353EE">
                        <w:rPr>
                          <w:b/>
                          <w:bCs/>
                          <w:sz w:val="22"/>
                          <w:szCs w:val="22"/>
                        </w:rPr>
                        <w:t xml:space="preserve">A+ </w:t>
                      </w:r>
                      <w:r w:rsidR="009F7C14" w:rsidRPr="00C353EE">
                        <w:rPr>
                          <w:b/>
                          <w:bCs/>
                          <w:sz w:val="22"/>
                          <w:szCs w:val="22"/>
                        </w:rPr>
                        <w:t>people</w:t>
                      </w:r>
                      <w:r w:rsidR="007274BB" w:rsidRPr="00C353EE">
                        <w:rPr>
                          <w:b/>
                          <w:bCs/>
                          <w:sz w:val="22"/>
                          <w:szCs w:val="22"/>
                        </w:rPr>
                        <w:t xml:space="preserve"> be supported to engage with </w:t>
                      </w:r>
                      <w:r w:rsidR="00AB057B" w:rsidRPr="00C353EE">
                        <w:rPr>
                          <w:b/>
                          <w:bCs/>
                          <w:sz w:val="22"/>
                          <w:szCs w:val="22"/>
                        </w:rPr>
                        <w:t>courses</w:t>
                      </w:r>
                      <w:r w:rsidR="008614E5" w:rsidRPr="00C353EE">
                        <w:rPr>
                          <w:b/>
                          <w:bCs/>
                          <w:sz w:val="22"/>
                          <w:szCs w:val="22"/>
                        </w:rPr>
                        <w:t xml:space="preserve"> and opportunities</w:t>
                      </w:r>
                      <w:r w:rsidR="007E0CE8">
                        <w:rPr>
                          <w:b/>
                          <w:bCs/>
                          <w:sz w:val="22"/>
                          <w:szCs w:val="22"/>
                        </w:rPr>
                        <w:t xml:space="preserve"> to become lived experience worker</w:t>
                      </w:r>
                      <w:r w:rsidR="00AB057B" w:rsidRPr="00C353EE">
                        <w:rPr>
                          <w:b/>
                          <w:bCs/>
                          <w:sz w:val="22"/>
                          <w:szCs w:val="22"/>
                        </w:rPr>
                        <w:t>?</w:t>
                      </w:r>
                    </w:p>
                  </w:txbxContent>
                </v:textbox>
                <w10:wrap type="square" anchorx="margin"/>
              </v:shape>
            </w:pict>
          </mc:Fallback>
        </mc:AlternateContent>
      </w:r>
      <w:r w:rsidR="00BA6020">
        <w:t>Lived experience</w:t>
      </w:r>
      <w:r w:rsidR="00B017EB">
        <w:t xml:space="preserve"> workers are staff within a service that provide peer support and advocacy to service users, including carers. </w:t>
      </w:r>
      <w:r w:rsidR="0024486C">
        <w:t>They are employed to provide their lived experience to service users</w:t>
      </w:r>
      <w:r w:rsidR="000A0E65">
        <w:t>, providing a unique understanding of the experiences of those they support. Th</w:t>
      </w:r>
      <w:r w:rsidR="00966E1A">
        <w:t xml:space="preserve">ese individuals are valuable as they have different skills and knowledge to clinical mental health staff, psychologists and </w:t>
      </w:r>
      <w:r w:rsidR="003C7DC6">
        <w:t>support workers.</w:t>
      </w:r>
      <w:r w:rsidR="00996925" w:rsidRPr="00996925">
        <w:t xml:space="preserve"> </w:t>
      </w:r>
      <w:r w:rsidR="00BA6020">
        <w:t>Lived experience</w:t>
      </w:r>
      <w:r w:rsidR="00996925">
        <w:t xml:space="preserve"> workers can facilitate LGBTI</w:t>
      </w:r>
      <w:r w:rsidR="00910E1E">
        <w:t>Q</w:t>
      </w:r>
      <w:r w:rsidR="00996925">
        <w:t>A+ inclusivity in non-specific community services and help the community to kno</w:t>
      </w:r>
      <w:r w:rsidR="00F46AA4">
        <w:t>w</w:t>
      </w:r>
      <w:r w:rsidR="00996925">
        <w:t xml:space="preserve"> where safe spaces exist. </w:t>
      </w:r>
    </w:p>
    <w:p w14:paraId="5BCF34A1" w14:textId="77777777" w:rsidR="00F15969" w:rsidRDefault="00F26BBB" w:rsidP="008314BD">
      <w:pPr>
        <w:pStyle w:val="Heading1"/>
        <w:spacing w:before="240" w:after="80"/>
      </w:pPr>
      <w:bookmarkStart w:id="7" w:name="_Toc135994163"/>
      <w:r>
        <w:t>potential outcomes</w:t>
      </w:r>
      <w:bookmarkEnd w:id="7"/>
    </w:p>
    <w:p w14:paraId="3722F28F" w14:textId="77777777" w:rsidR="00F46AA4" w:rsidRPr="00206755" w:rsidRDefault="00F46AA4" w:rsidP="00F46AA4">
      <w:r w:rsidRPr="00206755">
        <w:t xml:space="preserve">Through Commissioning there are </w:t>
      </w:r>
      <w:proofErr w:type="gramStart"/>
      <w:r w:rsidRPr="00206755">
        <w:t>a number of</w:t>
      </w:r>
      <w:proofErr w:type="gramEnd"/>
      <w:r w:rsidRPr="00206755">
        <w:t xml:space="preserve"> Principles in the Blueprint that we expect all services </w:t>
      </w:r>
      <w:r>
        <w:t>to achieve</w:t>
      </w:r>
      <w:r w:rsidRPr="00206755">
        <w:t>.</w:t>
      </w:r>
      <w:r>
        <w:t xml:space="preserve"> Alongside these,</w:t>
      </w:r>
      <w:r w:rsidRPr="00206755">
        <w:t xml:space="preserve"> there will be </w:t>
      </w:r>
      <w:proofErr w:type="gramStart"/>
      <w:r w:rsidRPr="00206755">
        <w:t>a number of</w:t>
      </w:r>
      <w:proofErr w:type="gramEnd"/>
      <w:r w:rsidRPr="00206755">
        <w:t xml:space="preserve"> outcomes that will drive service delivery and reporting. </w:t>
      </w:r>
    </w:p>
    <w:p w14:paraId="3148CF4F" w14:textId="75D153E8" w:rsidR="00C25AFE" w:rsidRDefault="00F46AA4" w:rsidP="00313E03">
      <w:r w:rsidRPr="008D7865">
        <w:rPr>
          <w:noProof/>
          <w:highlight w:val="yellow"/>
        </w:rPr>
        <w:lastRenderedPageBreak/>
        <mc:AlternateContent>
          <mc:Choice Requires="wps">
            <w:drawing>
              <wp:anchor distT="45720" distB="45720" distL="114300" distR="114300" simplePos="0" relativeHeight="251702278" behindDoc="0" locked="0" layoutInCell="1" allowOverlap="1" wp14:anchorId="1C7E821B" wp14:editId="182D26A8">
                <wp:simplePos x="0" y="0"/>
                <wp:positionH relativeFrom="margin">
                  <wp:posOffset>-113030</wp:posOffset>
                </wp:positionH>
                <wp:positionV relativeFrom="paragraph">
                  <wp:posOffset>563245</wp:posOffset>
                </wp:positionV>
                <wp:extent cx="6505575" cy="1276350"/>
                <wp:effectExtent l="0" t="0" r="28575"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276350"/>
                        </a:xfrm>
                        <a:prstGeom prst="rect">
                          <a:avLst/>
                        </a:prstGeom>
                        <a:solidFill>
                          <a:schemeClr val="bg2">
                            <a:lumMod val="20000"/>
                            <a:lumOff val="80000"/>
                          </a:schemeClr>
                        </a:solidFill>
                        <a:ln w="9525">
                          <a:solidFill>
                            <a:schemeClr val="bg2"/>
                          </a:solidFill>
                          <a:miter lim="800000"/>
                          <a:headEnd/>
                          <a:tailEnd/>
                        </a:ln>
                      </wps:spPr>
                      <wps:txbx>
                        <w:txbxContent>
                          <w:p w14:paraId="21714820" w14:textId="77777777" w:rsidR="004C5015" w:rsidRDefault="00BD2193" w:rsidP="008314BD">
                            <w:pPr>
                              <w:spacing w:after="0"/>
                              <w:rPr>
                                <w:b/>
                                <w:bCs/>
                                <w:sz w:val="22"/>
                                <w:szCs w:val="22"/>
                              </w:rPr>
                            </w:pPr>
                            <w:r>
                              <w:rPr>
                                <w:b/>
                                <w:bCs/>
                                <w:sz w:val="22"/>
                                <w:szCs w:val="22"/>
                              </w:rPr>
                              <w:t xml:space="preserve">Question: </w:t>
                            </w:r>
                            <w:r w:rsidR="00E85AB7">
                              <w:rPr>
                                <w:b/>
                                <w:bCs/>
                                <w:sz w:val="22"/>
                                <w:szCs w:val="22"/>
                              </w:rPr>
                              <w:t xml:space="preserve">What do we need to measure to make sure we have the right services and supports for </w:t>
                            </w:r>
                            <w:r w:rsidR="008314BD">
                              <w:rPr>
                                <w:b/>
                                <w:bCs/>
                                <w:sz w:val="22"/>
                                <w:szCs w:val="22"/>
                              </w:rPr>
                              <w:t>LGBTIQA</w:t>
                            </w:r>
                            <w:proofErr w:type="gramStart"/>
                            <w:r w:rsidR="008314BD">
                              <w:rPr>
                                <w:b/>
                                <w:bCs/>
                                <w:sz w:val="22"/>
                                <w:szCs w:val="22"/>
                              </w:rPr>
                              <w:t xml:space="preserve">+ </w:t>
                            </w:r>
                            <w:r w:rsidR="00E85AB7">
                              <w:rPr>
                                <w:b/>
                                <w:bCs/>
                                <w:sz w:val="22"/>
                                <w:szCs w:val="22"/>
                              </w:rPr>
                              <w:t xml:space="preserve"> people</w:t>
                            </w:r>
                            <w:proofErr w:type="gramEnd"/>
                            <w:r w:rsidR="00E85AB7">
                              <w:rPr>
                                <w:b/>
                                <w:bCs/>
                                <w:sz w:val="22"/>
                                <w:szCs w:val="22"/>
                              </w:rPr>
                              <w:t>,  and that those services and supports are having a positive impact on people’s lives. For example</w:t>
                            </w:r>
                            <w:r w:rsidR="008314BD">
                              <w:rPr>
                                <w:b/>
                                <w:bCs/>
                                <w:sz w:val="22"/>
                                <w:szCs w:val="22"/>
                              </w:rPr>
                              <w:t>:</w:t>
                            </w:r>
                          </w:p>
                          <w:p w14:paraId="11E8BEDB" w14:textId="77777777" w:rsidR="008314BD" w:rsidRDefault="008314BD" w:rsidP="008314BD">
                            <w:pPr>
                              <w:pStyle w:val="ListParagraph"/>
                              <w:numPr>
                                <w:ilvl w:val="0"/>
                                <w:numId w:val="37"/>
                              </w:numPr>
                              <w:spacing w:after="80"/>
                              <w:rPr>
                                <w:b/>
                                <w:bCs/>
                                <w:sz w:val="22"/>
                                <w:szCs w:val="22"/>
                              </w:rPr>
                            </w:pPr>
                            <w:r>
                              <w:rPr>
                                <w:b/>
                                <w:bCs/>
                                <w:sz w:val="22"/>
                                <w:szCs w:val="22"/>
                              </w:rPr>
                              <w:t>Improved cultural competency in NGO services; or</w:t>
                            </w:r>
                          </w:p>
                          <w:p w14:paraId="28EE991F" w14:textId="77777777" w:rsidR="008314BD" w:rsidRPr="008314BD" w:rsidRDefault="008314BD" w:rsidP="008314BD">
                            <w:pPr>
                              <w:pStyle w:val="ListParagraph"/>
                              <w:numPr>
                                <w:ilvl w:val="0"/>
                                <w:numId w:val="37"/>
                              </w:numPr>
                              <w:spacing w:after="80"/>
                              <w:rPr>
                                <w:b/>
                                <w:bCs/>
                                <w:sz w:val="22"/>
                                <w:szCs w:val="22"/>
                              </w:rPr>
                            </w:pPr>
                            <w:r>
                              <w:rPr>
                                <w:b/>
                                <w:bCs/>
                                <w:sz w:val="22"/>
                                <w:szCs w:val="22"/>
                              </w:rPr>
                              <w:t>Positive feedback from consumers around the accessibility of mental health community services</w:t>
                            </w:r>
                          </w:p>
                          <w:p w14:paraId="647511A0" w14:textId="77777777" w:rsidR="001E2DA6" w:rsidRPr="00AB7A67" w:rsidRDefault="00BD2193" w:rsidP="00BD2193">
                            <w:pPr>
                              <w:spacing w:after="80"/>
                              <w:rPr>
                                <w:b/>
                                <w:bCs/>
                                <w:sz w:val="22"/>
                                <w:szCs w:val="22"/>
                              </w:rPr>
                            </w:pPr>
                            <w:r>
                              <w:rPr>
                                <w:b/>
                                <w:bCs/>
                                <w:sz w:val="22"/>
                                <w:szCs w:val="22"/>
                              </w:rPr>
                              <w:t xml:space="preserve">Question: </w:t>
                            </w:r>
                            <w:r w:rsidR="004C5015">
                              <w:rPr>
                                <w:b/>
                                <w:bCs/>
                                <w:sz w:val="22"/>
                                <w:szCs w:val="22"/>
                              </w:rPr>
                              <w:t xml:space="preserve">What challenges </w:t>
                            </w:r>
                            <w:r w:rsidR="009F7C14">
                              <w:rPr>
                                <w:b/>
                                <w:bCs/>
                                <w:sz w:val="22"/>
                                <w:szCs w:val="22"/>
                              </w:rPr>
                              <w:t xml:space="preserve">do </w:t>
                            </w:r>
                            <w:r w:rsidR="004C5015">
                              <w:rPr>
                                <w:b/>
                                <w:bCs/>
                                <w:sz w:val="22"/>
                                <w:szCs w:val="22"/>
                              </w:rPr>
                              <w:t xml:space="preserve">NGO services face </w:t>
                            </w:r>
                            <w:r w:rsidR="009F7C14">
                              <w:rPr>
                                <w:b/>
                                <w:bCs/>
                                <w:sz w:val="22"/>
                                <w:szCs w:val="22"/>
                              </w:rPr>
                              <w:t xml:space="preserve">for recording and measuring data relating to </w:t>
                            </w:r>
                            <w:r w:rsidR="001E2DA6">
                              <w:rPr>
                                <w:b/>
                                <w:bCs/>
                                <w:sz w:val="22"/>
                                <w:szCs w:val="22"/>
                              </w:rPr>
                              <w:t>LGBTI</w:t>
                            </w:r>
                            <w:r w:rsidR="00910E1E">
                              <w:rPr>
                                <w:b/>
                                <w:bCs/>
                                <w:sz w:val="22"/>
                                <w:szCs w:val="22"/>
                              </w:rPr>
                              <w:t>Q</w:t>
                            </w:r>
                            <w:r w:rsidR="001E2DA6">
                              <w:rPr>
                                <w:b/>
                                <w:bCs/>
                                <w:sz w:val="22"/>
                                <w:szCs w:val="22"/>
                              </w:rPr>
                              <w:t xml:space="preserve">A+ </w:t>
                            </w:r>
                            <w:r w:rsidR="009F7C14">
                              <w:rPr>
                                <w:b/>
                                <w:bCs/>
                                <w:sz w:val="22"/>
                                <w:szCs w:val="22"/>
                              </w:rPr>
                              <w:t xml:space="preserve">outcomes and </w:t>
                            </w:r>
                            <w:r w:rsidR="001E2DA6">
                              <w:rPr>
                                <w:b/>
                                <w:bCs/>
                                <w:sz w:val="22"/>
                                <w:szCs w:val="22"/>
                              </w:rPr>
                              <w:t>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E821B" id="Text Box 25" o:spid="_x0000_s1034" type="#_x0000_t202" style="position:absolute;margin-left:-8.9pt;margin-top:44.35pt;width:512.25pt;height:100.5pt;z-index:251702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CKMgIAAGAEAAAOAAAAZHJzL2Uyb0RvYy54bWysVNtu2zAMfR+wfxD0vtjx4rQ14hRdug4D&#10;ugvQ7QNkWY6FSaInKbGzrx8lO7ftbdiLIJLWIXkO6dX9oBXZC+skmJLOZyklwnCopdmW9Pu3pze3&#10;lDjPTM0UGFHSg3D0fv361arvCpFBC6oWliCIcUXflbT1viuSxPFWaOZm0AmDwQasZh5Nu01qy3pE&#10;1yrJ0nSZ9GDrzgIXzqH3cQzSdcRvGsH9l6ZxwhNVUqzNx9PGswpnsl6xYmtZ10o+lcH+oQrNpMGk&#10;J6hH5hnZWfkXlJbcgoPGzzjoBJpGchF7wG7m6R/dvLSsE7EXJMd1J5rc/4Pln/cv3VdL/PAOBhQw&#10;NuG6Z+A/HDGwaZnZigdroW8FqzHxPFCW9J0rpqeBale4AFL1n6BGkdnOQwQaGqsDK9gnQXQU4HAi&#10;XQyecHQu8zTPb3JKOMbm2c3ybR5lSVhxfN5Z5z8I0CRcSmpR1QjP9s/Oh3JYcfwkZHOgZP0klYpG&#10;mCSxUZbsGc5Atc3iU7XTWOvowzlKp0lAN87L6L49uhE+zmNAicmuEihD+pLe5Vkega9ip2fn5GO5&#10;V19p6XEHlNQljTmnWgLh700dJ9QzqcY7FqPMpEAgfaTfD9VAZI0AQZ4gSAX1ASWxMI48riheWrC/&#10;KOlx3Evqfu6YFZSojwZlvZsvFmE/orHIbzI07GWkuowwwxGqpJ6S8brxcacC4QYeUP5GRmHOlUwl&#10;4xhHCqeVC3tyacevzj+G9W8AAAD//wMAUEsDBBQABgAIAAAAIQDxnMIA3wAAAAsBAAAPAAAAZHJz&#10;L2Rvd25yZXYueG1sTI9BT4NAEIXvJv6HzZh4axdqIogMTUPUxIMH0R+whSmg7CyyW4r+eqcnvb3J&#10;e3nvm3y72EHNNPneMUK8jkAR167puUV4f3tcpaB8MNyYwTEhfJOHbXF5kZuscSd+pbkKrZIS9plB&#10;6EIYM6193ZE1fu1GYvEObrImyDm1upnMScrtoDdRdKut6VkWOjNS2VH9WR0twvww25uv8nl3qKvS&#10;xk/Rz8u4fCBeXy27e1CBlvAXhjO+oEMhTHt35MarAWEVJ4IeENI0AXUOyJyoPcImvUtAF7n+/0Px&#10;CwAA//8DAFBLAQItABQABgAIAAAAIQC2gziS/gAAAOEBAAATAAAAAAAAAAAAAAAAAAAAAABbQ29u&#10;dGVudF9UeXBlc10ueG1sUEsBAi0AFAAGAAgAAAAhADj9If/WAAAAlAEAAAsAAAAAAAAAAAAAAAAA&#10;LwEAAF9yZWxzLy5yZWxzUEsBAi0AFAAGAAgAAAAhACfU4IoyAgAAYAQAAA4AAAAAAAAAAAAAAAAA&#10;LgIAAGRycy9lMm9Eb2MueG1sUEsBAi0AFAAGAAgAAAAhAPGcwgDfAAAACwEAAA8AAAAAAAAAAAAA&#10;AAAAjAQAAGRycy9kb3ducmV2LnhtbFBLBQYAAAAABAAEAPMAAACYBQAAAAA=&#10;" fillcolor="#d7cdef [670]" strokecolor="#482d8c [3214]">
                <v:textbox>
                  <w:txbxContent>
                    <w:p w14:paraId="21714820" w14:textId="77777777" w:rsidR="004C5015" w:rsidRDefault="00BD2193" w:rsidP="008314BD">
                      <w:pPr>
                        <w:spacing w:after="0"/>
                        <w:rPr>
                          <w:b/>
                          <w:bCs/>
                          <w:sz w:val="22"/>
                          <w:szCs w:val="22"/>
                        </w:rPr>
                      </w:pPr>
                      <w:r>
                        <w:rPr>
                          <w:b/>
                          <w:bCs/>
                          <w:sz w:val="22"/>
                          <w:szCs w:val="22"/>
                        </w:rPr>
                        <w:t xml:space="preserve">Question: </w:t>
                      </w:r>
                      <w:r w:rsidR="00E85AB7">
                        <w:rPr>
                          <w:b/>
                          <w:bCs/>
                          <w:sz w:val="22"/>
                          <w:szCs w:val="22"/>
                        </w:rPr>
                        <w:t xml:space="preserve">What do we need to measure to make sure we have the right services and supports for </w:t>
                      </w:r>
                      <w:r w:rsidR="008314BD">
                        <w:rPr>
                          <w:b/>
                          <w:bCs/>
                          <w:sz w:val="22"/>
                          <w:szCs w:val="22"/>
                        </w:rPr>
                        <w:t>LGBTIQA</w:t>
                      </w:r>
                      <w:proofErr w:type="gramStart"/>
                      <w:r w:rsidR="008314BD">
                        <w:rPr>
                          <w:b/>
                          <w:bCs/>
                          <w:sz w:val="22"/>
                          <w:szCs w:val="22"/>
                        </w:rPr>
                        <w:t xml:space="preserve">+ </w:t>
                      </w:r>
                      <w:r w:rsidR="00E85AB7">
                        <w:rPr>
                          <w:b/>
                          <w:bCs/>
                          <w:sz w:val="22"/>
                          <w:szCs w:val="22"/>
                        </w:rPr>
                        <w:t xml:space="preserve"> people</w:t>
                      </w:r>
                      <w:proofErr w:type="gramEnd"/>
                      <w:r w:rsidR="00E85AB7">
                        <w:rPr>
                          <w:b/>
                          <w:bCs/>
                          <w:sz w:val="22"/>
                          <w:szCs w:val="22"/>
                        </w:rPr>
                        <w:t>,  and that those services and supports are having a positive impact on people’s lives. For example</w:t>
                      </w:r>
                      <w:r w:rsidR="008314BD">
                        <w:rPr>
                          <w:b/>
                          <w:bCs/>
                          <w:sz w:val="22"/>
                          <w:szCs w:val="22"/>
                        </w:rPr>
                        <w:t>:</w:t>
                      </w:r>
                    </w:p>
                    <w:p w14:paraId="11E8BEDB" w14:textId="77777777" w:rsidR="008314BD" w:rsidRDefault="008314BD" w:rsidP="008314BD">
                      <w:pPr>
                        <w:pStyle w:val="ListParagraph"/>
                        <w:numPr>
                          <w:ilvl w:val="0"/>
                          <w:numId w:val="37"/>
                        </w:numPr>
                        <w:spacing w:after="80"/>
                        <w:rPr>
                          <w:b/>
                          <w:bCs/>
                          <w:sz w:val="22"/>
                          <w:szCs w:val="22"/>
                        </w:rPr>
                      </w:pPr>
                      <w:r>
                        <w:rPr>
                          <w:b/>
                          <w:bCs/>
                          <w:sz w:val="22"/>
                          <w:szCs w:val="22"/>
                        </w:rPr>
                        <w:t>Improved cultural competency in NGO services; or</w:t>
                      </w:r>
                    </w:p>
                    <w:p w14:paraId="28EE991F" w14:textId="77777777" w:rsidR="008314BD" w:rsidRPr="008314BD" w:rsidRDefault="008314BD" w:rsidP="008314BD">
                      <w:pPr>
                        <w:pStyle w:val="ListParagraph"/>
                        <w:numPr>
                          <w:ilvl w:val="0"/>
                          <w:numId w:val="37"/>
                        </w:numPr>
                        <w:spacing w:after="80"/>
                        <w:rPr>
                          <w:b/>
                          <w:bCs/>
                          <w:sz w:val="22"/>
                          <w:szCs w:val="22"/>
                        </w:rPr>
                      </w:pPr>
                      <w:r>
                        <w:rPr>
                          <w:b/>
                          <w:bCs/>
                          <w:sz w:val="22"/>
                          <w:szCs w:val="22"/>
                        </w:rPr>
                        <w:t>Positive feedback from consumers around the accessibility of mental health community services</w:t>
                      </w:r>
                    </w:p>
                    <w:p w14:paraId="647511A0" w14:textId="77777777" w:rsidR="001E2DA6" w:rsidRPr="00AB7A67" w:rsidRDefault="00BD2193" w:rsidP="00BD2193">
                      <w:pPr>
                        <w:spacing w:after="80"/>
                        <w:rPr>
                          <w:b/>
                          <w:bCs/>
                          <w:sz w:val="22"/>
                          <w:szCs w:val="22"/>
                        </w:rPr>
                      </w:pPr>
                      <w:r>
                        <w:rPr>
                          <w:b/>
                          <w:bCs/>
                          <w:sz w:val="22"/>
                          <w:szCs w:val="22"/>
                        </w:rPr>
                        <w:t xml:space="preserve">Question: </w:t>
                      </w:r>
                      <w:r w:rsidR="004C5015">
                        <w:rPr>
                          <w:b/>
                          <w:bCs/>
                          <w:sz w:val="22"/>
                          <w:szCs w:val="22"/>
                        </w:rPr>
                        <w:t xml:space="preserve">What challenges </w:t>
                      </w:r>
                      <w:r w:rsidR="009F7C14">
                        <w:rPr>
                          <w:b/>
                          <w:bCs/>
                          <w:sz w:val="22"/>
                          <w:szCs w:val="22"/>
                        </w:rPr>
                        <w:t xml:space="preserve">do </w:t>
                      </w:r>
                      <w:r w:rsidR="004C5015">
                        <w:rPr>
                          <w:b/>
                          <w:bCs/>
                          <w:sz w:val="22"/>
                          <w:szCs w:val="22"/>
                        </w:rPr>
                        <w:t xml:space="preserve">NGO services face </w:t>
                      </w:r>
                      <w:r w:rsidR="009F7C14">
                        <w:rPr>
                          <w:b/>
                          <w:bCs/>
                          <w:sz w:val="22"/>
                          <w:szCs w:val="22"/>
                        </w:rPr>
                        <w:t xml:space="preserve">for recording and measuring data relating to </w:t>
                      </w:r>
                      <w:r w:rsidR="001E2DA6">
                        <w:rPr>
                          <w:b/>
                          <w:bCs/>
                          <w:sz w:val="22"/>
                          <w:szCs w:val="22"/>
                        </w:rPr>
                        <w:t>LGBTI</w:t>
                      </w:r>
                      <w:r w:rsidR="00910E1E">
                        <w:rPr>
                          <w:b/>
                          <w:bCs/>
                          <w:sz w:val="22"/>
                          <w:szCs w:val="22"/>
                        </w:rPr>
                        <w:t>Q</w:t>
                      </w:r>
                      <w:r w:rsidR="001E2DA6">
                        <w:rPr>
                          <w:b/>
                          <w:bCs/>
                          <w:sz w:val="22"/>
                          <w:szCs w:val="22"/>
                        </w:rPr>
                        <w:t xml:space="preserve">A+ </w:t>
                      </w:r>
                      <w:r w:rsidR="009F7C14">
                        <w:rPr>
                          <w:b/>
                          <w:bCs/>
                          <w:sz w:val="22"/>
                          <w:szCs w:val="22"/>
                        </w:rPr>
                        <w:t xml:space="preserve">outcomes and </w:t>
                      </w:r>
                      <w:r w:rsidR="001E2DA6">
                        <w:rPr>
                          <w:b/>
                          <w:bCs/>
                          <w:sz w:val="22"/>
                          <w:szCs w:val="22"/>
                        </w:rPr>
                        <w:t>engagement?</w:t>
                      </w:r>
                    </w:p>
                  </w:txbxContent>
                </v:textbox>
                <w10:wrap type="square" anchorx="margin"/>
              </v:shape>
            </w:pict>
          </mc:Fallback>
        </mc:AlternateContent>
      </w:r>
      <w:r w:rsidRPr="00206755">
        <w:t xml:space="preserve">Noting </w:t>
      </w:r>
      <w:r w:rsidR="007E0CE8">
        <w:t xml:space="preserve">that LGBTIQA+ is </w:t>
      </w:r>
      <w:r w:rsidRPr="00206755">
        <w:t xml:space="preserve">a broad group with </w:t>
      </w:r>
      <w:r w:rsidR="007E0CE8">
        <w:t>each cohort having distinct needs and cultural experiences</w:t>
      </w:r>
      <w:r w:rsidRPr="00206755">
        <w:t xml:space="preserve">, it is important to </w:t>
      </w:r>
      <w:r w:rsidR="007E0CE8">
        <w:t xml:space="preserve">identify and consider specific </w:t>
      </w:r>
      <w:r w:rsidRPr="00206755">
        <w:t>outcomes</w:t>
      </w:r>
      <w:r>
        <w:t xml:space="preserve"> that have impacts</w:t>
      </w:r>
      <w:r w:rsidRPr="00206755">
        <w:t xml:space="preserve"> for </w:t>
      </w:r>
      <w:r w:rsidR="007E0CE8">
        <w:t>these</w:t>
      </w:r>
      <w:r w:rsidRPr="00206755">
        <w:t xml:space="preserve"> communities</w:t>
      </w:r>
      <w:r>
        <w:t xml:space="preserve">. These may be used in commissioning or future work as the sector becomes more accessible. </w:t>
      </w:r>
      <w:r w:rsidR="009070FD">
        <w:t xml:space="preserve"> </w:t>
      </w:r>
      <w:bookmarkStart w:id="8" w:name="_Toc135994164"/>
    </w:p>
    <w:p w14:paraId="40D028F7" w14:textId="77777777" w:rsidR="00313E03" w:rsidRDefault="00313E03">
      <w:pPr>
        <w:spacing w:line="276" w:lineRule="auto"/>
        <w:rPr>
          <w:rFonts w:eastAsiaTheme="majorEastAsia" w:cstheme="majorBidi"/>
          <w:bCs/>
          <w:caps/>
          <w:color w:val="482D8C" w:themeColor="background2"/>
          <w:spacing w:val="-20"/>
          <w:kern w:val="36"/>
          <w:sz w:val="44"/>
          <w:szCs w:val="48"/>
        </w:rPr>
      </w:pPr>
      <w:r>
        <w:br w:type="page"/>
      </w:r>
    </w:p>
    <w:p w14:paraId="5145C9FD" w14:textId="382D66DE" w:rsidR="00BC6F36" w:rsidRDefault="00BC6F36" w:rsidP="00BC6F36">
      <w:pPr>
        <w:pStyle w:val="Heading1"/>
      </w:pPr>
      <w:r>
        <w:lastRenderedPageBreak/>
        <w:t>references</w:t>
      </w:r>
      <w:bookmarkEnd w:id="8"/>
    </w:p>
    <w:p w14:paraId="7D62C2E7" w14:textId="77777777" w:rsidR="00BA6020" w:rsidRDefault="00BA6020" w:rsidP="00BA6020">
      <w:pPr>
        <w:pStyle w:val="FootnoteText"/>
        <w:numPr>
          <w:ilvl w:val="0"/>
          <w:numId w:val="35"/>
        </w:numPr>
      </w:pPr>
      <w:r>
        <w:rPr>
          <w:w w:val="110"/>
        </w:rPr>
        <w:t xml:space="preserve">LGBTIQ+ Health Australia 2013. </w:t>
      </w:r>
      <w:r w:rsidRPr="004E6FC6">
        <w:rPr>
          <w:i/>
          <w:iCs/>
          <w:w w:val="110"/>
        </w:rPr>
        <w:t>Cultural Competency Implementation Framework: Achieving Inclusive Practice with Lesbian, Gay, Bisexual, Trans and Intersex (LGBTI) Communities</w:t>
      </w:r>
      <w:r>
        <w:rPr>
          <w:i/>
          <w:iCs/>
          <w:w w:val="110"/>
        </w:rPr>
        <w:t>,</w:t>
      </w:r>
      <w:r>
        <w:rPr>
          <w:w w:val="110"/>
        </w:rPr>
        <w:t xml:space="preserve"> Australia.</w:t>
      </w:r>
    </w:p>
    <w:p w14:paraId="6E9C61B0" w14:textId="0FF19048" w:rsidR="00666761" w:rsidRPr="00313E03" w:rsidRDefault="00666761" w:rsidP="00666761">
      <w:pPr>
        <w:pStyle w:val="FootnoteText"/>
        <w:numPr>
          <w:ilvl w:val="0"/>
          <w:numId w:val="35"/>
        </w:numPr>
      </w:pPr>
      <w:r w:rsidRPr="007678FC">
        <w:rPr>
          <w:w w:val="110"/>
        </w:rPr>
        <w:t>LGBTIQ+ Health Australia 2021. Snapshot of Mental Health and Suicide Prevention Statistics for LGBTI People, Australia</w:t>
      </w:r>
    </w:p>
    <w:p w14:paraId="50DC0982" w14:textId="4561725D" w:rsidR="00BA6020" w:rsidRPr="00313E03" w:rsidRDefault="00BA6020" w:rsidP="00BA6020">
      <w:pPr>
        <w:pStyle w:val="FootnoteText"/>
        <w:numPr>
          <w:ilvl w:val="0"/>
          <w:numId w:val="35"/>
        </w:numPr>
      </w:pPr>
      <w:r w:rsidRPr="00BA6020">
        <w:rPr>
          <w:w w:val="110"/>
        </w:rPr>
        <w:t xml:space="preserve">LGBTIQ+ Health Australia 2013. </w:t>
      </w:r>
      <w:r w:rsidRPr="00BA6020">
        <w:rPr>
          <w:i/>
          <w:iCs/>
          <w:w w:val="110"/>
        </w:rPr>
        <w:t>Cultural Competency Implementation Framework: Achieving Inclusive Practice with Lesbian, Gay, Bisexual, Trans and Intersex (LGBTI) Communities,</w:t>
      </w:r>
      <w:r w:rsidRPr="00BA6020">
        <w:rPr>
          <w:w w:val="110"/>
        </w:rPr>
        <w:t xml:space="preserve"> Australia.</w:t>
      </w:r>
    </w:p>
    <w:p w14:paraId="466D30C7" w14:textId="3D0BF087" w:rsidR="00241F69" w:rsidRDefault="00F55719" w:rsidP="00BA6020">
      <w:pPr>
        <w:pStyle w:val="FootnoteText"/>
        <w:numPr>
          <w:ilvl w:val="0"/>
          <w:numId w:val="35"/>
        </w:numPr>
      </w:pPr>
      <w:r>
        <w:rPr>
          <w:w w:val="110"/>
        </w:rPr>
        <w:t xml:space="preserve">Western Australian Department of Health. Western Australian Lesbian, Gay, bisexual, Transgender, Intersex Health Strategy 2019-2024. Perth: Health Networks, Western Australian Department of Health; 2019. </w:t>
      </w:r>
    </w:p>
    <w:p w14:paraId="6AF0B788" w14:textId="204A3A8D" w:rsidR="00BA6020" w:rsidRPr="00313E03" w:rsidRDefault="00BA6020" w:rsidP="00BC6F36">
      <w:pPr>
        <w:pStyle w:val="FootnoteText"/>
        <w:numPr>
          <w:ilvl w:val="0"/>
          <w:numId w:val="35"/>
        </w:numPr>
        <w:rPr>
          <w:w w:val="110"/>
        </w:rPr>
      </w:pPr>
      <w:r w:rsidRPr="00313E03">
        <w:rPr>
          <w:w w:val="110"/>
        </w:rPr>
        <w:t xml:space="preserve">Waling, A., Lim, G., Dhalla, S., Lyons, A., &amp; Bourne, A. Understanding LGBTI+ Lives in Crisis Bundoora, VIC &amp; Canberra, </w:t>
      </w:r>
      <w:r w:rsidRPr="00313E03">
        <w:rPr>
          <w:i/>
          <w:iCs/>
          <w:w w:val="110"/>
        </w:rPr>
        <w:t>ACT: Australian Research Centre in Sex, Health and Society, La Trobe University &amp; Lifeline Australia</w:t>
      </w:r>
      <w:r w:rsidRPr="00313E03">
        <w:rPr>
          <w:w w:val="110"/>
        </w:rPr>
        <w:t>. 2019</w:t>
      </w:r>
      <w:r w:rsidR="007E0CE8">
        <w:rPr>
          <w:w w:val="110"/>
        </w:rPr>
        <w:t>.</w:t>
      </w:r>
    </w:p>
    <w:p w14:paraId="2FBDD4AB" w14:textId="08AE2427" w:rsidR="00BC6F36" w:rsidRDefault="00BC6F36" w:rsidP="00BC6F36">
      <w:pPr>
        <w:pStyle w:val="FootnoteText"/>
        <w:numPr>
          <w:ilvl w:val="0"/>
          <w:numId w:val="35"/>
        </w:numPr>
      </w:pPr>
      <w:r>
        <w:t xml:space="preserve">Productivity Commission 2020, </w:t>
      </w:r>
      <w:r>
        <w:rPr>
          <w:i/>
          <w:iCs/>
        </w:rPr>
        <w:t>Mental Health</w:t>
      </w:r>
      <w:r>
        <w:t>, Report no. 95, Volume 2, Canberra.</w:t>
      </w:r>
    </w:p>
    <w:p w14:paraId="5136A270" w14:textId="77777777" w:rsidR="00F55719" w:rsidRDefault="00F55719" w:rsidP="00F55719">
      <w:pPr>
        <w:pStyle w:val="FootnoteText"/>
        <w:numPr>
          <w:ilvl w:val="0"/>
          <w:numId w:val="35"/>
        </w:numPr>
      </w:pPr>
      <w:r>
        <w:rPr>
          <w:w w:val="110"/>
        </w:rPr>
        <w:t xml:space="preserve">Western Australian Department of Health. Western Australian Lesbian, Gay, bisexual, Transgender, Intersex Health Strategy 2019-2024. Perth: Health Networks, Western Australian Department of Health; 2019. </w:t>
      </w:r>
    </w:p>
    <w:p w14:paraId="20946C21" w14:textId="77777777" w:rsidR="001B7F86" w:rsidRPr="001B7F86" w:rsidRDefault="00903F54" w:rsidP="00BC6F36">
      <w:pPr>
        <w:pStyle w:val="FootnoteText"/>
        <w:numPr>
          <w:ilvl w:val="0"/>
          <w:numId w:val="35"/>
        </w:numPr>
      </w:pPr>
      <w:r>
        <w:rPr>
          <w:w w:val="110"/>
        </w:rPr>
        <w:t>LGBTIQ+ Health Australia</w:t>
      </w:r>
      <w:r w:rsidR="007D2166">
        <w:rPr>
          <w:w w:val="110"/>
        </w:rPr>
        <w:t xml:space="preserve"> 2021. </w:t>
      </w:r>
      <w:r w:rsidR="007D2166" w:rsidRPr="007D2166">
        <w:rPr>
          <w:i/>
          <w:iCs/>
          <w:w w:val="110"/>
        </w:rPr>
        <w:t xml:space="preserve">Beyond Urgent: </w:t>
      </w:r>
      <w:r w:rsidR="001B7F86" w:rsidRPr="007D2166">
        <w:rPr>
          <w:i/>
          <w:iCs/>
          <w:w w:val="110"/>
        </w:rPr>
        <w:t>The National LGBTIQ+ Mental Health and Suicide Prevention Strategy</w:t>
      </w:r>
      <w:r w:rsidR="007D2166">
        <w:rPr>
          <w:w w:val="110"/>
        </w:rPr>
        <w:t xml:space="preserve">, </w:t>
      </w:r>
      <w:r w:rsidR="009679AC">
        <w:rPr>
          <w:w w:val="110"/>
        </w:rPr>
        <w:t>Australia.</w:t>
      </w:r>
    </w:p>
    <w:p w14:paraId="7904F6D1" w14:textId="77777777" w:rsidR="002F6099" w:rsidRDefault="00F13543" w:rsidP="00BC6F36">
      <w:pPr>
        <w:pStyle w:val="FootnoteText"/>
        <w:numPr>
          <w:ilvl w:val="0"/>
          <w:numId w:val="35"/>
        </w:numPr>
      </w:pPr>
      <w:r>
        <w:rPr>
          <w:w w:val="110"/>
        </w:rPr>
        <w:t xml:space="preserve">LGBTIQ+ Health Australia 2014. </w:t>
      </w:r>
      <w:r w:rsidRPr="00F13543">
        <w:rPr>
          <w:i/>
          <w:iCs/>
          <w:w w:val="110"/>
        </w:rPr>
        <w:t>Going Upstream: A Framework for Promoting the Mental Health of LGBTI People</w:t>
      </w:r>
      <w:r>
        <w:rPr>
          <w:i/>
          <w:iCs/>
          <w:w w:val="110"/>
        </w:rPr>
        <w:t xml:space="preserve">, </w:t>
      </w:r>
      <w:r>
        <w:rPr>
          <w:w w:val="110"/>
        </w:rPr>
        <w:t>Australia.</w:t>
      </w:r>
    </w:p>
    <w:p w14:paraId="4E7D9F0B" w14:textId="77777777" w:rsidR="002F6099" w:rsidRDefault="004E6FC6" w:rsidP="00BC6F36">
      <w:pPr>
        <w:pStyle w:val="FootnoteText"/>
        <w:numPr>
          <w:ilvl w:val="0"/>
          <w:numId w:val="35"/>
        </w:numPr>
      </w:pPr>
      <w:r>
        <w:rPr>
          <w:w w:val="110"/>
        </w:rPr>
        <w:t xml:space="preserve">LGBTIQ+ Health Australia 2013. </w:t>
      </w:r>
      <w:r w:rsidRPr="004E6FC6">
        <w:rPr>
          <w:i/>
          <w:iCs/>
          <w:w w:val="110"/>
        </w:rPr>
        <w:t>Cultural Competency Implementation Framework: Achieving Inclusive Practice with Lesbian, Gay, Bisexual, Trans and Intersex (LGBTI) Communities</w:t>
      </w:r>
      <w:r w:rsidR="00226B1D">
        <w:rPr>
          <w:i/>
          <w:iCs/>
          <w:w w:val="110"/>
        </w:rPr>
        <w:t>,</w:t>
      </w:r>
      <w:r w:rsidR="00226B1D">
        <w:rPr>
          <w:w w:val="110"/>
        </w:rPr>
        <w:t xml:space="preserve"> Australia.</w:t>
      </w:r>
    </w:p>
    <w:p w14:paraId="3A5070D6" w14:textId="77777777" w:rsidR="00D92793" w:rsidRPr="00184F6B" w:rsidRDefault="00D92793" w:rsidP="00D92793">
      <w:pPr>
        <w:pStyle w:val="FootnoteText"/>
        <w:numPr>
          <w:ilvl w:val="0"/>
          <w:numId w:val="35"/>
        </w:numPr>
        <w:spacing w:after="60"/>
        <w:rPr>
          <w:rStyle w:val="Hyperlink"/>
          <w:color w:val="auto"/>
          <w:u w:val="none"/>
        </w:rPr>
      </w:pPr>
      <w:r>
        <w:t xml:space="preserve">Australian Commission on Safety and Quality in Health Care. National Safety and Quality Health Service Standards. (2017). Retrieved from </w:t>
      </w:r>
      <w:hyperlink r:id="rId13" w:history="1">
        <w:r>
          <w:rPr>
            <w:rStyle w:val="Hyperlink"/>
          </w:rPr>
          <w:t>https://www.safetyandquality.gov.au/standards/nsqhs-standards</w:t>
        </w:r>
      </w:hyperlink>
    </w:p>
    <w:p w14:paraId="3B05954A" w14:textId="77777777" w:rsidR="00D92793" w:rsidRDefault="00D92793" w:rsidP="00D92793">
      <w:pPr>
        <w:pStyle w:val="FootnoteText"/>
        <w:numPr>
          <w:ilvl w:val="0"/>
          <w:numId w:val="35"/>
        </w:numPr>
        <w:spacing w:after="60"/>
      </w:pPr>
      <w:r>
        <w:t xml:space="preserve">Australian Commission on Safety and Quality in Health Care. National Safety and Quality Mental Health Standards for Community Managed Organisations. Sydney, 2022. Retrieved from: </w:t>
      </w:r>
      <w:hyperlink r:id="rId14" w:history="1">
        <w:r>
          <w:rPr>
            <w:rStyle w:val="Hyperlink"/>
          </w:rPr>
          <w:t>National Safety and Quality Mental Health Standards for Community Managed Organisations</w:t>
        </w:r>
      </w:hyperlink>
    </w:p>
    <w:p w14:paraId="603CFFAA" w14:textId="77777777" w:rsidR="00D92793" w:rsidRDefault="00D92793" w:rsidP="00D92793">
      <w:pPr>
        <w:pStyle w:val="FootnoteText"/>
        <w:numPr>
          <w:ilvl w:val="0"/>
          <w:numId w:val="35"/>
        </w:numPr>
        <w:spacing w:after="60"/>
      </w:pPr>
      <w:r>
        <w:t xml:space="preserve">Department of Health and Ageing, 2012. Mental Health Statement of Rights and Responsibilities. Retrieved from: </w:t>
      </w:r>
      <w:hyperlink r:id="rId15" w:history="1">
        <w:r w:rsidRPr="00A47C91">
          <w:rPr>
            <w:rStyle w:val="Hyperlink"/>
          </w:rPr>
          <w:t>https://www.health.gov.au/sites/default/files/documents/2021/04/mental-health-statement-of-rights-and-responsibilities-2012.pdf</w:t>
        </w:r>
      </w:hyperlink>
      <w:r>
        <w:t xml:space="preserve"> </w:t>
      </w:r>
    </w:p>
    <w:p w14:paraId="1F28F70C" w14:textId="77777777" w:rsidR="00D92793" w:rsidRPr="00A16D62" w:rsidRDefault="00D92793" w:rsidP="00D92793">
      <w:pPr>
        <w:pStyle w:val="FootnoteText"/>
        <w:numPr>
          <w:ilvl w:val="0"/>
          <w:numId w:val="35"/>
        </w:numPr>
        <w:spacing w:after="60"/>
        <w:rPr>
          <w:rStyle w:val="Hyperlink"/>
          <w:color w:val="auto"/>
          <w:u w:val="none"/>
        </w:rPr>
      </w:pPr>
      <w:r>
        <w:t xml:space="preserve">National Mental Health and Suicide Prevention Agreement. Commonwealth Government. (2022). Retrieved from: </w:t>
      </w:r>
      <w:hyperlink r:id="rId16" w:history="1">
        <w:r>
          <w:rPr>
            <w:rStyle w:val="Hyperlink"/>
          </w:rPr>
          <w:t>https://federalfinancialrelations.gov.au/agreements/mental-health-suicide-prevention-agreement</w:t>
        </w:r>
      </w:hyperlink>
    </w:p>
    <w:p w14:paraId="444B5139" w14:textId="77777777" w:rsidR="002F6099" w:rsidRDefault="0027126E" w:rsidP="00BC6F36">
      <w:pPr>
        <w:pStyle w:val="FootnoteText"/>
        <w:numPr>
          <w:ilvl w:val="0"/>
          <w:numId w:val="35"/>
        </w:numPr>
      </w:pPr>
      <w:r>
        <w:t xml:space="preserve">ACT Government 2020. </w:t>
      </w:r>
      <w:r w:rsidRPr="0027126E">
        <w:rPr>
          <w:i/>
          <w:iCs/>
          <w:w w:val="110"/>
        </w:rPr>
        <w:t>Accessible, Accountable, Sustainable: A Framework for the ACT Public Health System 2020-2030</w:t>
      </w:r>
      <w:r>
        <w:rPr>
          <w:i/>
          <w:iCs/>
          <w:w w:val="110"/>
        </w:rPr>
        <w:t>,</w:t>
      </w:r>
      <w:r>
        <w:rPr>
          <w:w w:val="110"/>
        </w:rPr>
        <w:t xml:space="preserve"> Canberra. </w:t>
      </w:r>
    </w:p>
    <w:p w14:paraId="1877C496" w14:textId="77777777" w:rsidR="00C7461E" w:rsidRPr="00C7461E" w:rsidRDefault="00C7461E" w:rsidP="00F33E93">
      <w:pPr>
        <w:pStyle w:val="FootnoteText"/>
        <w:numPr>
          <w:ilvl w:val="0"/>
          <w:numId w:val="35"/>
        </w:numPr>
        <w:rPr>
          <w:i/>
          <w:iCs/>
        </w:rPr>
      </w:pPr>
      <w:r>
        <w:t>ACT Government</w:t>
      </w:r>
      <w:r w:rsidR="00603603">
        <w:t xml:space="preserve"> 2021</w:t>
      </w:r>
      <w:r>
        <w:t xml:space="preserve">. </w:t>
      </w:r>
      <w:r w:rsidRPr="00C7461E">
        <w:rPr>
          <w:i/>
          <w:iCs/>
          <w:w w:val="110"/>
        </w:rPr>
        <w:t>Guidance to Support Gender Affirming Care for Mental Health</w:t>
      </w:r>
      <w:r w:rsidR="00504C60">
        <w:rPr>
          <w:w w:val="110"/>
        </w:rPr>
        <w:t xml:space="preserve">, Canberra. </w:t>
      </w:r>
    </w:p>
    <w:p w14:paraId="45BD6FE8" w14:textId="77777777" w:rsidR="002F6099" w:rsidRDefault="00504C60" w:rsidP="00F33E93">
      <w:pPr>
        <w:pStyle w:val="FootnoteText"/>
        <w:numPr>
          <w:ilvl w:val="0"/>
          <w:numId w:val="35"/>
        </w:numPr>
      </w:pPr>
      <w:r>
        <w:rPr>
          <w:w w:val="110"/>
        </w:rPr>
        <w:t>ACT Government</w:t>
      </w:r>
      <w:r w:rsidR="00020244">
        <w:rPr>
          <w:w w:val="110"/>
        </w:rPr>
        <w:t xml:space="preserve"> 2019 &amp; 2023</w:t>
      </w:r>
      <w:r w:rsidR="00562A59">
        <w:rPr>
          <w:w w:val="110"/>
        </w:rPr>
        <w:t xml:space="preserve">. </w:t>
      </w:r>
      <w:r w:rsidRPr="000839E2">
        <w:rPr>
          <w:i/>
          <w:iCs/>
          <w:w w:val="110"/>
        </w:rPr>
        <w:t>Capital of Equality Strategy: Action</w:t>
      </w:r>
      <w:r w:rsidR="000839E2" w:rsidRPr="000839E2">
        <w:rPr>
          <w:i/>
          <w:iCs/>
          <w:w w:val="110"/>
        </w:rPr>
        <w:t xml:space="preserve"> Plans</w:t>
      </w:r>
      <w:r w:rsidR="000839E2">
        <w:rPr>
          <w:w w:val="110"/>
        </w:rPr>
        <w:t>, Canberra.</w:t>
      </w:r>
    </w:p>
    <w:p w14:paraId="0F7AE0B7" w14:textId="77777777" w:rsidR="0027126E" w:rsidRPr="00313E03" w:rsidRDefault="002F6099" w:rsidP="00BC6F36">
      <w:pPr>
        <w:pStyle w:val="EndnoteText"/>
        <w:numPr>
          <w:ilvl w:val="0"/>
          <w:numId w:val="35"/>
        </w:numPr>
        <w:rPr>
          <w:rStyle w:val="Hyperlink"/>
          <w:color w:val="auto"/>
          <w:u w:val="none"/>
        </w:rPr>
      </w:pPr>
      <w:r>
        <w:t xml:space="preserve">ACT Government. ACT Wellbeing Framework. (2020). Retrieved from </w:t>
      </w:r>
      <w:hyperlink r:id="rId17" w:history="1">
        <w:r>
          <w:rPr>
            <w:rStyle w:val="Hyperlink"/>
          </w:rPr>
          <w:t>https://www.act.gov.au/wellbeing/wellbeing-framework</w:t>
        </w:r>
      </w:hyperlink>
    </w:p>
    <w:p w14:paraId="780B8041" w14:textId="77777777" w:rsidR="00BA6020" w:rsidRPr="00313E03" w:rsidRDefault="00BA6020" w:rsidP="00BA6020">
      <w:pPr>
        <w:pStyle w:val="FootnoteText"/>
        <w:numPr>
          <w:ilvl w:val="0"/>
          <w:numId w:val="35"/>
        </w:numPr>
        <w:rPr>
          <w:w w:val="110"/>
        </w:rPr>
      </w:pPr>
      <w:r>
        <w:rPr>
          <w:w w:val="110"/>
        </w:rPr>
        <w:t xml:space="preserve">LGBTIQ+ Health Australia 2013. </w:t>
      </w:r>
      <w:r w:rsidRPr="004E6FC6">
        <w:rPr>
          <w:i/>
          <w:iCs/>
          <w:w w:val="110"/>
        </w:rPr>
        <w:t xml:space="preserve">Cultural Competency Implementation Framework: Achieving Inclusive </w:t>
      </w:r>
      <w:r w:rsidRPr="00987FF2">
        <w:rPr>
          <w:i/>
          <w:iCs/>
          <w:w w:val="110"/>
        </w:rPr>
        <w:t>Practice with Lesbian, Gay, Bisexual, Trans and Intersex (LGBTI) Communities</w:t>
      </w:r>
      <w:r w:rsidRPr="00313E03">
        <w:rPr>
          <w:w w:val="110"/>
        </w:rPr>
        <w:t>,</w:t>
      </w:r>
      <w:r>
        <w:rPr>
          <w:w w:val="110"/>
        </w:rPr>
        <w:t xml:space="preserve"> Australia.</w:t>
      </w:r>
    </w:p>
    <w:p w14:paraId="6C442B28" w14:textId="77777777" w:rsidR="00BA6020" w:rsidRPr="00313E03" w:rsidRDefault="00987FF2" w:rsidP="00313E03">
      <w:pPr>
        <w:pStyle w:val="FootnoteText"/>
        <w:numPr>
          <w:ilvl w:val="0"/>
          <w:numId w:val="35"/>
        </w:numPr>
        <w:rPr>
          <w:w w:val="110"/>
        </w:rPr>
      </w:pPr>
      <w:r w:rsidRPr="00313E03">
        <w:rPr>
          <w:w w:val="110"/>
        </w:rPr>
        <w:t>ACT Government, 2021. Guidance to support gender affirming care for mental health, Canberra</w:t>
      </w:r>
      <w:r>
        <w:rPr>
          <w:w w:val="110"/>
        </w:rPr>
        <w:t>.</w:t>
      </w:r>
    </w:p>
    <w:p w14:paraId="0E388CF4" w14:textId="77777777" w:rsidR="00C25AFE" w:rsidRDefault="00C25AFE">
      <w:pPr>
        <w:spacing w:line="276" w:lineRule="auto"/>
        <w:rPr>
          <w:rFonts w:eastAsiaTheme="majorEastAsia" w:cstheme="majorBidi"/>
          <w:bCs/>
          <w:caps/>
          <w:color w:val="482D8C" w:themeColor="background2"/>
          <w:spacing w:val="-20"/>
          <w:kern w:val="36"/>
          <w:sz w:val="44"/>
          <w:szCs w:val="48"/>
        </w:rPr>
      </w:pPr>
      <w:bookmarkStart w:id="9" w:name="_Toc135994165"/>
      <w:r>
        <w:br w:type="page"/>
      </w:r>
    </w:p>
    <w:p w14:paraId="2A842404" w14:textId="77777777" w:rsidR="00BC6F36" w:rsidRDefault="00BC6F36" w:rsidP="00BC6F36">
      <w:pPr>
        <w:pStyle w:val="Heading1"/>
      </w:pPr>
      <w:r w:rsidRPr="005A590C">
        <w:lastRenderedPageBreak/>
        <w:t>Terms</w:t>
      </w:r>
      <w:r>
        <w:t>, Acronyms and Definitions</w:t>
      </w:r>
      <w:bookmarkEnd w:id="9"/>
      <w:r>
        <w:t xml:space="preserve"> </w:t>
      </w:r>
    </w:p>
    <w:p w14:paraId="2A6669D9" w14:textId="77777777" w:rsidR="00BC6F36" w:rsidRDefault="00BC6F36" w:rsidP="00BC6F36">
      <w:pPr>
        <w:spacing w:line="240" w:lineRule="auto"/>
        <w:rPr>
          <w:b/>
          <w:bCs/>
        </w:rPr>
      </w:pPr>
      <w:bookmarkStart w:id="10" w:name="_Toc135994166"/>
      <w:r w:rsidRPr="009F215C">
        <w:rPr>
          <w:rStyle w:val="Heading2Char"/>
        </w:rPr>
        <w:t>Acronyms</w:t>
      </w:r>
      <w:bookmarkEnd w:id="10"/>
      <w:r>
        <w:rPr>
          <w:b/>
          <w:bCs/>
        </w:rPr>
        <w:t>:</w:t>
      </w:r>
    </w:p>
    <w:p w14:paraId="35F76CBE" w14:textId="77777777" w:rsidR="00BC6F36" w:rsidRDefault="00BC6F36" w:rsidP="00BC6F36">
      <w:pPr>
        <w:spacing w:line="240" w:lineRule="auto"/>
      </w:pPr>
      <w:r w:rsidRPr="00592DC1">
        <w:rPr>
          <w:b/>
          <w:bCs/>
        </w:rPr>
        <w:t>ACTHD</w:t>
      </w:r>
      <w:r>
        <w:t xml:space="preserve"> ACT Health Directorate</w:t>
      </w:r>
    </w:p>
    <w:p w14:paraId="701396BA" w14:textId="77777777" w:rsidR="00BC6F36" w:rsidRDefault="00BC6F36" w:rsidP="00BC6F36">
      <w:pPr>
        <w:spacing w:line="240" w:lineRule="auto"/>
      </w:pPr>
      <w:r w:rsidRPr="00592DC1">
        <w:rPr>
          <w:b/>
          <w:bCs/>
        </w:rPr>
        <w:t>ART</w:t>
      </w:r>
      <w:r>
        <w:t xml:space="preserve"> Assisted Reproductive Technology</w:t>
      </w:r>
    </w:p>
    <w:p w14:paraId="3A8A5861" w14:textId="77777777" w:rsidR="00BC6F36" w:rsidRDefault="00BC6F36" w:rsidP="00BC6F36">
      <w:pPr>
        <w:spacing w:line="240" w:lineRule="auto"/>
      </w:pPr>
      <w:r w:rsidRPr="0071776D">
        <w:rPr>
          <w:b/>
          <w:bCs/>
        </w:rPr>
        <w:t>HRT</w:t>
      </w:r>
      <w:r>
        <w:t xml:space="preserve"> Hormone Replacement Therapy</w:t>
      </w:r>
    </w:p>
    <w:p w14:paraId="686D4FFC" w14:textId="77777777" w:rsidR="00BC6F36" w:rsidRDefault="00BC6F36" w:rsidP="00BC6F36">
      <w:pPr>
        <w:spacing w:line="240" w:lineRule="auto"/>
      </w:pPr>
      <w:r w:rsidRPr="0071776D">
        <w:rPr>
          <w:b/>
          <w:bCs/>
        </w:rPr>
        <w:t>NGO</w:t>
      </w:r>
      <w:r>
        <w:t xml:space="preserve"> means Non-Government Organisation</w:t>
      </w:r>
    </w:p>
    <w:p w14:paraId="44A27314" w14:textId="77777777" w:rsidR="00BC6F36" w:rsidRPr="00F56780" w:rsidRDefault="00BC6F36" w:rsidP="00BC6F36">
      <w:pPr>
        <w:pStyle w:val="Heading2"/>
      </w:pPr>
      <w:bookmarkStart w:id="11" w:name="_Toc135994167"/>
      <w:r w:rsidRPr="00082A3B">
        <w:t>Definitions</w:t>
      </w:r>
      <w:bookmarkEnd w:id="11"/>
    </w:p>
    <w:p w14:paraId="27259BC3" w14:textId="77777777" w:rsidR="00BC6F36" w:rsidRDefault="00BC6F36" w:rsidP="00BC6F36">
      <w:pPr>
        <w:spacing w:line="240" w:lineRule="auto"/>
      </w:pPr>
      <w:r w:rsidRPr="00592DC1">
        <w:rPr>
          <w:b/>
          <w:bCs/>
        </w:rPr>
        <w:t>Asexual</w:t>
      </w:r>
      <w:r>
        <w:t xml:space="preserve"> means someone who is not sexually attracted to </w:t>
      </w:r>
      <w:proofErr w:type="gramStart"/>
      <w:r>
        <w:t>others</w:t>
      </w:r>
      <w:proofErr w:type="gramEnd"/>
    </w:p>
    <w:p w14:paraId="68D544FB" w14:textId="77777777" w:rsidR="00BC6F36" w:rsidRDefault="00BC6F36" w:rsidP="00BC6F36">
      <w:pPr>
        <w:spacing w:line="240" w:lineRule="auto"/>
      </w:pPr>
      <w:r w:rsidRPr="00592DC1">
        <w:rPr>
          <w:b/>
          <w:bCs/>
        </w:rPr>
        <w:t>Bisexual</w:t>
      </w:r>
      <w:r>
        <w:t xml:space="preserve"> means someone who is sexually attracted to two </w:t>
      </w:r>
      <w:proofErr w:type="gramStart"/>
      <w:r>
        <w:t>genders</w:t>
      </w:r>
      <w:proofErr w:type="gramEnd"/>
    </w:p>
    <w:p w14:paraId="58C4336A" w14:textId="77777777" w:rsidR="00BC6F36" w:rsidRDefault="00BC6F36" w:rsidP="00BC6F36">
      <w:pPr>
        <w:spacing w:line="240" w:lineRule="auto"/>
      </w:pPr>
      <w:r w:rsidRPr="00592DC1">
        <w:rPr>
          <w:b/>
          <w:bCs/>
        </w:rPr>
        <w:t>Cisgender</w:t>
      </w:r>
      <w:r>
        <w:t xml:space="preserve"> means someone whose gender identity aligns with the sex they were assigned at </w:t>
      </w:r>
      <w:proofErr w:type="gramStart"/>
      <w:r>
        <w:t>birth</w:t>
      </w:r>
      <w:proofErr w:type="gramEnd"/>
    </w:p>
    <w:p w14:paraId="79F5485D" w14:textId="77777777" w:rsidR="00BC6F36" w:rsidRDefault="00BC6F36" w:rsidP="00BC6F36">
      <w:pPr>
        <w:spacing w:line="240" w:lineRule="auto"/>
      </w:pPr>
      <w:r w:rsidRPr="00592DC1">
        <w:rPr>
          <w:b/>
          <w:bCs/>
        </w:rPr>
        <w:t>Lesbian</w:t>
      </w:r>
      <w:r>
        <w:t xml:space="preserve"> means women who are sexually attracted to other </w:t>
      </w:r>
      <w:proofErr w:type="gramStart"/>
      <w:r>
        <w:t>women</w:t>
      </w:r>
      <w:proofErr w:type="gramEnd"/>
    </w:p>
    <w:p w14:paraId="51E61657" w14:textId="77777777" w:rsidR="00BC6F36" w:rsidRDefault="00BC6F36" w:rsidP="00BC6F36">
      <w:pPr>
        <w:spacing w:line="240" w:lineRule="auto"/>
      </w:pPr>
      <w:r w:rsidRPr="00592DC1">
        <w:rPr>
          <w:b/>
          <w:bCs/>
        </w:rPr>
        <w:t>LGBTIQ</w:t>
      </w:r>
      <w:proofErr w:type="gramStart"/>
      <w:r w:rsidRPr="00592DC1">
        <w:rPr>
          <w:b/>
          <w:bCs/>
        </w:rPr>
        <w:t>+</w:t>
      </w:r>
      <w:r>
        <w:t xml:space="preserve">  is</w:t>
      </w:r>
      <w:proofErr w:type="gramEnd"/>
      <w:r>
        <w:t xml:space="preserve"> an umbrella term used to refer to the diversity of individuals that are lesbian, gay, bisexual, transgender, intersex and/or queer identifying. The ‘+’ refers to other sexualities and genders not captured by the other letters.</w:t>
      </w:r>
    </w:p>
    <w:p w14:paraId="02F3D982" w14:textId="77777777" w:rsidR="00BC6F36" w:rsidRDefault="00BC6F36" w:rsidP="00BC6F36">
      <w:pPr>
        <w:spacing w:line="240" w:lineRule="auto"/>
      </w:pPr>
      <w:r w:rsidRPr="00592DC1">
        <w:rPr>
          <w:b/>
          <w:bCs/>
        </w:rPr>
        <w:t>Gay</w:t>
      </w:r>
      <w:r w:rsidRPr="00C15D99">
        <w:t xml:space="preserve"> </w:t>
      </w:r>
      <w:r>
        <w:t xml:space="preserve">means men who are sexually attracted to other </w:t>
      </w:r>
      <w:proofErr w:type="gramStart"/>
      <w:r>
        <w:t>men</w:t>
      </w:r>
      <w:proofErr w:type="gramEnd"/>
    </w:p>
    <w:p w14:paraId="5FEBF1CB" w14:textId="77777777" w:rsidR="00BC6F36" w:rsidRDefault="00BC6F36" w:rsidP="00BC6F36">
      <w:pPr>
        <w:spacing w:line="240" w:lineRule="auto"/>
      </w:pPr>
      <w:r w:rsidRPr="00592DC1">
        <w:rPr>
          <w:b/>
          <w:bCs/>
        </w:rPr>
        <w:t>Gender affirming surgeries and/or procedures</w:t>
      </w:r>
      <w:r>
        <w:t xml:space="preserve"> means surgeries or procedures that alter a person’s physical appearance in order to have an </w:t>
      </w:r>
      <w:proofErr w:type="spellStart"/>
      <w:proofErr w:type="gramStart"/>
      <w:r>
        <w:t>individuals</w:t>
      </w:r>
      <w:proofErr w:type="spellEnd"/>
      <w:proofErr w:type="gramEnd"/>
      <w:r>
        <w:t xml:space="preserve"> appearance align with their gender identity</w:t>
      </w:r>
    </w:p>
    <w:p w14:paraId="79A7E0F8" w14:textId="77777777" w:rsidR="00BC6F36" w:rsidRDefault="00BC6F36" w:rsidP="00BC6F36">
      <w:pPr>
        <w:spacing w:line="240" w:lineRule="auto"/>
      </w:pPr>
      <w:r w:rsidRPr="0071776D">
        <w:rPr>
          <w:b/>
          <w:bCs/>
        </w:rPr>
        <w:t>Gender diverse</w:t>
      </w:r>
      <w:r>
        <w:t xml:space="preserve"> is an umbrella term that is used to describe gender identities that demonstrate a diversity of expression beyond the binary </w:t>
      </w:r>
      <w:proofErr w:type="gramStart"/>
      <w:r>
        <w:t>framework</w:t>
      </w:r>
      <w:proofErr w:type="gramEnd"/>
    </w:p>
    <w:p w14:paraId="386E9456" w14:textId="77777777" w:rsidR="00BC6F36" w:rsidRPr="0071776D" w:rsidRDefault="00BC6F36" w:rsidP="00BC6F36">
      <w:pPr>
        <w:spacing w:line="240" w:lineRule="auto"/>
      </w:pPr>
      <w:r w:rsidRPr="0071776D">
        <w:rPr>
          <w:b/>
          <w:bCs/>
        </w:rPr>
        <w:t>Intersex</w:t>
      </w:r>
      <w:r>
        <w:rPr>
          <w:b/>
          <w:bCs/>
        </w:rPr>
        <w:t xml:space="preserve"> </w:t>
      </w:r>
      <w:r>
        <w:t xml:space="preserve">means people born with physical or biological se characteristics that are more diverse than binary definitions for male or female </w:t>
      </w:r>
      <w:proofErr w:type="gramStart"/>
      <w:r>
        <w:t>bodies</w:t>
      </w:r>
      <w:proofErr w:type="gramEnd"/>
    </w:p>
    <w:p w14:paraId="053D8608" w14:textId="77777777" w:rsidR="00BC6F36" w:rsidRDefault="00BC6F36" w:rsidP="00200126">
      <w:pPr>
        <w:spacing w:line="240" w:lineRule="auto"/>
      </w:pPr>
      <w:r w:rsidRPr="0071776D">
        <w:rPr>
          <w:b/>
          <w:bCs/>
        </w:rPr>
        <w:t xml:space="preserve">Pansexual </w:t>
      </w:r>
      <w:r>
        <w:t xml:space="preserve">means people who are attracted to people of multiple </w:t>
      </w:r>
      <w:proofErr w:type="gramStart"/>
      <w:r>
        <w:t>gender</w:t>
      </w:r>
      <w:proofErr w:type="gramEnd"/>
    </w:p>
    <w:p w14:paraId="244B8BC4" w14:textId="77777777" w:rsidR="00C353EE" w:rsidRDefault="00C353EE" w:rsidP="00BC6F36">
      <w:pPr>
        <w:spacing w:line="276" w:lineRule="auto"/>
      </w:pPr>
    </w:p>
    <w:p w14:paraId="013DB426" w14:textId="77777777" w:rsidR="00C353EE" w:rsidRDefault="00C353EE" w:rsidP="00BC6F36">
      <w:pPr>
        <w:spacing w:line="276" w:lineRule="auto"/>
      </w:pPr>
    </w:p>
    <w:p w14:paraId="3734D665" w14:textId="77777777" w:rsidR="00C353EE" w:rsidRDefault="00C353EE" w:rsidP="00BC6F36">
      <w:pPr>
        <w:spacing w:line="276" w:lineRule="auto"/>
      </w:pPr>
    </w:p>
    <w:p w14:paraId="0111AA34" w14:textId="77777777" w:rsidR="00C353EE" w:rsidRDefault="00C353EE" w:rsidP="00BC6F36">
      <w:pPr>
        <w:spacing w:line="276" w:lineRule="auto"/>
      </w:pPr>
    </w:p>
    <w:p w14:paraId="1DBB2CBD" w14:textId="77777777" w:rsidR="00C353EE" w:rsidRDefault="00C353EE" w:rsidP="00BC6F36">
      <w:pPr>
        <w:spacing w:line="276" w:lineRule="auto"/>
      </w:pPr>
    </w:p>
    <w:p w14:paraId="30B009B5" w14:textId="77777777" w:rsidR="00C353EE" w:rsidRDefault="00C353EE" w:rsidP="00BC6F36">
      <w:pPr>
        <w:spacing w:line="276" w:lineRule="auto"/>
      </w:pPr>
    </w:p>
    <w:p w14:paraId="6C7128D3" w14:textId="77777777" w:rsidR="00C353EE" w:rsidRDefault="00C353EE" w:rsidP="00BC6F36">
      <w:pPr>
        <w:spacing w:line="276" w:lineRule="auto"/>
      </w:pPr>
    </w:p>
    <w:p w14:paraId="4C381476" w14:textId="77777777" w:rsidR="00C353EE" w:rsidRDefault="00C353EE" w:rsidP="00BC6F36">
      <w:pPr>
        <w:spacing w:line="276" w:lineRule="auto"/>
      </w:pPr>
    </w:p>
    <w:p w14:paraId="1E75C105" w14:textId="77777777" w:rsidR="00C353EE" w:rsidRDefault="00C353EE" w:rsidP="00BC6F36">
      <w:pPr>
        <w:spacing w:line="276" w:lineRule="auto"/>
      </w:pPr>
    </w:p>
    <w:p w14:paraId="267AA19A" w14:textId="77777777" w:rsidR="00C353EE" w:rsidRDefault="00C353EE" w:rsidP="00BC6F36">
      <w:pPr>
        <w:spacing w:line="276" w:lineRule="auto"/>
      </w:pPr>
    </w:p>
    <w:p w14:paraId="4996610B" w14:textId="77777777" w:rsidR="00A56436" w:rsidRDefault="006D2273" w:rsidP="00BC6F36">
      <w:pPr>
        <w:spacing w:line="276" w:lineRule="auto"/>
      </w:pPr>
      <w:r>
        <w:rPr>
          <w:noProof/>
        </w:rPr>
        <w:drawing>
          <wp:anchor distT="0" distB="0" distL="114300" distR="114300" simplePos="0" relativeHeight="251658245" behindDoc="1" locked="0" layoutInCell="1" allowOverlap="1" wp14:anchorId="3A4BC6DD" wp14:editId="72182157">
            <wp:simplePos x="0" y="0"/>
            <wp:positionH relativeFrom="page">
              <wp:posOffset>1834</wp:posOffset>
            </wp:positionH>
            <wp:positionV relativeFrom="page">
              <wp:posOffset>0</wp:posOffset>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r w:rsidR="00BC6F36">
        <w:tab/>
      </w:r>
    </w:p>
    <w:p w14:paraId="2915C381" w14:textId="77777777" w:rsidR="00B70B52" w:rsidRDefault="00B70B52">
      <w:pPr>
        <w:spacing w:line="276" w:lineRule="auto"/>
        <w:rPr>
          <w:rFonts w:eastAsia="TimesNewRomanPS-ItalicMT"/>
        </w:rPr>
      </w:pPr>
    </w:p>
    <w:p w14:paraId="42FA03E7" w14:textId="77777777" w:rsidR="007903B1" w:rsidRDefault="007903B1">
      <w:pPr>
        <w:spacing w:line="276" w:lineRule="auto"/>
        <w:rPr>
          <w:rFonts w:eastAsia="TimesNewRomanPS-ItalicMT"/>
        </w:rPr>
      </w:pPr>
    </w:p>
    <w:p w14:paraId="0C749F2B" w14:textId="77777777" w:rsidR="007D5985" w:rsidRPr="003B2710" w:rsidRDefault="007D5985" w:rsidP="007D5985">
      <w:pPr>
        <w:rPr>
          <w:rFonts w:eastAsia="TimesNewRomanPS-ItalicMT"/>
        </w:rPr>
      </w:pPr>
    </w:p>
    <w:p w14:paraId="710AFDD3" w14:textId="77777777" w:rsidR="00632F54" w:rsidRPr="00632F54" w:rsidRDefault="00496C0F" w:rsidP="00632F54">
      <w:pPr>
        <w:pStyle w:val="Heading2"/>
      </w:pPr>
      <w:bookmarkStart w:id="12" w:name="_Toc80189497"/>
      <w:bookmarkStart w:id="13" w:name="_Toc80190325"/>
      <w:bookmarkStart w:id="14" w:name="_Toc80252933"/>
      <w:bookmarkStart w:id="15" w:name="_Toc80345397"/>
      <w:bookmarkStart w:id="16" w:name="_Toc80345897"/>
      <w:bookmarkStart w:id="17" w:name="_Toc80359858"/>
      <w:bookmarkStart w:id="18" w:name="_Toc80361192"/>
      <w:bookmarkStart w:id="19" w:name="_Toc80361382"/>
      <w:bookmarkStart w:id="20" w:name="_Toc80879104"/>
      <w:bookmarkStart w:id="21" w:name="_Toc80880230"/>
      <w:bookmarkStart w:id="22" w:name="_Toc81291182"/>
      <w:bookmarkStart w:id="23" w:name="_Toc81337061"/>
      <w:bookmarkStart w:id="24" w:name="_Toc81337139"/>
      <w:bookmarkStart w:id="25" w:name="_Toc81382545"/>
      <w:bookmarkStart w:id="26" w:name="_Toc117594763"/>
      <w:bookmarkStart w:id="27" w:name="_Toc117594873"/>
      <w:bookmarkStart w:id="28" w:name="_Toc133919777"/>
      <w:bookmarkStart w:id="29" w:name="_Toc135994168"/>
      <w:r>
        <w:rPr>
          <w:noProof/>
        </w:rPr>
        <w:drawing>
          <wp:anchor distT="0" distB="0" distL="114300" distR="114300" simplePos="0" relativeHeight="251658240"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1"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E0E5" w14:textId="7777777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5" type="#_x0000_t202" style="position:absolute;margin-left:0;margin-top:708.75pt;width:270.85pt;height:72.2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f15A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3DxKi2JKqPYsB+GwLrzefGkBf0ox8KoUkn5sFRopug+OLVnOFsxZhBQsrm/n&#10;HOBlpbysKKcZqpBBisP1IRz2cevRNi13Og3hnm3c2KTwhdWRPq9DEn5c3bhvl3F69fKDrX8BAAD/&#10;/wMAUEsDBBQABgAIAAAAIQDLGFxf3gAAAAoBAAAPAAAAZHJzL2Rvd25yZXYueG1sTI9BT8MwDIXv&#10;SPyHyEjcWNqJbqxrOk1oG0fGqDhnjWkrGidqsq78e8wJbvZ71vP3is1kezHiEDpHCtJZAgKpdqaj&#10;RkH1vn94AhGiJqN7R6jgGwNsytubQufGXekNx1NsBIdQyLWCNkafSxnqFq0OM+eR2Pt0g9WR16GR&#10;ZtBXDre9nCfJQlrdEX9otcfnFuuv08Uq8NEfli/D63G7249J9XGo5l2zU+r+btquQUSc4t8x/OIz&#10;OpTMdHYXMkH0CrhIZPUxXWYg2M94AnFmKVukK5BlIf9XKH8AAAD//wMAUEsBAi0AFAAGAAgAAAAh&#10;ALaDOJL+AAAA4QEAABMAAAAAAAAAAAAAAAAAAAAAAFtDb250ZW50X1R5cGVzXS54bWxQSwECLQAU&#10;AAYACAAAACEAOP0h/9YAAACUAQAACwAAAAAAAAAAAAAAAAAvAQAAX3JlbHMvLnJlbHNQSwECLQAU&#10;AAYACAAAACEA+F739eQBAACoAwAADgAAAAAAAAAAAAAAAAAuAgAAZHJzL2Uyb0RvYy54bWxQSwEC&#10;LQAUAAYACAAAACEAyxhcX94AAAAKAQAADwAAAAAAAAAAAAAAAAA+BAAAZHJzL2Rvd25yZXYueG1s&#10;UEsFBgAAAAAEAAQA8wAAAEkFAAAAAA==&#10;" filled="f" stroked="f">
                <v:textbox style="mso-fit-shape-to-text:t">
                  <w:txbxContent>
                    <w:p w14:paraId="6FEAE0E5" w14:textId="7777777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 </w:t>
      </w:r>
    </w:p>
    <w:sectPr w:rsidR="00632F54" w:rsidRPr="00632F54" w:rsidSect="00404EB1">
      <w:headerReference w:type="default" r:id="rId19"/>
      <w:footerReference w:type="default" r:id="rId20"/>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58FB" w14:textId="77777777" w:rsidR="002D5E6B" w:rsidRDefault="002D5E6B" w:rsidP="00665B9F">
      <w:pPr>
        <w:spacing w:after="0" w:line="240" w:lineRule="auto"/>
      </w:pPr>
      <w:r>
        <w:separator/>
      </w:r>
    </w:p>
  </w:endnote>
  <w:endnote w:type="continuationSeparator" w:id="0">
    <w:p w14:paraId="47434D11" w14:textId="77777777" w:rsidR="002D5E6B" w:rsidRDefault="002D5E6B" w:rsidP="00665B9F">
      <w:pPr>
        <w:spacing w:after="0" w:line="240" w:lineRule="auto"/>
      </w:pPr>
      <w:r>
        <w:continuationSeparator/>
      </w:r>
    </w:p>
  </w:endnote>
  <w:endnote w:type="continuationNotice" w:id="1">
    <w:p w14:paraId="4F68AEE6" w14:textId="77777777" w:rsidR="002D5E6B" w:rsidRDefault="002D5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Work Sans Light"/>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C7EF" w14:textId="77777777" w:rsidR="00BD2193" w:rsidRDefault="00B728D8" w:rsidP="00BD2193">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0"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E10FF"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BD2193">
      <w:rPr>
        <w:noProof/>
        <w:sz w:val="18"/>
        <w:szCs w:val="18"/>
      </w:rPr>
      <mc:AlternateContent>
        <mc:Choice Requires="wps">
          <w:drawing>
            <wp:anchor distT="0" distB="0" distL="114300" distR="114300" simplePos="0" relativeHeight="251660290" behindDoc="0" locked="0" layoutInCell="1" allowOverlap="1" wp14:anchorId="5811DF8E" wp14:editId="40BA2ACB">
              <wp:simplePos x="0" y="0"/>
              <wp:positionH relativeFrom="column">
                <wp:posOffset>-900430</wp:posOffset>
              </wp:positionH>
              <wp:positionV relativeFrom="paragraph">
                <wp:posOffset>-179705</wp:posOffset>
              </wp:positionV>
              <wp:extent cx="7560945" cy="0"/>
              <wp:effectExtent l="9525" t="10160" r="11430" b="889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FF10C" id="Straight Arrow Connector 14" o:spid="_x0000_s1026" type="#_x0000_t32" alt="&quot;&quot;" style="position:absolute;margin-left:-70.9pt;margin-top:-14.15pt;width:595.35pt;height: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BD2193">
      <w:rPr>
        <w:noProof/>
        <w:sz w:val="18"/>
        <w:szCs w:val="18"/>
      </w:rPr>
      <w:t xml:space="preserve">LGBTIQA+  </w:t>
    </w:r>
  </w:p>
  <w:p w14:paraId="748EFA9B" w14:textId="77777777" w:rsidR="00B728D8" w:rsidRPr="006648B2" w:rsidRDefault="00BD2193" w:rsidP="00BD2193">
    <w:pPr>
      <w:pStyle w:val="Intro"/>
      <w:tabs>
        <w:tab w:val="right" w:pos="8789"/>
        <w:tab w:val="right" w:pos="9070"/>
      </w:tabs>
      <w:rPr>
        <w:sz w:val="18"/>
        <w:szCs w:val="18"/>
      </w:rPr>
    </w:pPr>
    <w:r>
      <w:rPr>
        <w:noProof/>
        <w:sz w:val="18"/>
        <w:szCs w:val="18"/>
      </w:rPr>
      <w:t xml:space="preserve">A Mental Health Commissioning </w:t>
    </w:r>
    <w:r w:rsidR="00AB7D01">
      <w:rPr>
        <w:noProof/>
        <w:sz w:val="18"/>
        <w:szCs w:val="18"/>
      </w:rPr>
      <w:t>Feedback</w:t>
    </w:r>
    <w:r>
      <w:rPr>
        <w:noProof/>
        <w:sz w:val="18"/>
        <w:szCs w:val="18"/>
      </w:rPr>
      <w:t xml:space="preserve"> Paper. </w:t>
    </w:r>
    <w:r>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8A43" w14:textId="77777777" w:rsidR="002D5E6B" w:rsidRDefault="002D5E6B" w:rsidP="00665B9F">
      <w:pPr>
        <w:spacing w:after="0" w:line="240" w:lineRule="auto"/>
      </w:pPr>
      <w:r>
        <w:separator/>
      </w:r>
    </w:p>
  </w:footnote>
  <w:footnote w:type="continuationSeparator" w:id="0">
    <w:p w14:paraId="2882216D" w14:textId="77777777" w:rsidR="002D5E6B" w:rsidRDefault="002D5E6B" w:rsidP="00665B9F">
      <w:pPr>
        <w:spacing w:after="0" w:line="240" w:lineRule="auto"/>
      </w:pPr>
      <w:r>
        <w:continuationSeparator/>
      </w:r>
    </w:p>
  </w:footnote>
  <w:footnote w:type="continuationNotice" w:id="1">
    <w:p w14:paraId="492F16E0" w14:textId="77777777" w:rsidR="002D5E6B" w:rsidRDefault="002D5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47D" w14:textId="7777777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2"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D1257" w14:textId="77777777"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6" type="#_x0000_t202" alt="{&quot;HashCode&quot;:-1423243343,&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ED1257" w14:textId="77777777"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1"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D2AEE"/>
    <w:multiLevelType w:val="hybridMultilevel"/>
    <w:tmpl w:val="4964F788"/>
    <w:lvl w:ilvl="0" w:tplc="31C6CE28">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042B1D90"/>
    <w:multiLevelType w:val="hybridMultilevel"/>
    <w:tmpl w:val="85D2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242ED"/>
    <w:multiLevelType w:val="hybridMultilevel"/>
    <w:tmpl w:val="84CC0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B97AC5"/>
    <w:multiLevelType w:val="hybridMultilevel"/>
    <w:tmpl w:val="633674DC"/>
    <w:lvl w:ilvl="0" w:tplc="0C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B9C1408"/>
    <w:multiLevelType w:val="hybridMultilevel"/>
    <w:tmpl w:val="302C638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C764C6C"/>
    <w:multiLevelType w:val="hybridMultilevel"/>
    <w:tmpl w:val="151AF3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C792DC4"/>
    <w:multiLevelType w:val="hybridMultilevel"/>
    <w:tmpl w:val="C918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8552C0"/>
    <w:multiLevelType w:val="hybridMultilevel"/>
    <w:tmpl w:val="C4E2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95059"/>
    <w:multiLevelType w:val="multilevel"/>
    <w:tmpl w:val="9206654A"/>
    <w:numStyleLink w:val="FigureNumbers"/>
  </w:abstractNum>
  <w:abstractNum w:abstractNumId="12"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7C18FE"/>
    <w:multiLevelType w:val="hybridMultilevel"/>
    <w:tmpl w:val="1136C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C6B46"/>
    <w:multiLevelType w:val="hybridMultilevel"/>
    <w:tmpl w:val="50728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61ECF"/>
    <w:multiLevelType w:val="hybridMultilevel"/>
    <w:tmpl w:val="4EEC3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96888"/>
    <w:multiLevelType w:val="multilevel"/>
    <w:tmpl w:val="AE323C52"/>
    <w:numStyleLink w:val="DefaultBullets"/>
  </w:abstractNum>
  <w:abstractNum w:abstractNumId="19"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436939"/>
    <w:multiLevelType w:val="hybridMultilevel"/>
    <w:tmpl w:val="076637B4"/>
    <w:lvl w:ilvl="0" w:tplc="31C6CE28">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9EA474B"/>
    <w:multiLevelType w:val="hybridMultilevel"/>
    <w:tmpl w:val="AFACE68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B1A7951"/>
    <w:multiLevelType w:val="hybridMultilevel"/>
    <w:tmpl w:val="A76079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7B3863"/>
    <w:multiLevelType w:val="hybridMultilevel"/>
    <w:tmpl w:val="4A2E19BE"/>
    <w:lvl w:ilvl="0" w:tplc="0C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3E23D0"/>
    <w:multiLevelType w:val="hybridMultilevel"/>
    <w:tmpl w:val="2F6A7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6800A2"/>
    <w:multiLevelType w:val="hybridMultilevel"/>
    <w:tmpl w:val="093A4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C536EFD"/>
    <w:multiLevelType w:val="hybridMultilevel"/>
    <w:tmpl w:val="EB5CA73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BE474B"/>
    <w:multiLevelType w:val="hybridMultilevel"/>
    <w:tmpl w:val="A612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73B9555E"/>
    <w:multiLevelType w:val="hybridMultilevel"/>
    <w:tmpl w:val="3AEE33AA"/>
    <w:lvl w:ilvl="0" w:tplc="75603F60">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5DB22A5"/>
    <w:multiLevelType w:val="hybridMultilevel"/>
    <w:tmpl w:val="AEA222FE"/>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32"/>
  </w:num>
  <w:num w:numId="2" w16cid:durableId="1116407084">
    <w:abstractNumId w:val="28"/>
  </w:num>
  <w:num w:numId="3" w16cid:durableId="1854876873">
    <w:abstractNumId w:val="21"/>
  </w:num>
  <w:num w:numId="4" w16cid:durableId="781610345">
    <w:abstractNumId w:val="14"/>
  </w:num>
  <w:num w:numId="5" w16cid:durableId="1488941562">
    <w:abstractNumId w:val="26"/>
  </w:num>
  <w:num w:numId="6" w16cid:durableId="543450124">
    <w:abstractNumId w:val="0"/>
  </w:num>
  <w:num w:numId="7" w16cid:durableId="1430739025">
    <w:abstractNumId w:val="35"/>
  </w:num>
  <w:num w:numId="8" w16cid:durableId="1576162056">
    <w:abstractNumId w:val="18"/>
  </w:num>
  <w:num w:numId="9" w16cid:durableId="536043276">
    <w:abstractNumId w:val="29"/>
  </w:num>
  <w:num w:numId="10" w16cid:durableId="199754963">
    <w:abstractNumId w:val="12"/>
  </w:num>
  <w:num w:numId="11" w16cid:durableId="1280988750">
    <w:abstractNumId w:val="11"/>
  </w:num>
  <w:num w:numId="12" w16cid:durableId="1034620649">
    <w:abstractNumId w:val="24"/>
  </w:num>
  <w:num w:numId="13" w16cid:durableId="1011488903">
    <w:abstractNumId w:val="10"/>
  </w:num>
  <w:num w:numId="14" w16cid:durableId="71440133">
    <w:abstractNumId w:val="38"/>
  </w:num>
  <w:num w:numId="15" w16cid:durableId="2120487650">
    <w:abstractNumId w:val="19"/>
  </w:num>
  <w:num w:numId="16" w16cid:durableId="796410299">
    <w:abstractNumId w:val="13"/>
  </w:num>
  <w:num w:numId="17" w16cid:durableId="102001583">
    <w:abstractNumId w:val="25"/>
  </w:num>
  <w:num w:numId="18" w16cid:durableId="257563895">
    <w:abstractNumId w:val="37"/>
  </w:num>
  <w:num w:numId="19" w16cid:durableId="1606814018">
    <w:abstractNumId w:val="33"/>
  </w:num>
  <w:num w:numId="20" w16cid:durableId="1508253512">
    <w:abstractNumId w:val="23"/>
  </w:num>
  <w:num w:numId="21" w16cid:durableId="278341823">
    <w:abstractNumId w:val="34"/>
  </w:num>
  <w:num w:numId="22" w16cid:durableId="1078210936">
    <w:abstractNumId w:val="7"/>
  </w:num>
  <w:num w:numId="23" w16cid:durableId="566693686">
    <w:abstractNumId w:val="15"/>
  </w:num>
  <w:num w:numId="24" w16cid:durableId="1548184082">
    <w:abstractNumId w:val="6"/>
  </w:num>
  <w:num w:numId="25" w16cid:durableId="1296832059">
    <w:abstractNumId w:val="1"/>
  </w:num>
  <w:num w:numId="26" w16cid:durableId="115802523">
    <w:abstractNumId w:val="20"/>
  </w:num>
  <w:num w:numId="27" w16cid:durableId="651837654">
    <w:abstractNumId w:val="5"/>
  </w:num>
  <w:num w:numId="28" w16cid:durableId="2117940521">
    <w:abstractNumId w:val="31"/>
  </w:num>
  <w:num w:numId="29" w16cid:durableId="1867908767">
    <w:abstractNumId w:val="16"/>
  </w:num>
  <w:num w:numId="30" w16cid:durableId="1896743643">
    <w:abstractNumId w:val="17"/>
  </w:num>
  <w:num w:numId="31" w16cid:durableId="480776601">
    <w:abstractNumId w:val="22"/>
  </w:num>
  <w:num w:numId="32" w16cid:durableId="278489715">
    <w:abstractNumId w:val="3"/>
  </w:num>
  <w:num w:numId="33" w16cid:durableId="1547524585">
    <w:abstractNumId w:val="9"/>
  </w:num>
  <w:num w:numId="34" w16cid:durableId="299727185">
    <w:abstractNumId w:val="2"/>
  </w:num>
  <w:num w:numId="35" w16cid:durableId="654141051">
    <w:abstractNumId w:val="36"/>
  </w:num>
  <w:num w:numId="36" w16cid:durableId="169099349">
    <w:abstractNumId w:val="8"/>
  </w:num>
  <w:num w:numId="37" w16cid:durableId="627004613">
    <w:abstractNumId w:val="30"/>
  </w:num>
  <w:num w:numId="38" w16cid:durableId="1668092933">
    <w:abstractNumId w:val="27"/>
  </w:num>
  <w:num w:numId="39" w16cid:durableId="8879114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157E"/>
    <w:rsid w:val="000016B9"/>
    <w:rsid w:val="00003A5D"/>
    <w:rsid w:val="00004368"/>
    <w:rsid w:val="000068D5"/>
    <w:rsid w:val="00007195"/>
    <w:rsid w:val="00007CCC"/>
    <w:rsid w:val="00012669"/>
    <w:rsid w:val="00014269"/>
    <w:rsid w:val="00015C2C"/>
    <w:rsid w:val="000169A3"/>
    <w:rsid w:val="00017BF0"/>
    <w:rsid w:val="00020244"/>
    <w:rsid w:val="000211F0"/>
    <w:rsid w:val="00021DF4"/>
    <w:rsid w:val="00021E4F"/>
    <w:rsid w:val="00022B64"/>
    <w:rsid w:val="0002384D"/>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356"/>
    <w:rsid w:val="00056217"/>
    <w:rsid w:val="00060EDC"/>
    <w:rsid w:val="00064040"/>
    <w:rsid w:val="000650AF"/>
    <w:rsid w:val="00065CEA"/>
    <w:rsid w:val="000677A2"/>
    <w:rsid w:val="00070067"/>
    <w:rsid w:val="000717FF"/>
    <w:rsid w:val="00071985"/>
    <w:rsid w:val="0007453E"/>
    <w:rsid w:val="00076803"/>
    <w:rsid w:val="00077597"/>
    <w:rsid w:val="00077D25"/>
    <w:rsid w:val="000805B4"/>
    <w:rsid w:val="000813B4"/>
    <w:rsid w:val="00082A3B"/>
    <w:rsid w:val="000839E2"/>
    <w:rsid w:val="00084ABF"/>
    <w:rsid w:val="0008536D"/>
    <w:rsid w:val="0008638D"/>
    <w:rsid w:val="00087564"/>
    <w:rsid w:val="00087C99"/>
    <w:rsid w:val="00090A83"/>
    <w:rsid w:val="00090D90"/>
    <w:rsid w:val="000957E8"/>
    <w:rsid w:val="000A0154"/>
    <w:rsid w:val="000A0745"/>
    <w:rsid w:val="000A0E65"/>
    <w:rsid w:val="000A2FFC"/>
    <w:rsid w:val="000A34D6"/>
    <w:rsid w:val="000A366C"/>
    <w:rsid w:val="000A3AB6"/>
    <w:rsid w:val="000A44A2"/>
    <w:rsid w:val="000A5FD1"/>
    <w:rsid w:val="000A682E"/>
    <w:rsid w:val="000A6B63"/>
    <w:rsid w:val="000B01FD"/>
    <w:rsid w:val="000B040F"/>
    <w:rsid w:val="000B13CB"/>
    <w:rsid w:val="000B1613"/>
    <w:rsid w:val="000B5818"/>
    <w:rsid w:val="000B6E31"/>
    <w:rsid w:val="000B7AC3"/>
    <w:rsid w:val="000C19CE"/>
    <w:rsid w:val="000C1A13"/>
    <w:rsid w:val="000C3F1E"/>
    <w:rsid w:val="000C40A6"/>
    <w:rsid w:val="000C40AB"/>
    <w:rsid w:val="000C4743"/>
    <w:rsid w:val="000C670A"/>
    <w:rsid w:val="000C6C34"/>
    <w:rsid w:val="000D011F"/>
    <w:rsid w:val="000D0167"/>
    <w:rsid w:val="000D3E07"/>
    <w:rsid w:val="000D550E"/>
    <w:rsid w:val="000E0BEB"/>
    <w:rsid w:val="000E1E53"/>
    <w:rsid w:val="000E2E0C"/>
    <w:rsid w:val="000E3440"/>
    <w:rsid w:val="000E4E40"/>
    <w:rsid w:val="000E5692"/>
    <w:rsid w:val="000E5C4C"/>
    <w:rsid w:val="000E5E81"/>
    <w:rsid w:val="000E64C7"/>
    <w:rsid w:val="000F5CCD"/>
    <w:rsid w:val="000F5D86"/>
    <w:rsid w:val="000F778F"/>
    <w:rsid w:val="000F7E35"/>
    <w:rsid w:val="001025D3"/>
    <w:rsid w:val="00104CC9"/>
    <w:rsid w:val="00106947"/>
    <w:rsid w:val="001106D4"/>
    <w:rsid w:val="00110CBA"/>
    <w:rsid w:val="00111F39"/>
    <w:rsid w:val="00113EDA"/>
    <w:rsid w:val="001147B3"/>
    <w:rsid w:val="00116984"/>
    <w:rsid w:val="0011798B"/>
    <w:rsid w:val="00120BF1"/>
    <w:rsid w:val="00121388"/>
    <w:rsid w:val="00121B39"/>
    <w:rsid w:val="00121D3B"/>
    <w:rsid w:val="00121F13"/>
    <w:rsid w:val="00125DA0"/>
    <w:rsid w:val="00125E50"/>
    <w:rsid w:val="00126628"/>
    <w:rsid w:val="00131F29"/>
    <w:rsid w:val="00132B24"/>
    <w:rsid w:val="001354DE"/>
    <w:rsid w:val="00137E69"/>
    <w:rsid w:val="00140710"/>
    <w:rsid w:val="00141B6B"/>
    <w:rsid w:val="00142430"/>
    <w:rsid w:val="001444F4"/>
    <w:rsid w:val="00144E07"/>
    <w:rsid w:val="00147C5D"/>
    <w:rsid w:val="0015010B"/>
    <w:rsid w:val="00152EB7"/>
    <w:rsid w:val="00156141"/>
    <w:rsid w:val="00156693"/>
    <w:rsid w:val="0016080C"/>
    <w:rsid w:val="00161010"/>
    <w:rsid w:val="00161673"/>
    <w:rsid w:val="00161B2E"/>
    <w:rsid w:val="001623DE"/>
    <w:rsid w:val="0016285D"/>
    <w:rsid w:val="00164ACF"/>
    <w:rsid w:val="001652A2"/>
    <w:rsid w:val="001715C7"/>
    <w:rsid w:val="001753B5"/>
    <w:rsid w:val="001756CF"/>
    <w:rsid w:val="0018123F"/>
    <w:rsid w:val="001819CB"/>
    <w:rsid w:val="001820A7"/>
    <w:rsid w:val="0018224F"/>
    <w:rsid w:val="00183757"/>
    <w:rsid w:val="001874AA"/>
    <w:rsid w:val="00190DDC"/>
    <w:rsid w:val="001912A2"/>
    <w:rsid w:val="00192632"/>
    <w:rsid w:val="001931A1"/>
    <w:rsid w:val="00193D2A"/>
    <w:rsid w:val="001963B0"/>
    <w:rsid w:val="001966FA"/>
    <w:rsid w:val="00197666"/>
    <w:rsid w:val="001A0139"/>
    <w:rsid w:val="001A0956"/>
    <w:rsid w:val="001A1BA4"/>
    <w:rsid w:val="001A21F0"/>
    <w:rsid w:val="001A3B47"/>
    <w:rsid w:val="001A424B"/>
    <w:rsid w:val="001A6AFA"/>
    <w:rsid w:val="001A713D"/>
    <w:rsid w:val="001B2131"/>
    <w:rsid w:val="001B438B"/>
    <w:rsid w:val="001B48D7"/>
    <w:rsid w:val="001B59A6"/>
    <w:rsid w:val="001B7D00"/>
    <w:rsid w:val="001B7F86"/>
    <w:rsid w:val="001C1043"/>
    <w:rsid w:val="001C1FF2"/>
    <w:rsid w:val="001C2931"/>
    <w:rsid w:val="001C41B5"/>
    <w:rsid w:val="001C5322"/>
    <w:rsid w:val="001C5A09"/>
    <w:rsid w:val="001C5AF2"/>
    <w:rsid w:val="001C67A5"/>
    <w:rsid w:val="001C79F9"/>
    <w:rsid w:val="001D0E87"/>
    <w:rsid w:val="001D2BC9"/>
    <w:rsid w:val="001D4E51"/>
    <w:rsid w:val="001D6D8A"/>
    <w:rsid w:val="001D7DBE"/>
    <w:rsid w:val="001E2684"/>
    <w:rsid w:val="001E2DA6"/>
    <w:rsid w:val="001E3840"/>
    <w:rsid w:val="001E7690"/>
    <w:rsid w:val="001E76BA"/>
    <w:rsid w:val="001F14C8"/>
    <w:rsid w:val="001F20FC"/>
    <w:rsid w:val="001F24E8"/>
    <w:rsid w:val="001F2BDC"/>
    <w:rsid w:val="001F6215"/>
    <w:rsid w:val="001F631B"/>
    <w:rsid w:val="001F6976"/>
    <w:rsid w:val="001F7901"/>
    <w:rsid w:val="00200126"/>
    <w:rsid w:val="002009BA"/>
    <w:rsid w:val="0020301A"/>
    <w:rsid w:val="00203525"/>
    <w:rsid w:val="00205295"/>
    <w:rsid w:val="00205F60"/>
    <w:rsid w:val="00207039"/>
    <w:rsid w:val="00214A8E"/>
    <w:rsid w:val="00215465"/>
    <w:rsid w:val="00217467"/>
    <w:rsid w:val="00222C33"/>
    <w:rsid w:val="00223A78"/>
    <w:rsid w:val="002246CB"/>
    <w:rsid w:val="0022562E"/>
    <w:rsid w:val="00226B1D"/>
    <w:rsid w:val="00227A11"/>
    <w:rsid w:val="00232237"/>
    <w:rsid w:val="00232717"/>
    <w:rsid w:val="00232932"/>
    <w:rsid w:val="00234FBF"/>
    <w:rsid w:val="0023743C"/>
    <w:rsid w:val="00240F23"/>
    <w:rsid w:val="00241F69"/>
    <w:rsid w:val="002439BC"/>
    <w:rsid w:val="0024486C"/>
    <w:rsid w:val="002449E8"/>
    <w:rsid w:val="00245F73"/>
    <w:rsid w:val="00246AAC"/>
    <w:rsid w:val="0024738F"/>
    <w:rsid w:val="00247587"/>
    <w:rsid w:val="002479CE"/>
    <w:rsid w:val="002546FE"/>
    <w:rsid w:val="0025678A"/>
    <w:rsid w:val="00257F69"/>
    <w:rsid w:val="0026005A"/>
    <w:rsid w:val="002618C0"/>
    <w:rsid w:val="0026303C"/>
    <w:rsid w:val="002633D1"/>
    <w:rsid w:val="00265656"/>
    <w:rsid w:val="00266340"/>
    <w:rsid w:val="0026688E"/>
    <w:rsid w:val="0027072F"/>
    <w:rsid w:val="0027126E"/>
    <w:rsid w:val="00271C99"/>
    <w:rsid w:val="002821BB"/>
    <w:rsid w:val="00282EA7"/>
    <w:rsid w:val="00283C2C"/>
    <w:rsid w:val="002846D8"/>
    <w:rsid w:val="002853E2"/>
    <w:rsid w:val="002856DD"/>
    <w:rsid w:val="00290686"/>
    <w:rsid w:val="00293368"/>
    <w:rsid w:val="0029437D"/>
    <w:rsid w:val="0029668D"/>
    <w:rsid w:val="00296FBD"/>
    <w:rsid w:val="002A02AE"/>
    <w:rsid w:val="002A0832"/>
    <w:rsid w:val="002A093C"/>
    <w:rsid w:val="002A0AF5"/>
    <w:rsid w:val="002A22A1"/>
    <w:rsid w:val="002A5458"/>
    <w:rsid w:val="002A579A"/>
    <w:rsid w:val="002B22E5"/>
    <w:rsid w:val="002B39CC"/>
    <w:rsid w:val="002C0CC0"/>
    <w:rsid w:val="002C26D5"/>
    <w:rsid w:val="002C312B"/>
    <w:rsid w:val="002C53BE"/>
    <w:rsid w:val="002C6B74"/>
    <w:rsid w:val="002C7874"/>
    <w:rsid w:val="002D1964"/>
    <w:rsid w:val="002D33BC"/>
    <w:rsid w:val="002D3600"/>
    <w:rsid w:val="002D4016"/>
    <w:rsid w:val="002D4C4E"/>
    <w:rsid w:val="002D5E6B"/>
    <w:rsid w:val="002D6623"/>
    <w:rsid w:val="002D6BB2"/>
    <w:rsid w:val="002D7C42"/>
    <w:rsid w:val="002E069C"/>
    <w:rsid w:val="002E28E2"/>
    <w:rsid w:val="002E2B2A"/>
    <w:rsid w:val="002E2DB7"/>
    <w:rsid w:val="002E63C1"/>
    <w:rsid w:val="002E7655"/>
    <w:rsid w:val="002F18E3"/>
    <w:rsid w:val="002F3300"/>
    <w:rsid w:val="002F4EB5"/>
    <w:rsid w:val="002F6099"/>
    <w:rsid w:val="002F66B7"/>
    <w:rsid w:val="00300F1F"/>
    <w:rsid w:val="003010B0"/>
    <w:rsid w:val="00301274"/>
    <w:rsid w:val="00302634"/>
    <w:rsid w:val="00302EF8"/>
    <w:rsid w:val="00303451"/>
    <w:rsid w:val="00304BA3"/>
    <w:rsid w:val="00305821"/>
    <w:rsid w:val="00305CA3"/>
    <w:rsid w:val="00307B98"/>
    <w:rsid w:val="00313E03"/>
    <w:rsid w:val="00314AAA"/>
    <w:rsid w:val="00316A38"/>
    <w:rsid w:val="00317F82"/>
    <w:rsid w:val="00321224"/>
    <w:rsid w:val="003238CE"/>
    <w:rsid w:val="003279CB"/>
    <w:rsid w:val="00327A96"/>
    <w:rsid w:val="00327C0D"/>
    <w:rsid w:val="00335378"/>
    <w:rsid w:val="00335E12"/>
    <w:rsid w:val="003370D6"/>
    <w:rsid w:val="00340B07"/>
    <w:rsid w:val="003439ED"/>
    <w:rsid w:val="0034615D"/>
    <w:rsid w:val="003504B0"/>
    <w:rsid w:val="00354F6D"/>
    <w:rsid w:val="003610B2"/>
    <w:rsid w:val="00361FE5"/>
    <w:rsid w:val="003633F5"/>
    <w:rsid w:val="00363A20"/>
    <w:rsid w:val="00364AD3"/>
    <w:rsid w:val="003667ED"/>
    <w:rsid w:val="0037090E"/>
    <w:rsid w:val="003713C4"/>
    <w:rsid w:val="00374444"/>
    <w:rsid w:val="00375334"/>
    <w:rsid w:val="00375904"/>
    <w:rsid w:val="00376A58"/>
    <w:rsid w:val="003770D8"/>
    <w:rsid w:val="00385EB1"/>
    <w:rsid w:val="0038649F"/>
    <w:rsid w:val="003866F4"/>
    <w:rsid w:val="00386CF0"/>
    <w:rsid w:val="003876C7"/>
    <w:rsid w:val="00387BC0"/>
    <w:rsid w:val="00390EDC"/>
    <w:rsid w:val="00392B8E"/>
    <w:rsid w:val="00397C43"/>
    <w:rsid w:val="003A1AB9"/>
    <w:rsid w:val="003A2926"/>
    <w:rsid w:val="003A38C1"/>
    <w:rsid w:val="003A4C52"/>
    <w:rsid w:val="003A612C"/>
    <w:rsid w:val="003A641C"/>
    <w:rsid w:val="003A76AB"/>
    <w:rsid w:val="003B13F4"/>
    <w:rsid w:val="003B1741"/>
    <w:rsid w:val="003B3003"/>
    <w:rsid w:val="003B3B75"/>
    <w:rsid w:val="003B61F5"/>
    <w:rsid w:val="003C1601"/>
    <w:rsid w:val="003C2377"/>
    <w:rsid w:val="003C7923"/>
    <w:rsid w:val="003C7DC6"/>
    <w:rsid w:val="003D4C8A"/>
    <w:rsid w:val="003D4DBC"/>
    <w:rsid w:val="003D7FEB"/>
    <w:rsid w:val="003E24D2"/>
    <w:rsid w:val="003E323C"/>
    <w:rsid w:val="003E5928"/>
    <w:rsid w:val="003E62FA"/>
    <w:rsid w:val="003E6797"/>
    <w:rsid w:val="003F0F48"/>
    <w:rsid w:val="003F1220"/>
    <w:rsid w:val="003F16FA"/>
    <w:rsid w:val="003F1726"/>
    <w:rsid w:val="003F3D81"/>
    <w:rsid w:val="003F6AE9"/>
    <w:rsid w:val="003F76D9"/>
    <w:rsid w:val="00401D19"/>
    <w:rsid w:val="00404515"/>
    <w:rsid w:val="00404EB1"/>
    <w:rsid w:val="004059AE"/>
    <w:rsid w:val="0040602C"/>
    <w:rsid w:val="00410F74"/>
    <w:rsid w:val="00411009"/>
    <w:rsid w:val="004114E7"/>
    <w:rsid w:val="00411937"/>
    <w:rsid w:val="00411A3D"/>
    <w:rsid w:val="00415E67"/>
    <w:rsid w:val="00420BB6"/>
    <w:rsid w:val="00420F0B"/>
    <w:rsid w:val="004316AF"/>
    <w:rsid w:val="004351E6"/>
    <w:rsid w:val="00436B9A"/>
    <w:rsid w:val="0043786D"/>
    <w:rsid w:val="004413EA"/>
    <w:rsid w:val="00443947"/>
    <w:rsid w:val="004439BD"/>
    <w:rsid w:val="004449A1"/>
    <w:rsid w:val="00445097"/>
    <w:rsid w:val="00446CA8"/>
    <w:rsid w:val="004476B7"/>
    <w:rsid w:val="004502A1"/>
    <w:rsid w:val="00450A96"/>
    <w:rsid w:val="00450E16"/>
    <w:rsid w:val="0045175D"/>
    <w:rsid w:val="00452B15"/>
    <w:rsid w:val="00452C01"/>
    <w:rsid w:val="00453DBF"/>
    <w:rsid w:val="004558C4"/>
    <w:rsid w:val="00455C5F"/>
    <w:rsid w:val="00455F6C"/>
    <w:rsid w:val="0045623B"/>
    <w:rsid w:val="004563B4"/>
    <w:rsid w:val="004565DC"/>
    <w:rsid w:val="00460581"/>
    <w:rsid w:val="0046067C"/>
    <w:rsid w:val="00460ECF"/>
    <w:rsid w:val="00462EA4"/>
    <w:rsid w:val="004645E4"/>
    <w:rsid w:val="00465865"/>
    <w:rsid w:val="004711F0"/>
    <w:rsid w:val="00472A4A"/>
    <w:rsid w:val="004732EC"/>
    <w:rsid w:val="004778B2"/>
    <w:rsid w:val="00481CE3"/>
    <w:rsid w:val="00482E0B"/>
    <w:rsid w:val="00484040"/>
    <w:rsid w:val="004846A7"/>
    <w:rsid w:val="00487E80"/>
    <w:rsid w:val="00490652"/>
    <w:rsid w:val="004933FF"/>
    <w:rsid w:val="00495217"/>
    <w:rsid w:val="0049555F"/>
    <w:rsid w:val="00496930"/>
    <w:rsid w:val="00496C0F"/>
    <w:rsid w:val="00496CD4"/>
    <w:rsid w:val="00496D36"/>
    <w:rsid w:val="004A1145"/>
    <w:rsid w:val="004A131A"/>
    <w:rsid w:val="004A1683"/>
    <w:rsid w:val="004A3076"/>
    <w:rsid w:val="004A3738"/>
    <w:rsid w:val="004A3998"/>
    <w:rsid w:val="004A5221"/>
    <w:rsid w:val="004A5AEB"/>
    <w:rsid w:val="004A7AAB"/>
    <w:rsid w:val="004B18BA"/>
    <w:rsid w:val="004B2775"/>
    <w:rsid w:val="004B2D11"/>
    <w:rsid w:val="004B35E4"/>
    <w:rsid w:val="004B35E5"/>
    <w:rsid w:val="004B4981"/>
    <w:rsid w:val="004B780A"/>
    <w:rsid w:val="004B787A"/>
    <w:rsid w:val="004C0999"/>
    <w:rsid w:val="004C10AE"/>
    <w:rsid w:val="004C12B2"/>
    <w:rsid w:val="004C148A"/>
    <w:rsid w:val="004C1925"/>
    <w:rsid w:val="004C19AA"/>
    <w:rsid w:val="004C332A"/>
    <w:rsid w:val="004C38B2"/>
    <w:rsid w:val="004C3DD2"/>
    <w:rsid w:val="004C4C1D"/>
    <w:rsid w:val="004C5015"/>
    <w:rsid w:val="004D1451"/>
    <w:rsid w:val="004D4331"/>
    <w:rsid w:val="004D7E4F"/>
    <w:rsid w:val="004E1988"/>
    <w:rsid w:val="004E205A"/>
    <w:rsid w:val="004E26B9"/>
    <w:rsid w:val="004E34A7"/>
    <w:rsid w:val="004E4AD3"/>
    <w:rsid w:val="004E69B5"/>
    <w:rsid w:val="004E6FC6"/>
    <w:rsid w:val="004E7A46"/>
    <w:rsid w:val="004E7B1B"/>
    <w:rsid w:val="004F07B3"/>
    <w:rsid w:val="004F131E"/>
    <w:rsid w:val="004F14E1"/>
    <w:rsid w:val="004F15A1"/>
    <w:rsid w:val="004F3D35"/>
    <w:rsid w:val="004F3D98"/>
    <w:rsid w:val="004F4081"/>
    <w:rsid w:val="004F5B70"/>
    <w:rsid w:val="004F5EF3"/>
    <w:rsid w:val="004F6714"/>
    <w:rsid w:val="004F6DE0"/>
    <w:rsid w:val="004F74DA"/>
    <w:rsid w:val="005014D9"/>
    <w:rsid w:val="005017CC"/>
    <w:rsid w:val="00503E7E"/>
    <w:rsid w:val="00504C60"/>
    <w:rsid w:val="005056E5"/>
    <w:rsid w:val="005115E8"/>
    <w:rsid w:val="00512E77"/>
    <w:rsid w:val="005137C4"/>
    <w:rsid w:val="0051403A"/>
    <w:rsid w:val="00516656"/>
    <w:rsid w:val="00517506"/>
    <w:rsid w:val="00520C4B"/>
    <w:rsid w:val="00522017"/>
    <w:rsid w:val="0052333B"/>
    <w:rsid w:val="00523F2A"/>
    <w:rsid w:val="00526276"/>
    <w:rsid w:val="005277D5"/>
    <w:rsid w:val="00530106"/>
    <w:rsid w:val="005308A1"/>
    <w:rsid w:val="00536B2B"/>
    <w:rsid w:val="0053763A"/>
    <w:rsid w:val="00543D9A"/>
    <w:rsid w:val="00546C1F"/>
    <w:rsid w:val="00550050"/>
    <w:rsid w:val="00552850"/>
    <w:rsid w:val="00552D66"/>
    <w:rsid w:val="00552D9D"/>
    <w:rsid w:val="00554CC1"/>
    <w:rsid w:val="00562A59"/>
    <w:rsid w:val="005638F1"/>
    <w:rsid w:val="00563CEF"/>
    <w:rsid w:val="005649AF"/>
    <w:rsid w:val="00564A8D"/>
    <w:rsid w:val="005654E8"/>
    <w:rsid w:val="00566387"/>
    <w:rsid w:val="00566F67"/>
    <w:rsid w:val="00572D40"/>
    <w:rsid w:val="00572E5B"/>
    <w:rsid w:val="00573EDA"/>
    <w:rsid w:val="00575CD2"/>
    <w:rsid w:val="00576D35"/>
    <w:rsid w:val="00577A42"/>
    <w:rsid w:val="00577AA3"/>
    <w:rsid w:val="00580A91"/>
    <w:rsid w:val="00581514"/>
    <w:rsid w:val="00582516"/>
    <w:rsid w:val="00583595"/>
    <w:rsid w:val="005835CA"/>
    <w:rsid w:val="0058377A"/>
    <w:rsid w:val="00584E20"/>
    <w:rsid w:val="00585ECD"/>
    <w:rsid w:val="00586AC8"/>
    <w:rsid w:val="00592DC1"/>
    <w:rsid w:val="00592FEB"/>
    <w:rsid w:val="005946A9"/>
    <w:rsid w:val="00597D08"/>
    <w:rsid w:val="005A34FE"/>
    <w:rsid w:val="005A475D"/>
    <w:rsid w:val="005A4A97"/>
    <w:rsid w:val="005A590C"/>
    <w:rsid w:val="005A60DB"/>
    <w:rsid w:val="005B0872"/>
    <w:rsid w:val="005B1B3E"/>
    <w:rsid w:val="005B1FA8"/>
    <w:rsid w:val="005B369E"/>
    <w:rsid w:val="005B750A"/>
    <w:rsid w:val="005C1728"/>
    <w:rsid w:val="005C3084"/>
    <w:rsid w:val="005C3240"/>
    <w:rsid w:val="005C54B5"/>
    <w:rsid w:val="005C66E8"/>
    <w:rsid w:val="005C72CC"/>
    <w:rsid w:val="005C76A8"/>
    <w:rsid w:val="005D2A5E"/>
    <w:rsid w:val="005D5E67"/>
    <w:rsid w:val="005E2837"/>
    <w:rsid w:val="005E2D2E"/>
    <w:rsid w:val="005E47F8"/>
    <w:rsid w:val="005E5305"/>
    <w:rsid w:val="005E5489"/>
    <w:rsid w:val="005E7A13"/>
    <w:rsid w:val="005F44A4"/>
    <w:rsid w:val="005F6002"/>
    <w:rsid w:val="005F7473"/>
    <w:rsid w:val="00600EF2"/>
    <w:rsid w:val="0060124C"/>
    <w:rsid w:val="00603603"/>
    <w:rsid w:val="006046FF"/>
    <w:rsid w:val="00604BB6"/>
    <w:rsid w:val="00605FE7"/>
    <w:rsid w:val="0061088F"/>
    <w:rsid w:val="00610CD6"/>
    <w:rsid w:val="00611E42"/>
    <w:rsid w:val="0062167D"/>
    <w:rsid w:val="00622565"/>
    <w:rsid w:val="0063036E"/>
    <w:rsid w:val="00631D08"/>
    <w:rsid w:val="00632963"/>
    <w:rsid w:val="00632F54"/>
    <w:rsid w:val="00633AF4"/>
    <w:rsid w:val="006355FB"/>
    <w:rsid w:val="00635C80"/>
    <w:rsid w:val="00640042"/>
    <w:rsid w:val="006417B8"/>
    <w:rsid w:val="00642298"/>
    <w:rsid w:val="00642E82"/>
    <w:rsid w:val="00643D4E"/>
    <w:rsid w:val="00647786"/>
    <w:rsid w:val="006515F5"/>
    <w:rsid w:val="00654157"/>
    <w:rsid w:val="00654C35"/>
    <w:rsid w:val="0065780C"/>
    <w:rsid w:val="006610FF"/>
    <w:rsid w:val="00662345"/>
    <w:rsid w:val="006648B2"/>
    <w:rsid w:val="00665B9F"/>
    <w:rsid w:val="00665CB9"/>
    <w:rsid w:val="00665CEF"/>
    <w:rsid w:val="00666236"/>
    <w:rsid w:val="00666761"/>
    <w:rsid w:val="006677D0"/>
    <w:rsid w:val="00667EEB"/>
    <w:rsid w:val="006779C5"/>
    <w:rsid w:val="006779CB"/>
    <w:rsid w:val="00680C6F"/>
    <w:rsid w:val="00682772"/>
    <w:rsid w:val="00683185"/>
    <w:rsid w:val="00685229"/>
    <w:rsid w:val="00685ACE"/>
    <w:rsid w:val="006875BB"/>
    <w:rsid w:val="006878C8"/>
    <w:rsid w:val="00687E45"/>
    <w:rsid w:val="006902BC"/>
    <w:rsid w:val="00692A5B"/>
    <w:rsid w:val="0069624A"/>
    <w:rsid w:val="00697B20"/>
    <w:rsid w:val="006A2843"/>
    <w:rsid w:val="006A3760"/>
    <w:rsid w:val="006A3784"/>
    <w:rsid w:val="006A4E6C"/>
    <w:rsid w:val="006A58DD"/>
    <w:rsid w:val="006A5EBE"/>
    <w:rsid w:val="006A6360"/>
    <w:rsid w:val="006B0F85"/>
    <w:rsid w:val="006B2263"/>
    <w:rsid w:val="006B23CE"/>
    <w:rsid w:val="006B2583"/>
    <w:rsid w:val="006B27FA"/>
    <w:rsid w:val="006B32BE"/>
    <w:rsid w:val="006B4134"/>
    <w:rsid w:val="006B487E"/>
    <w:rsid w:val="006C0021"/>
    <w:rsid w:val="006C0302"/>
    <w:rsid w:val="006C0DF3"/>
    <w:rsid w:val="006C1037"/>
    <w:rsid w:val="006C13E4"/>
    <w:rsid w:val="006C312D"/>
    <w:rsid w:val="006C389C"/>
    <w:rsid w:val="006C41C0"/>
    <w:rsid w:val="006C4971"/>
    <w:rsid w:val="006C4EB6"/>
    <w:rsid w:val="006C509A"/>
    <w:rsid w:val="006C6368"/>
    <w:rsid w:val="006C71B4"/>
    <w:rsid w:val="006D2273"/>
    <w:rsid w:val="006D448E"/>
    <w:rsid w:val="006D498E"/>
    <w:rsid w:val="006D4E0F"/>
    <w:rsid w:val="006D4F15"/>
    <w:rsid w:val="006D5884"/>
    <w:rsid w:val="006D5CDC"/>
    <w:rsid w:val="006E20BB"/>
    <w:rsid w:val="006E556B"/>
    <w:rsid w:val="006E5980"/>
    <w:rsid w:val="006F00EF"/>
    <w:rsid w:val="006F3158"/>
    <w:rsid w:val="006F31A9"/>
    <w:rsid w:val="006F4DDC"/>
    <w:rsid w:val="006F56E2"/>
    <w:rsid w:val="006F6735"/>
    <w:rsid w:val="006F7929"/>
    <w:rsid w:val="006F7B69"/>
    <w:rsid w:val="00701B42"/>
    <w:rsid w:val="00704D5A"/>
    <w:rsid w:val="00705264"/>
    <w:rsid w:val="00705B39"/>
    <w:rsid w:val="007062EE"/>
    <w:rsid w:val="007077CC"/>
    <w:rsid w:val="007126FB"/>
    <w:rsid w:val="0071429B"/>
    <w:rsid w:val="007157D1"/>
    <w:rsid w:val="0071776D"/>
    <w:rsid w:val="0071798D"/>
    <w:rsid w:val="00721811"/>
    <w:rsid w:val="00721A85"/>
    <w:rsid w:val="00722917"/>
    <w:rsid w:val="00723F5F"/>
    <w:rsid w:val="007274BB"/>
    <w:rsid w:val="007305C4"/>
    <w:rsid w:val="0073089A"/>
    <w:rsid w:val="00731AE2"/>
    <w:rsid w:val="0073274E"/>
    <w:rsid w:val="00733D53"/>
    <w:rsid w:val="00735315"/>
    <w:rsid w:val="00737226"/>
    <w:rsid w:val="00743D22"/>
    <w:rsid w:val="00745584"/>
    <w:rsid w:val="00745ADE"/>
    <w:rsid w:val="00746E5B"/>
    <w:rsid w:val="007478A4"/>
    <w:rsid w:val="007501E6"/>
    <w:rsid w:val="007513F2"/>
    <w:rsid w:val="00751754"/>
    <w:rsid w:val="00751D6F"/>
    <w:rsid w:val="00751EDE"/>
    <w:rsid w:val="00752EAD"/>
    <w:rsid w:val="0075381E"/>
    <w:rsid w:val="00756778"/>
    <w:rsid w:val="00761D8B"/>
    <w:rsid w:val="00762DCC"/>
    <w:rsid w:val="0076392F"/>
    <w:rsid w:val="00763EFA"/>
    <w:rsid w:val="00765FBE"/>
    <w:rsid w:val="00770404"/>
    <w:rsid w:val="00771149"/>
    <w:rsid w:val="00773FF7"/>
    <w:rsid w:val="00775FF0"/>
    <w:rsid w:val="0078700C"/>
    <w:rsid w:val="007903B1"/>
    <w:rsid w:val="00790577"/>
    <w:rsid w:val="0079069F"/>
    <w:rsid w:val="00794CBC"/>
    <w:rsid w:val="007966D9"/>
    <w:rsid w:val="007A12C3"/>
    <w:rsid w:val="007A1EE1"/>
    <w:rsid w:val="007A6013"/>
    <w:rsid w:val="007A6A50"/>
    <w:rsid w:val="007A7CC4"/>
    <w:rsid w:val="007B0093"/>
    <w:rsid w:val="007B04F8"/>
    <w:rsid w:val="007B0E4A"/>
    <w:rsid w:val="007B254D"/>
    <w:rsid w:val="007B28C0"/>
    <w:rsid w:val="007B585B"/>
    <w:rsid w:val="007B5DBB"/>
    <w:rsid w:val="007C1C19"/>
    <w:rsid w:val="007C3C22"/>
    <w:rsid w:val="007C3D52"/>
    <w:rsid w:val="007C40E5"/>
    <w:rsid w:val="007C6B69"/>
    <w:rsid w:val="007C6D9A"/>
    <w:rsid w:val="007C735C"/>
    <w:rsid w:val="007D10F3"/>
    <w:rsid w:val="007D1FEC"/>
    <w:rsid w:val="007D2166"/>
    <w:rsid w:val="007D26DC"/>
    <w:rsid w:val="007D28F0"/>
    <w:rsid w:val="007D343A"/>
    <w:rsid w:val="007D5985"/>
    <w:rsid w:val="007D60F9"/>
    <w:rsid w:val="007D69BE"/>
    <w:rsid w:val="007D6E62"/>
    <w:rsid w:val="007E0B56"/>
    <w:rsid w:val="007E0CE8"/>
    <w:rsid w:val="007E0E87"/>
    <w:rsid w:val="007E191D"/>
    <w:rsid w:val="007E2FD7"/>
    <w:rsid w:val="007E4458"/>
    <w:rsid w:val="007E45FE"/>
    <w:rsid w:val="007E58A5"/>
    <w:rsid w:val="007E76A2"/>
    <w:rsid w:val="007F0BC5"/>
    <w:rsid w:val="007F559F"/>
    <w:rsid w:val="00810221"/>
    <w:rsid w:val="00810233"/>
    <w:rsid w:val="00810457"/>
    <w:rsid w:val="008106AD"/>
    <w:rsid w:val="00812981"/>
    <w:rsid w:val="00812E9E"/>
    <w:rsid w:val="00814812"/>
    <w:rsid w:val="00815560"/>
    <w:rsid w:val="00815AAF"/>
    <w:rsid w:val="00817DE2"/>
    <w:rsid w:val="008205E0"/>
    <w:rsid w:val="00822C2E"/>
    <w:rsid w:val="00823946"/>
    <w:rsid w:val="0082428C"/>
    <w:rsid w:val="00824966"/>
    <w:rsid w:val="00824A3D"/>
    <w:rsid w:val="00825182"/>
    <w:rsid w:val="00825C70"/>
    <w:rsid w:val="00825EEC"/>
    <w:rsid w:val="008266EE"/>
    <w:rsid w:val="00826BB3"/>
    <w:rsid w:val="00826D36"/>
    <w:rsid w:val="00826FDC"/>
    <w:rsid w:val="00830B6B"/>
    <w:rsid w:val="008314BD"/>
    <w:rsid w:val="00832B4A"/>
    <w:rsid w:val="008337D8"/>
    <w:rsid w:val="00835CA1"/>
    <w:rsid w:val="008367EA"/>
    <w:rsid w:val="00836BFC"/>
    <w:rsid w:val="00837AEB"/>
    <w:rsid w:val="008410BB"/>
    <w:rsid w:val="00841B1C"/>
    <w:rsid w:val="008459DC"/>
    <w:rsid w:val="008504DD"/>
    <w:rsid w:val="00851998"/>
    <w:rsid w:val="00851B87"/>
    <w:rsid w:val="00853B1C"/>
    <w:rsid w:val="008545F3"/>
    <w:rsid w:val="0085625E"/>
    <w:rsid w:val="0085639E"/>
    <w:rsid w:val="008566A5"/>
    <w:rsid w:val="00856C44"/>
    <w:rsid w:val="0086024E"/>
    <w:rsid w:val="00860B3E"/>
    <w:rsid w:val="00860D7B"/>
    <w:rsid w:val="00860F31"/>
    <w:rsid w:val="0086140F"/>
    <w:rsid w:val="008614E5"/>
    <w:rsid w:val="00863042"/>
    <w:rsid w:val="00863052"/>
    <w:rsid w:val="0086358D"/>
    <w:rsid w:val="008640BD"/>
    <w:rsid w:val="00866E84"/>
    <w:rsid w:val="00872145"/>
    <w:rsid w:val="008726B8"/>
    <w:rsid w:val="00874318"/>
    <w:rsid w:val="00875C35"/>
    <w:rsid w:val="00876015"/>
    <w:rsid w:val="00884422"/>
    <w:rsid w:val="008853CF"/>
    <w:rsid w:val="00886A94"/>
    <w:rsid w:val="008915F3"/>
    <w:rsid w:val="0089332C"/>
    <w:rsid w:val="00894A4E"/>
    <w:rsid w:val="0089718D"/>
    <w:rsid w:val="008A1F2E"/>
    <w:rsid w:val="008A2D11"/>
    <w:rsid w:val="008A4A1D"/>
    <w:rsid w:val="008A593B"/>
    <w:rsid w:val="008A668F"/>
    <w:rsid w:val="008A7EB2"/>
    <w:rsid w:val="008B1C03"/>
    <w:rsid w:val="008B25E0"/>
    <w:rsid w:val="008B354E"/>
    <w:rsid w:val="008B5317"/>
    <w:rsid w:val="008C278D"/>
    <w:rsid w:val="008C30BA"/>
    <w:rsid w:val="008C3923"/>
    <w:rsid w:val="008C4951"/>
    <w:rsid w:val="008C68D0"/>
    <w:rsid w:val="008C7464"/>
    <w:rsid w:val="008D2D94"/>
    <w:rsid w:val="008D37D2"/>
    <w:rsid w:val="008D57A4"/>
    <w:rsid w:val="008D760B"/>
    <w:rsid w:val="008E090F"/>
    <w:rsid w:val="008E0CAD"/>
    <w:rsid w:val="008E190D"/>
    <w:rsid w:val="008E24B9"/>
    <w:rsid w:val="008E6747"/>
    <w:rsid w:val="008F0C3B"/>
    <w:rsid w:val="008F4351"/>
    <w:rsid w:val="008F537A"/>
    <w:rsid w:val="008F5FD2"/>
    <w:rsid w:val="008F5FD6"/>
    <w:rsid w:val="008F7D31"/>
    <w:rsid w:val="00902365"/>
    <w:rsid w:val="00903F54"/>
    <w:rsid w:val="009070FD"/>
    <w:rsid w:val="00910E1E"/>
    <w:rsid w:val="00912254"/>
    <w:rsid w:val="00912E2D"/>
    <w:rsid w:val="00914D03"/>
    <w:rsid w:val="00924405"/>
    <w:rsid w:val="00924890"/>
    <w:rsid w:val="0092592D"/>
    <w:rsid w:val="0092711B"/>
    <w:rsid w:val="0092793F"/>
    <w:rsid w:val="009343B7"/>
    <w:rsid w:val="00935E83"/>
    <w:rsid w:val="0093680D"/>
    <w:rsid w:val="00936F16"/>
    <w:rsid w:val="00937744"/>
    <w:rsid w:val="00937B2B"/>
    <w:rsid w:val="0094182B"/>
    <w:rsid w:val="00941A30"/>
    <w:rsid w:val="009449F6"/>
    <w:rsid w:val="00945C53"/>
    <w:rsid w:val="00945EEB"/>
    <w:rsid w:val="00947539"/>
    <w:rsid w:val="00947AAE"/>
    <w:rsid w:val="00950A69"/>
    <w:rsid w:val="009527C0"/>
    <w:rsid w:val="00954301"/>
    <w:rsid w:val="00955AC1"/>
    <w:rsid w:val="009564E4"/>
    <w:rsid w:val="0095762B"/>
    <w:rsid w:val="00957BFC"/>
    <w:rsid w:val="00960DDE"/>
    <w:rsid w:val="00960E50"/>
    <w:rsid w:val="0096313F"/>
    <w:rsid w:val="00963E22"/>
    <w:rsid w:val="00966ABA"/>
    <w:rsid w:val="00966E1A"/>
    <w:rsid w:val="009679AC"/>
    <w:rsid w:val="00974FBF"/>
    <w:rsid w:val="00975520"/>
    <w:rsid w:val="00977184"/>
    <w:rsid w:val="00977C12"/>
    <w:rsid w:val="009806C2"/>
    <w:rsid w:val="00981F11"/>
    <w:rsid w:val="00983BF2"/>
    <w:rsid w:val="00983E0B"/>
    <w:rsid w:val="00983F32"/>
    <w:rsid w:val="009850EF"/>
    <w:rsid w:val="00986214"/>
    <w:rsid w:val="00987FF2"/>
    <w:rsid w:val="00996925"/>
    <w:rsid w:val="009972DF"/>
    <w:rsid w:val="00997BA9"/>
    <w:rsid w:val="00997BC7"/>
    <w:rsid w:val="009A11B6"/>
    <w:rsid w:val="009B7419"/>
    <w:rsid w:val="009C0369"/>
    <w:rsid w:val="009C0552"/>
    <w:rsid w:val="009C1173"/>
    <w:rsid w:val="009C12D6"/>
    <w:rsid w:val="009C2051"/>
    <w:rsid w:val="009C3A05"/>
    <w:rsid w:val="009C3FA7"/>
    <w:rsid w:val="009C4EC8"/>
    <w:rsid w:val="009C785D"/>
    <w:rsid w:val="009D0581"/>
    <w:rsid w:val="009D245A"/>
    <w:rsid w:val="009D6202"/>
    <w:rsid w:val="009D6ADB"/>
    <w:rsid w:val="009D77AD"/>
    <w:rsid w:val="009E0E15"/>
    <w:rsid w:val="009E232A"/>
    <w:rsid w:val="009E391E"/>
    <w:rsid w:val="009E4183"/>
    <w:rsid w:val="009E4EC4"/>
    <w:rsid w:val="009E7E97"/>
    <w:rsid w:val="009F09FF"/>
    <w:rsid w:val="009F215C"/>
    <w:rsid w:val="009F42E7"/>
    <w:rsid w:val="009F48A0"/>
    <w:rsid w:val="009F591D"/>
    <w:rsid w:val="009F6CAF"/>
    <w:rsid w:val="009F7C14"/>
    <w:rsid w:val="00A00685"/>
    <w:rsid w:val="00A00C61"/>
    <w:rsid w:val="00A00F9A"/>
    <w:rsid w:val="00A03161"/>
    <w:rsid w:val="00A03AD0"/>
    <w:rsid w:val="00A05D79"/>
    <w:rsid w:val="00A12302"/>
    <w:rsid w:val="00A13F50"/>
    <w:rsid w:val="00A1460E"/>
    <w:rsid w:val="00A177F0"/>
    <w:rsid w:val="00A25BA9"/>
    <w:rsid w:val="00A26453"/>
    <w:rsid w:val="00A26939"/>
    <w:rsid w:val="00A27F94"/>
    <w:rsid w:val="00A311CE"/>
    <w:rsid w:val="00A3761E"/>
    <w:rsid w:val="00A4155B"/>
    <w:rsid w:val="00A43514"/>
    <w:rsid w:val="00A53F9C"/>
    <w:rsid w:val="00A541B9"/>
    <w:rsid w:val="00A54CFC"/>
    <w:rsid w:val="00A56436"/>
    <w:rsid w:val="00A60BDE"/>
    <w:rsid w:val="00A60CC7"/>
    <w:rsid w:val="00A618FC"/>
    <w:rsid w:val="00A61928"/>
    <w:rsid w:val="00A61C0B"/>
    <w:rsid w:val="00A628A4"/>
    <w:rsid w:val="00A62AFB"/>
    <w:rsid w:val="00A63AC9"/>
    <w:rsid w:val="00A64352"/>
    <w:rsid w:val="00A66529"/>
    <w:rsid w:val="00A66E30"/>
    <w:rsid w:val="00A6785E"/>
    <w:rsid w:val="00A71428"/>
    <w:rsid w:val="00A71462"/>
    <w:rsid w:val="00A72FBA"/>
    <w:rsid w:val="00A7771C"/>
    <w:rsid w:val="00A80023"/>
    <w:rsid w:val="00A80C2F"/>
    <w:rsid w:val="00A81CDF"/>
    <w:rsid w:val="00A834EF"/>
    <w:rsid w:val="00A86751"/>
    <w:rsid w:val="00A87DB0"/>
    <w:rsid w:val="00A914B7"/>
    <w:rsid w:val="00A947ED"/>
    <w:rsid w:val="00A979FA"/>
    <w:rsid w:val="00AA1D41"/>
    <w:rsid w:val="00AA2FDD"/>
    <w:rsid w:val="00AA3785"/>
    <w:rsid w:val="00AA386B"/>
    <w:rsid w:val="00AA4D7A"/>
    <w:rsid w:val="00AA4FC7"/>
    <w:rsid w:val="00AA532F"/>
    <w:rsid w:val="00AA618D"/>
    <w:rsid w:val="00AA66C0"/>
    <w:rsid w:val="00AA6E5F"/>
    <w:rsid w:val="00AA7359"/>
    <w:rsid w:val="00AB057B"/>
    <w:rsid w:val="00AB1CF1"/>
    <w:rsid w:val="00AB1F93"/>
    <w:rsid w:val="00AB2A92"/>
    <w:rsid w:val="00AB3779"/>
    <w:rsid w:val="00AB4AFD"/>
    <w:rsid w:val="00AB6DED"/>
    <w:rsid w:val="00AB7D01"/>
    <w:rsid w:val="00AB7D32"/>
    <w:rsid w:val="00AC1ECB"/>
    <w:rsid w:val="00AC327A"/>
    <w:rsid w:val="00AC3801"/>
    <w:rsid w:val="00AC573D"/>
    <w:rsid w:val="00AC5820"/>
    <w:rsid w:val="00AC7328"/>
    <w:rsid w:val="00AD0CAC"/>
    <w:rsid w:val="00AD181A"/>
    <w:rsid w:val="00AD1E74"/>
    <w:rsid w:val="00AD5808"/>
    <w:rsid w:val="00AD5B6A"/>
    <w:rsid w:val="00AD606C"/>
    <w:rsid w:val="00AD6293"/>
    <w:rsid w:val="00AD69D7"/>
    <w:rsid w:val="00AD720B"/>
    <w:rsid w:val="00AE048B"/>
    <w:rsid w:val="00AE2693"/>
    <w:rsid w:val="00AE3905"/>
    <w:rsid w:val="00AE3E57"/>
    <w:rsid w:val="00AE4800"/>
    <w:rsid w:val="00AE48DD"/>
    <w:rsid w:val="00AE507F"/>
    <w:rsid w:val="00AE51B3"/>
    <w:rsid w:val="00AE6BD7"/>
    <w:rsid w:val="00AE799D"/>
    <w:rsid w:val="00AF112C"/>
    <w:rsid w:val="00AF2FBC"/>
    <w:rsid w:val="00AF4E7F"/>
    <w:rsid w:val="00AF5DDC"/>
    <w:rsid w:val="00AF65CC"/>
    <w:rsid w:val="00AF713B"/>
    <w:rsid w:val="00AF71BD"/>
    <w:rsid w:val="00B017EB"/>
    <w:rsid w:val="00B01D24"/>
    <w:rsid w:val="00B02093"/>
    <w:rsid w:val="00B02277"/>
    <w:rsid w:val="00B05230"/>
    <w:rsid w:val="00B071C5"/>
    <w:rsid w:val="00B13033"/>
    <w:rsid w:val="00B131B5"/>
    <w:rsid w:val="00B167BC"/>
    <w:rsid w:val="00B167C0"/>
    <w:rsid w:val="00B1690B"/>
    <w:rsid w:val="00B16C7F"/>
    <w:rsid w:val="00B16E09"/>
    <w:rsid w:val="00B20692"/>
    <w:rsid w:val="00B20990"/>
    <w:rsid w:val="00B23196"/>
    <w:rsid w:val="00B2361D"/>
    <w:rsid w:val="00B268A1"/>
    <w:rsid w:val="00B301A8"/>
    <w:rsid w:val="00B329A2"/>
    <w:rsid w:val="00B345E8"/>
    <w:rsid w:val="00B37BAB"/>
    <w:rsid w:val="00B40832"/>
    <w:rsid w:val="00B40CCC"/>
    <w:rsid w:val="00B431CB"/>
    <w:rsid w:val="00B44108"/>
    <w:rsid w:val="00B44B96"/>
    <w:rsid w:val="00B45E09"/>
    <w:rsid w:val="00B46109"/>
    <w:rsid w:val="00B4799A"/>
    <w:rsid w:val="00B5194F"/>
    <w:rsid w:val="00B51C5D"/>
    <w:rsid w:val="00B520B8"/>
    <w:rsid w:val="00B525C2"/>
    <w:rsid w:val="00B52648"/>
    <w:rsid w:val="00B5320B"/>
    <w:rsid w:val="00B55233"/>
    <w:rsid w:val="00B56DB8"/>
    <w:rsid w:val="00B57CD3"/>
    <w:rsid w:val="00B619C6"/>
    <w:rsid w:val="00B620A5"/>
    <w:rsid w:val="00B635EE"/>
    <w:rsid w:val="00B6508B"/>
    <w:rsid w:val="00B65B5C"/>
    <w:rsid w:val="00B66458"/>
    <w:rsid w:val="00B70B52"/>
    <w:rsid w:val="00B71D00"/>
    <w:rsid w:val="00B728D8"/>
    <w:rsid w:val="00B72F03"/>
    <w:rsid w:val="00B776CE"/>
    <w:rsid w:val="00B80495"/>
    <w:rsid w:val="00B8082C"/>
    <w:rsid w:val="00B81968"/>
    <w:rsid w:val="00B8431B"/>
    <w:rsid w:val="00B86319"/>
    <w:rsid w:val="00B94E89"/>
    <w:rsid w:val="00B96723"/>
    <w:rsid w:val="00BA17D2"/>
    <w:rsid w:val="00BA3456"/>
    <w:rsid w:val="00BA4C82"/>
    <w:rsid w:val="00BA6020"/>
    <w:rsid w:val="00BB3989"/>
    <w:rsid w:val="00BB5655"/>
    <w:rsid w:val="00BB58FD"/>
    <w:rsid w:val="00BC057E"/>
    <w:rsid w:val="00BC213E"/>
    <w:rsid w:val="00BC21E9"/>
    <w:rsid w:val="00BC3349"/>
    <w:rsid w:val="00BC6211"/>
    <w:rsid w:val="00BC6F36"/>
    <w:rsid w:val="00BC751F"/>
    <w:rsid w:val="00BC762D"/>
    <w:rsid w:val="00BD0750"/>
    <w:rsid w:val="00BD079C"/>
    <w:rsid w:val="00BD103B"/>
    <w:rsid w:val="00BD2193"/>
    <w:rsid w:val="00BD2996"/>
    <w:rsid w:val="00BD6597"/>
    <w:rsid w:val="00BD6900"/>
    <w:rsid w:val="00BD76C0"/>
    <w:rsid w:val="00BE14B7"/>
    <w:rsid w:val="00BE204C"/>
    <w:rsid w:val="00BE283F"/>
    <w:rsid w:val="00BE34DB"/>
    <w:rsid w:val="00BE5687"/>
    <w:rsid w:val="00BE754E"/>
    <w:rsid w:val="00BE7FA0"/>
    <w:rsid w:val="00BF0997"/>
    <w:rsid w:val="00BF1EFC"/>
    <w:rsid w:val="00BF332E"/>
    <w:rsid w:val="00BF50F4"/>
    <w:rsid w:val="00C0015F"/>
    <w:rsid w:val="00C009E1"/>
    <w:rsid w:val="00C013BA"/>
    <w:rsid w:val="00C02219"/>
    <w:rsid w:val="00C02F86"/>
    <w:rsid w:val="00C04A3E"/>
    <w:rsid w:val="00C130E9"/>
    <w:rsid w:val="00C140C2"/>
    <w:rsid w:val="00C15D99"/>
    <w:rsid w:val="00C160A8"/>
    <w:rsid w:val="00C1647E"/>
    <w:rsid w:val="00C17AE1"/>
    <w:rsid w:val="00C17C06"/>
    <w:rsid w:val="00C2228F"/>
    <w:rsid w:val="00C247DF"/>
    <w:rsid w:val="00C25AFE"/>
    <w:rsid w:val="00C26C4F"/>
    <w:rsid w:val="00C30FA2"/>
    <w:rsid w:val="00C3103F"/>
    <w:rsid w:val="00C31AF0"/>
    <w:rsid w:val="00C336BD"/>
    <w:rsid w:val="00C348AF"/>
    <w:rsid w:val="00C34A60"/>
    <w:rsid w:val="00C34ACB"/>
    <w:rsid w:val="00C34BAA"/>
    <w:rsid w:val="00C34F4D"/>
    <w:rsid w:val="00C353EE"/>
    <w:rsid w:val="00C37DE6"/>
    <w:rsid w:val="00C401A6"/>
    <w:rsid w:val="00C40BDB"/>
    <w:rsid w:val="00C41736"/>
    <w:rsid w:val="00C428AF"/>
    <w:rsid w:val="00C42D2C"/>
    <w:rsid w:val="00C45CD7"/>
    <w:rsid w:val="00C45D07"/>
    <w:rsid w:val="00C52054"/>
    <w:rsid w:val="00C54480"/>
    <w:rsid w:val="00C56D3C"/>
    <w:rsid w:val="00C57850"/>
    <w:rsid w:val="00C605A5"/>
    <w:rsid w:val="00C61F5F"/>
    <w:rsid w:val="00C635AD"/>
    <w:rsid w:val="00C66B15"/>
    <w:rsid w:val="00C66BFD"/>
    <w:rsid w:val="00C7078A"/>
    <w:rsid w:val="00C708D7"/>
    <w:rsid w:val="00C70BFD"/>
    <w:rsid w:val="00C70FE9"/>
    <w:rsid w:val="00C72D22"/>
    <w:rsid w:val="00C7461E"/>
    <w:rsid w:val="00C777B3"/>
    <w:rsid w:val="00C77BA2"/>
    <w:rsid w:val="00C82173"/>
    <w:rsid w:val="00C82DD1"/>
    <w:rsid w:val="00C837F2"/>
    <w:rsid w:val="00C85938"/>
    <w:rsid w:val="00C85E6D"/>
    <w:rsid w:val="00C86763"/>
    <w:rsid w:val="00C8694D"/>
    <w:rsid w:val="00C869BD"/>
    <w:rsid w:val="00C869D5"/>
    <w:rsid w:val="00C87B1B"/>
    <w:rsid w:val="00C87FC5"/>
    <w:rsid w:val="00C87FD2"/>
    <w:rsid w:val="00C90857"/>
    <w:rsid w:val="00C91FCB"/>
    <w:rsid w:val="00C949B4"/>
    <w:rsid w:val="00C94DF6"/>
    <w:rsid w:val="00C973B7"/>
    <w:rsid w:val="00C97D73"/>
    <w:rsid w:val="00CA0AC6"/>
    <w:rsid w:val="00CA19D1"/>
    <w:rsid w:val="00CA202D"/>
    <w:rsid w:val="00CA271E"/>
    <w:rsid w:val="00CA602D"/>
    <w:rsid w:val="00CA7E17"/>
    <w:rsid w:val="00CB04EE"/>
    <w:rsid w:val="00CB1471"/>
    <w:rsid w:val="00CB38DE"/>
    <w:rsid w:val="00CB4263"/>
    <w:rsid w:val="00CB47E7"/>
    <w:rsid w:val="00CB5B48"/>
    <w:rsid w:val="00CB6116"/>
    <w:rsid w:val="00CB6B9D"/>
    <w:rsid w:val="00CB7CEE"/>
    <w:rsid w:val="00CC0559"/>
    <w:rsid w:val="00CC26D9"/>
    <w:rsid w:val="00CC34FE"/>
    <w:rsid w:val="00CD0C7B"/>
    <w:rsid w:val="00CD19F8"/>
    <w:rsid w:val="00CD3FAE"/>
    <w:rsid w:val="00CD5149"/>
    <w:rsid w:val="00CD6C76"/>
    <w:rsid w:val="00CD7002"/>
    <w:rsid w:val="00CD7669"/>
    <w:rsid w:val="00CE0997"/>
    <w:rsid w:val="00CE428F"/>
    <w:rsid w:val="00CE485E"/>
    <w:rsid w:val="00CE487A"/>
    <w:rsid w:val="00CE5298"/>
    <w:rsid w:val="00CE5B67"/>
    <w:rsid w:val="00CE5EF8"/>
    <w:rsid w:val="00CE654C"/>
    <w:rsid w:val="00CE6558"/>
    <w:rsid w:val="00CE7DA4"/>
    <w:rsid w:val="00CF00D2"/>
    <w:rsid w:val="00CF20C2"/>
    <w:rsid w:val="00CF5A26"/>
    <w:rsid w:val="00D042DD"/>
    <w:rsid w:val="00D05A07"/>
    <w:rsid w:val="00D05E52"/>
    <w:rsid w:val="00D07F90"/>
    <w:rsid w:val="00D10933"/>
    <w:rsid w:val="00D12E19"/>
    <w:rsid w:val="00D14A68"/>
    <w:rsid w:val="00D2026C"/>
    <w:rsid w:val="00D22E0E"/>
    <w:rsid w:val="00D23E6E"/>
    <w:rsid w:val="00D249CA"/>
    <w:rsid w:val="00D24F1A"/>
    <w:rsid w:val="00D25A92"/>
    <w:rsid w:val="00D27AC9"/>
    <w:rsid w:val="00D304F0"/>
    <w:rsid w:val="00D306FD"/>
    <w:rsid w:val="00D30B21"/>
    <w:rsid w:val="00D319E0"/>
    <w:rsid w:val="00D330C8"/>
    <w:rsid w:val="00D345AF"/>
    <w:rsid w:val="00D41C9D"/>
    <w:rsid w:val="00D4606F"/>
    <w:rsid w:val="00D47A36"/>
    <w:rsid w:val="00D50DC5"/>
    <w:rsid w:val="00D51138"/>
    <w:rsid w:val="00D51B7A"/>
    <w:rsid w:val="00D52C9C"/>
    <w:rsid w:val="00D53E3C"/>
    <w:rsid w:val="00D5471F"/>
    <w:rsid w:val="00D54B27"/>
    <w:rsid w:val="00D557CE"/>
    <w:rsid w:val="00D56979"/>
    <w:rsid w:val="00D62612"/>
    <w:rsid w:val="00D63564"/>
    <w:rsid w:val="00D64002"/>
    <w:rsid w:val="00D65974"/>
    <w:rsid w:val="00D67782"/>
    <w:rsid w:val="00D705A5"/>
    <w:rsid w:val="00D706E5"/>
    <w:rsid w:val="00D72E45"/>
    <w:rsid w:val="00D760F0"/>
    <w:rsid w:val="00D76AD9"/>
    <w:rsid w:val="00D81658"/>
    <w:rsid w:val="00D81FF1"/>
    <w:rsid w:val="00D828C5"/>
    <w:rsid w:val="00D82A52"/>
    <w:rsid w:val="00D83B8F"/>
    <w:rsid w:val="00D86380"/>
    <w:rsid w:val="00D905F6"/>
    <w:rsid w:val="00D9214F"/>
    <w:rsid w:val="00D926B2"/>
    <w:rsid w:val="00D92793"/>
    <w:rsid w:val="00D92860"/>
    <w:rsid w:val="00D93FCB"/>
    <w:rsid w:val="00D952D1"/>
    <w:rsid w:val="00D9612B"/>
    <w:rsid w:val="00DA13FB"/>
    <w:rsid w:val="00DA3FA1"/>
    <w:rsid w:val="00DA4920"/>
    <w:rsid w:val="00DA53A5"/>
    <w:rsid w:val="00DA5618"/>
    <w:rsid w:val="00DB04F9"/>
    <w:rsid w:val="00DB064A"/>
    <w:rsid w:val="00DB1222"/>
    <w:rsid w:val="00DB21FF"/>
    <w:rsid w:val="00DB5996"/>
    <w:rsid w:val="00DB6120"/>
    <w:rsid w:val="00DB6DB6"/>
    <w:rsid w:val="00DB76EC"/>
    <w:rsid w:val="00DC02D6"/>
    <w:rsid w:val="00DC10F8"/>
    <w:rsid w:val="00DC48CA"/>
    <w:rsid w:val="00DC5BC4"/>
    <w:rsid w:val="00DC5D52"/>
    <w:rsid w:val="00DD073E"/>
    <w:rsid w:val="00DD1627"/>
    <w:rsid w:val="00DD23D1"/>
    <w:rsid w:val="00DD30A4"/>
    <w:rsid w:val="00DD35A4"/>
    <w:rsid w:val="00DD44DE"/>
    <w:rsid w:val="00DD6496"/>
    <w:rsid w:val="00DD7FA7"/>
    <w:rsid w:val="00DE0206"/>
    <w:rsid w:val="00DE1C02"/>
    <w:rsid w:val="00DE4B77"/>
    <w:rsid w:val="00DE57FF"/>
    <w:rsid w:val="00DE6333"/>
    <w:rsid w:val="00DF2A93"/>
    <w:rsid w:val="00DF377F"/>
    <w:rsid w:val="00E020B6"/>
    <w:rsid w:val="00E07F6D"/>
    <w:rsid w:val="00E1238E"/>
    <w:rsid w:val="00E15865"/>
    <w:rsid w:val="00E16176"/>
    <w:rsid w:val="00E17088"/>
    <w:rsid w:val="00E203B6"/>
    <w:rsid w:val="00E20794"/>
    <w:rsid w:val="00E23583"/>
    <w:rsid w:val="00E25F01"/>
    <w:rsid w:val="00E27E63"/>
    <w:rsid w:val="00E30105"/>
    <w:rsid w:val="00E30268"/>
    <w:rsid w:val="00E31723"/>
    <w:rsid w:val="00E36017"/>
    <w:rsid w:val="00E43A94"/>
    <w:rsid w:val="00E43F8B"/>
    <w:rsid w:val="00E44838"/>
    <w:rsid w:val="00E44C00"/>
    <w:rsid w:val="00E4502B"/>
    <w:rsid w:val="00E45356"/>
    <w:rsid w:val="00E47122"/>
    <w:rsid w:val="00E516CD"/>
    <w:rsid w:val="00E539A3"/>
    <w:rsid w:val="00E53EFD"/>
    <w:rsid w:val="00E54321"/>
    <w:rsid w:val="00E561E7"/>
    <w:rsid w:val="00E56B24"/>
    <w:rsid w:val="00E57284"/>
    <w:rsid w:val="00E623BB"/>
    <w:rsid w:val="00E63E74"/>
    <w:rsid w:val="00E646EE"/>
    <w:rsid w:val="00E65432"/>
    <w:rsid w:val="00E663FA"/>
    <w:rsid w:val="00E666BB"/>
    <w:rsid w:val="00E670FD"/>
    <w:rsid w:val="00E7143C"/>
    <w:rsid w:val="00E7183D"/>
    <w:rsid w:val="00E71A4B"/>
    <w:rsid w:val="00E73B61"/>
    <w:rsid w:val="00E75122"/>
    <w:rsid w:val="00E753AA"/>
    <w:rsid w:val="00E75434"/>
    <w:rsid w:val="00E763D0"/>
    <w:rsid w:val="00E80C63"/>
    <w:rsid w:val="00E8158E"/>
    <w:rsid w:val="00E817B2"/>
    <w:rsid w:val="00E827E0"/>
    <w:rsid w:val="00E831C3"/>
    <w:rsid w:val="00E84689"/>
    <w:rsid w:val="00E8493A"/>
    <w:rsid w:val="00E849C4"/>
    <w:rsid w:val="00E850F8"/>
    <w:rsid w:val="00E85AB7"/>
    <w:rsid w:val="00E87A91"/>
    <w:rsid w:val="00E9077B"/>
    <w:rsid w:val="00E91910"/>
    <w:rsid w:val="00E9242B"/>
    <w:rsid w:val="00E92BD5"/>
    <w:rsid w:val="00E93F07"/>
    <w:rsid w:val="00E94CA8"/>
    <w:rsid w:val="00E94E1B"/>
    <w:rsid w:val="00EA1970"/>
    <w:rsid w:val="00EA2844"/>
    <w:rsid w:val="00EA4CE1"/>
    <w:rsid w:val="00EB12B1"/>
    <w:rsid w:val="00EB1873"/>
    <w:rsid w:val="00EB2041"/>
    <w:rsid w:val="00EB422E"/>
    <w:rsid w:val="00EB6567"/>
    <w:rsid w:val="00EB79F1"/>
    <w:rsid w:val="00EC0B5C"/>
    <w:rsid w:val="00EC34AC"/>
    <w:rsid w:val="00EC4028"/>
    <w:rsid w:val="00EC4675"/>
    <w:rsid w:val="00EC7585"/>
    <w:rsid w:val="00ED032F"/>
    <w:rsid w:val="00ED08EC"/>
    <w:rsid w:val="00ED36CC"/>
    <w:rsid w:val="00ED5F1E"/>
    <w:rsid w:val="00ED6C6A"/>
    <w:rsid w:val="00ED7184"/>
    <w:rsid w:val="00EE074F"/>
    <w:rsid w:val="00EE3EB4"/>
    <w:rsid w:val="00EF0008"/>
    <w:rsid w:val="00EF0DE2"/>
    <w:rsid w:val="00EF4793"/>
    <w:rsid w:val="00EF540C"/>
    <w:rsid w:val="00EF597A"/>
    <w:rsid w:val="00EF63A6"/>
    <w:rsid w:val="00EF7A4D"/>
    <w:rsid w:val="00F0041A"/>
    <w:rsid w:val="00F01C4F"/>
    <w:rsid w:val="00F04053"/>
    <w:rsid w:val="00F05DF2"/>
    <w:rsid w:val="00F05E53"/>
    <w:rsid w:val="00F106B6"/>
    <w:rsid w:val="00F1103B"/>
    <w:rsid w:val="00F11E01"/>
    <w:rsid w:val="00F124EA"/>
    <w:rsid w:val="00F13543"/>
    <w:rsid w:val="00F13BF7"/>
    <w:rsid w:val="00F141C9"/>
    <w:rsid w:val="00F15362"/>
    <w:rsid w:val="00F15969"/>
    <w:rsid w:val="00F20A44"/>
    <w:rsid w:val="00F24093"/>
    <w:rsid w:val="00F247F9"/>
    <w:rsid w:val="00F24AC9"/>
    <w:rsid w:val="00F25411"/>
    <w:rsid w:val="00F26364"/>
    <w:rsid w:val="00F2672E"/>
    <w:rsid w:val="00F26BBB"/>
    <w:rsid w:val="00F26DE6"/>
    <w:rsid w:val="00F30339"/>
    <w:rsid w:val="00F31BAB"/>
    <w:rsid w:val="00F32EE1"/>
    <w:rsid w:val="00F3631B"/>
    <w:rsid w:val="00F3761D"/>
    <w:rsid w:val="00F40200"/>
    <w:rsid w:val="00F4349A"/>
    <w:rsid w:val="00F43792"/>
    <w:rsid w:val="00F43E6B"/>
    <w:rsid w:val="00F4404F"/>
    <w:rsid w:val="00F44684"/>
    <w:rsid w:val="00F449C5"/>
    <w:rsid w:val="00F44D27"/>
    <w:rsid w:val="00F44EF0"/>
    <w:rsid w:val="00F4599B"/>
    <w:rsid w:val="00F46AA4"/>
    <w:rsid w:val="00F47ECA"/>
    <w:rsid w:val="00F5066C"/>
    <w:rsid w:val="00F52549"/>
    <w:rsid w:val="00F5294B"/>
    <w:rsid w:val="00F52BD4"/>
    <w:rsid w:val="00F53D3C"/>
    <w:rsid w:val="00F53D46"/>
    <w:rsid w:val="00F53D75"/>
    <w:rsid w:val="00F5458E"/>
    <w:rsid w:val="00F54CD1"/>
    <w:rsid w:val="00F55339"/>
    <w:rsid w:val="00F55719"/>
    <w:rsid w:val="00F56780"/>
    <w:rsid w:val="00F56C05"/>
    <w:rsid w:val="00F611ED"/>
    <w:rsid w:val="00F63887"/>
    <w:rsid w:val="00F63E56"/>
    <w:rsid w:val="00F64B63"/>
    <w:rsid w:val="00F65D04"/>
    <w:rsid w:val="00F70C73"/>
    <w:rsid w:val="00F72B41"/>
    <w:rsid w:val="00F73044"/>
    <w:rsid w:val="00F7470B"/>
    <w:rsid w:val="00F76C9B"/>
    <w:rsid w:val="00F7770C"/>
    <w:rsid w:val="00F826ED"/>
    <w:rsid w:val="00F8342E"/>
    <w:rsid w:val="00F837A7"/>
    <w:rsid w:val="00F83D60"/>
    <w:rsid w:val="00F875BD"/>
    <w:rsid w:val="00F90CA1"/>
    <w:rsid w:val="00F9346E"/>
    <w:rsid w:val="00F9783F"/>
    <w:rsid w:val="00F97B4C"/>
    <w:rsid w:val="00FA2796"/>
    <w:rsid w:val="00FA2922"/>
    <w:rsid w:val="00FA6A47"/>
    <w:rsid w:val="00FA6AD4"/>
    <w:rsid w:val="00FA7992"/>
    <w:rsid w:val="00FB00BE"/>
    <w:rsid w:val="00FB1226"/>
    <w:rsid w:val="00FB1A22"/>
    <w:rsid w:val="00FB3938"/>
    <w:rsid w:val="00FB4F76"/>
    <w:rsid w:val="00FB6EAB"/>
    <w:rsid w:val="00FC0623"/>
    <w:rsid w:val="00FC0FF4"/>
    <w:rsid w:val="00FC1972"/>
    <w:rsid w:val="00FC2C8C"/>
    <w:rsid w:val="00FC2EC9"/>
    <w:rsid w:val="00FC496C"/>
    <w:rsid w:val="00FC4ACB"/>
    <w:rsid w:val="00FC52BF"/>
    <w:rsid w:val="00FC54AD"/>
    <w:rsid w:val="00FC70CA"/>
    <w:rsid w:val="00FD08F5"/>
    <w:rsid w:val="00FD0FA4"/>
    <w:rsid w:val="00FD1094"/>
    <w:rsid w:val="00FD2472"/>
    <w:rsid w:val="00FD318F"/>
    <w:rsid w:val="00FD3B9B"/>
    <w:rsid w:val="00FD6BF9"/>
    <w:rsid w:val="00FE0459"/>
    <w:rsid w:val="00FE3E37"/>
    <w:rsid w:val="00FE631C"/>
    <w:rsid w:val="00FE7BC9"/>
    <w:rsid w:val="00FF0784"/>
    <w:rsid w:val="00FF0789"/>
    <w:rsid w:val="00FF0A9E"/>
    <w:rsid w:val="00FF1407"/>
    <w:rsid w:val="00FF1853"/>
    <w:rsid w:val="00FF2AB4"/>
    <w:rsid w:val="00FF2F70"/>
    <w:rsid w:val="00FF4348"/>
    <w:rsid w:val="00FF4D27"/>
    <w:rsid w:val="00FF5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8E090F"/>
    <w:pPr>
      <w:tabs>
        <w:tab w:val="right" w:leader="dot" w:pos="9060"/>
      </w:tabs>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unhideWhenUsed/>
    <w:rsid w:val="00632F54"/>
    <w:pPr>
      <w:spacing w:after="120"/>
    </w:pPr>
  </w:style>
  <w:style w:type="character" w:customStyle="1" w:styleId="BodyTextChar">
    <w:name w:val="Body Text Char"/>
    <w:basedOn w:val="DefaultParagraphFont"/>
    <w:link w:val="BodyText"/>
    <w:uiPriority w:val="99"/>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2F6099"/>
    <w:pPr>
      <w:spacing w:after="0" w:line="240" w:lineRule="auto"/>
    </w:pPr>
    <w:rPr>
      <w:sz w:val="20"/>
      <w:szCs w:val="20"/>
    </w:rPr>
  </w:style>
  <w:style w:type="character" w:customStyle="1" w:styleId="EndnoteTextChar">
    <w:name w:val="Endnote Text Char"/>
    <w:basedOn w:val="DefaultParagraphFont"/>
    <w:link w:val="EndnoteText"/>
    <w:uiPriority w:val="99"/>
    <w:rsid w:val="002F6099"/>
    <w:rPr>
      <w:rFonts w:cs="Times New Roman"/>
      <w:sz w:val="20"/>
      <w:szCs w:val="20"/>
      <w:lang w:eastAsia="en-AU"/>
    </w:rPr>
  </w:style>
  <w:style w:type="character" w:customStyle="1" w:styleId="cf01">
    <w:name w:val="cf01"/>
    <w:basedOn w:val="DefaultParagraphFont"/>
    <w:rsid w:val="003770D8"/>
    <w:rPr>
      <w:rFonts w:ascii="Segoe UI" w:hAnsi="Segoe UI" w:cs="Segoe UI" w:hint="default"/>
      <w:sz w:val="18"/>
      <w:szCs w:val="18"/>
    </w:rPr>
  </w:style>
  <w:style w:type="paragraph" w:styleId="Revision">
    <w:name w:val="Revision"/>
    <w:hidden/>
    <w:uiPriority w:val="99"/>
    <w:semiHidden/>
    <w:rsid w:val="00AE51B3"/>
    <w:pPr>
      <w:spacing w:after="0" w:line="240" w:lineRule="auto"/>
    </w:pPr>
    <w:rPr>
      <w:rFonts w:cs="Times New Roman"/>
      <w:sz w:val="21"/>
      <w:szCs w:val="21"/>
      <w:lang w:eastAsia="en-AU"/>
    </w:rPr>
  </w:style>
  <w:style w:type="character" w:customStyle="1" w:styleId="cf11">
    <w:name w:val="cf11"/>
    <w:basedOn w:val="DefaultParagraphFont"/>
    <w:rsid w:val="00BA602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 w:id="20418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tandards/nsqhs-standards"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act.gov.au/wellbeing/wellbeing-framework" TargetMode="External"/><Relationship Id="rId2" Type="http://schemas.openxmlformats.org/officeDocument/2006/relationships/customXml" Target="../customXml/item2.xml"/><Relationship Id="rId16" Type="http://schemas.openxmlformats.org/officeDocument/2006/relationships/hyperlink" Target="https://federalfinancialrelations.gov.au/agreements/mental-health-suicide-prevention-agre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alth.gov.au/sites/default/files/documents/2021/04/mental-health-statement-of-rights-and-responsibilities-2012.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ites/default/files/2022-11/nsqmh_standards_for_cmos_-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0768B9F4-ACED-42E7-9C6F-59C95F7D1CC4}">
  <ds:schemaRefs>
    <ds:schemaRef ds:uri="http://purl.org/dc/dcmitype/"/>
    <ds:schemaRef ds:uri="http://schemas.microsoft.com/office/infopath/2007/PartnerControls"/>
    <ds:schemaRef ds:uri="http://schemas.microsoft.com/office/2006/documentManagement/types"/>
    <ds:schemaRef ds:uri="http://purl.org/dc/elements/1.1/"/>
    <ds:schemaRef ds:uri="7bc4b02a-ed6a-4901-bc73-a16e988ff35d"/>
    <ds:schemaRef ds:uri="http://purl.org/dc/terms/"/>
    <ds:schemaRef ds:uri="http://schemas.openxmlformats.org/package/2006/metadata/core-properties"/>
    <ds:schemaRef ds:uri="17a16921-731f-4321-8f70-c1bcb67b17c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357</TotalTime>
  <Pages>8</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NGO Subsector Commissioning Feedback Paper LGBTIQA+</dc:title>
  <dc:subject>Publication template purple</dc:subject>
  <dc:creator>ACT Government</dc:creator>
  <cp:keywords>Mental Health NGO Subsector Commissioning Feedback Paper LGBTIQA+</cp:keywords>
  <dc:description>Mental Health NGO Subsector Commissioning Feedback Paper LGBTIQA+</dc:description>
  <cp:lastModifiedBy>Abramovic, Michelle</cp:lastModifiedBy>
  <cp:revision>26</cp:revision>
  <cp:lastPrinted>2016-09-21T00:45:00Z</cp:lastPrinted>
  <dcterms:created xsi:type="dcterms:W3CDTF">2023-05-26T06:54:00Z</dcterms:created>
  <dcterms:modified xsi:type="dcterms:W3CDTF">2023-06-07T05:12:00Z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