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55017" w14:textId="3AAC0166" w:rsidR="005E69BD" w:rsidRPr="001628EB" w:rsidRDefault="004E0346">
      <w:pPr>
        <w:spacing w:before="0" w:after="160" w:line="259" w:lineRule="auto"/>
        <w:rPr>
          <w:rFonts w:ascii="Arial" w:hAnsi="Arial"/>
          <w:b/>
          <w:caps/>
          <w:color w:val="000000" w:themeColor="text1"/>
          <w:kern w:val="28"/>
          <w:sz w:val="44"/>
        </w:rPr>
      </w:pPr>
      <w:r>
        <w:rPr>
          <w:b/>
          <w:caps/>
          <w:noProof/>
          <w:color w:val="000000" w:themeColor="text1"/>
          <w:sz w:val="44"/>
        </w:rPr>
        <mc:AlternateContent>
          <mc:Choice Requires="wps">
            <w:drawing>
              <wp:anchor distT="0" distB="0" distL="114300" distR="114300" simplePos="0" relativeHeight="251662336" behindDoc="0" locked="0" layoutInCell="1" allowOverlap="1" wp14:anchorId="59948A67" wp14:editId="5BC340EB">
                <wp:simplePos x="0" y="0"/>
                <wp:positionH relativeFrom="margin">
                  <wp:align>right</wp:align>
                </wp:positionH>
                <wp:positionV relativeFrom="paragraph">
                  <wp:posOffset>1499235</wp:posOffset>
                </wp:positionV>
                <wp:extent cx="5162550" cy="454342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5162550" cy="4543425"/>
                        </a:xfrm>
                        <a:prstGeom prst="rect">
                          <a:avLst/>
                        </a:prstGeom>
                        <a:noFill/>
                        <a:ln w="6350">
                          <a:noFill/>
                        </a:ln>
                      </wps:spPr>
                      <wps:txbx>
                        <w:txbxContent>
                          <w:p w14:paraId="709373B0" w14:textId="51A6ACBE" w:rsidR="004E0346" w:rsidRDefault="004E0346" w:rsidP="004E0346">
                            <w:pPr>
                              <w:pStyle w:val="Title"/>
                              <w:rPr>
                                <w:color w:val="FFFFFF"/>
                              </w:rPr>
                            </w:pPr>
                            <w:bookmarkStart w:id="0" w:name="_Toc152685826"/>
                            <w:r>
                              <w:rPr>
                                <w:color w:val="FFFFFF"/>
                              </w:rPr>
                              <w:t>COMBINED INSIGHTS REPORT</w:t>
                            </w:r>
                          </w:p>
                          <w:p w14:paraId="63CA1E5F" w14:textId="5387CA9A" w:rsidR="004E0346" w:rsidRDefault="004E0346" w:rsidP="004E0346">
                            <w:pPr>
                              <w:pStyle w:val="Subtitle"/>
                              <w:jc w:val="left"/>
                              <w:rPr>
                                <w:color w:val="FFFFFF"/>
                                <w:sz w:val="32"/>
                                <w:szCs w:val="24"/>
                              </w:rPr>
                            </w:pPr>
                            <w:r>
                              <w:rPr>
                                <w:color w:val="FFFFFF"/>
                              </w:rPr>
                              <w:t>C</w:t>
                            </w:r>
                            <w:r w:rsidRPr="00182CCE">
                              <w:rPr>
                                <w:color w:val="FFFFFF"/>
                              </w:rPr>
                              <w:t xml:space="preserve">hild, </w:t>
                            </w:r>
                            <w:r>
                              <w:rPr>
                                <w:color w:val="FFFFFF"/>
                              </w:rPr>
                              <w:t>Y</w:t>
                            </w:r>
                            <w:r w:rsidRPr="00182CCE">
                              <w:rPr>
                                <w:color w:val="FFFFFF"/>
                              </w:rPr>
                              <w:t xml:space="preserve">outh and </w:t>
                            </w:r>
                            <w:r>
                              <w:rPr>
                                <w:color w:val="FFFFFF"/>
                              </w:rPr>
                              <w:t>F</w:t>
                            </w:r>
                            <w:r w:rsidRPr="00182CCE">
                              <w:rPr>
                                <w:color w:val="FFFFFF"/>
                              </w:rPr>
                              <w:t>amily</w:t>
                            </w:r>
                            <w:r>
                              <w:rPr>
                                <w:color w:val="FFFFFF"/>
                              </w:rPr>
                              <w:t xml:space="preserve"> Support</w:t>
                            </w:r>
                            <w:r w:rsidRPr="00182CCE">
                              <w:rPr>
                                <w:color w:val="FFFFFF"/>
                              </w:rPr>
                              <w:t xml:space="preserve"> </w:t>
                            </w:r>
                            <w:r>
                              <w:rPr>
                                <w:color w:val="FFFFFF"/>
                              </w:rPr>
                              <w:t>S</w:t>
                            </w:r>
                            <w:r w:rsidRPr="00182CCE">
                              <w:rPr>
                                <w:color w:val="FFFFFF"/>
                              </w:rPr>
                              <w:t xml:space="preserve">ystem </w:t>
                            </w:r>
                          </w:p>
                          <w:p w14:paraId="5BFC1108" w14:textId="6D78EF78" w:rsidR="004E0346" w:rsidRPr="001025D3" w:rsidRDefault="00B01A15" w:rsidP="004E0346">
                            <w:pPr>
                              <w:pStyle w:val="Subtitle"/>
                              <w:jc w:val="left"/>
                              <w:rPr>
                                <w:b/>
                                <w:bCs w:val="0"/>
                                <w:color w:val="FFFFFF"/>
                                <w:sz w:val="32"/>
                                <w:szCs w:val="24"/>
                              </w:rPr>
                            </w:pPr>
                            <w:r>
                              <w:rPr>
                                <w:color w:val="FFFFFF"/>
                                <w:sz w:val="32"/>
                                <w:szCs w:val="24"/>
                              </w:rPr>
                              <w:t>FINAL</w:t>
                            </w:r>
                          </w:p>
                          <w:p w14:paraId="702636AC" w14:textId="77777777" w:rsidR="004E0346" w:rsidRPr="004E0346" w:rsidRDefault="004E0346" w:rsidP="004E0346"/>
                          <w:p w14:paraId="67F06E80" w14:textId="28C26F73" w:rsidR="00F939BC" w:rsidRPr="007A6EC4" w:rsidRDefault="004E0346" w:rsidP="007A6EC4">
                            <w:pPr>
                              <w:pStyle w:val="Intro"/>
                              <w:rPr>
                                <w:color w:val="FFFFFF"/>
                              </w:rPr>
                            </w:pPr>
                            <w:r>
                              <w:rPr>
                                <w:color w:val="FFFFFF"/>
                              </w:rPr>
                              <w:t>ACT Commissioning for Outcomes 2022- 2024</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48A67" id="_x0000_t202" coordsize="21600,21600" o:spt="202" path="m,l,21600r21600,l21600,xe">
                <v:stroke joinstyle="miter"/>
                <v:path gradientshapeok="t" o:connecttype="rect"/>
              </v:shapetype>
              <v:shape id="Text Box 22" o:spid="_x0000_s1026" type="#_x0000_t202" style="position:absolute;margin-left:355.3pt;margin-top:118.05pt;width:406.5pt;height:357.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lqGFgIAAC0EAAAOAAAAZHJzL2Uyb0RvYy54bWysU8tu2zAQvBfoPxC817IdyW0Fy4GbwEUB&#10;IwngFDnTFGkJoLgsSVtyv75LSn40yanohdrlrPYxO5zfdo0iB2FdDbqgk9GYEqE5lLXeFfTn8+rT&#10;F0qcZ7pkCrQo6FE4erv4+GHemlxMoQJVCkswiXZ5awpaeW/yJHG8Eg1zIzBCIyjBNsyja3dJaVmL&#10;2RuVTMfjWdKCLY0FLpzD2/sepIuYX0rB/aOUTniiCoq9+XjaeG7DmSzmLN9ZZqqaD22wf+iiYbXG&#10;oudU98wzsrf1m1RNzS04kH7EoUlAypqLOANOMxm/mmZTMSPiLEiOM2ea3P9Lyx8OG/Nkie++QYcL&#10;DIS0xuUOL8M8nbRN+GKnBHGk8HimTXSecLzMJrNpliHEEUuz9CadZiFPcvndWOe/C2hIMApqcS+R&#10;LnZYO9+HnkJCNQ2rWqm4G6VJW9DZDeb/C8HkSmONS7PB8t22GybYQnnEwSz0O3eGr2osvmbOPzGL&#10;S8aGUbj+EQ+pAIvAYFFSgf393n2IR+4RpaRF0RTU/dozKyhRPzRu5eskTYPKopNmn6fo2Gtke43o&#10;fXMHqMsJPhHDoxnivTqZ0kLzgvpehqoIMc2xdkH9ybzzvZTxfXCxXMYg1JVhfq03hofUgbRA7XP3&#10;wqwZ+Pe4ugc4yYvlr9bQx/Z0L/ceZB13FAjuWR14R03GLQ/vJ4j+2o9Rl1e++AMAAP//AwBQSwME&#10;FAAGAAgAAAAhAHJSDyjgAAAACAEAAA8AAABkcnMvZG93bnJldi54bWxMj0FPg0AQhe8m/ofNmHiz&#10;CzQliCxNQ9KYGD209uJtYadAZGeR3bbor3c82eObN3nve8V6toM44+R7RwriRQQCqXGmp1bB4X37&#10;kIHwQZPRgyNU8I0e1uXtTaFz4y60w/M+tIJDyOdaQRfCmEvpmw6t9gs3IrF3dJPVgeXUSjPpC4fb&#10;QSZRlEqre+KGTo9Yddh87k9WwUu1fdO7OrHZz1A9vx4349fhY6XU/d28eQIRcA7/z/CHz+hQMlPt&#10;TmS8GBTwkKAgWaYxCLazeMmXWsHjKk5BloW8HlD+AgAA//8DAFBLAQItABQABgAIAAAAIQC2gziS&#10;/gAAAOEBAAATAAAAAAAAAAAAAAAAAAAAAABbQ29udGVudF9UeXBlc10ueG1sUEsBAi0AFAAGAAgA&#10;AAAhADj9If/WAAAAlAEAAAsAAAAAAAAAAAAAAAAALwEAAF9yZWxzLy5yZWxzUEsBAi0AFAAGAAgA&#10;AAAhAOA6WoYWAgAALQQAAA4AAAAAAAAAAAAAAAAALgIAAGRycy9lMm9Eb2MueG1sUEsBAi0AFAAG&#10;AAgAAAAhAHJSDyjgAAAACAEAAA8AAAAAAAAAAAAAAAAAcAQAAGRycy9kb3ducmV2LnhtbFBLBQYA&#10;AAAABAAEAPMAAAB9BQAAAAA=&#10;" filled="f" stroked="f" strokeweight=".5pt">
                <v:textbox>
                  <w:txbxContent>
                    <w:p w14:paraId="709373B0" w14:textId="51A6ACBE" w:rsidR="004E0346" w:rsidRDefault="004E0346" w:rsidP="004E0346">
                      <w:pPr>
                        <w:pStyle w:val="Title"/>
                        <w:rPr>
                          <w:color w:val="FFFFFF"/>
                        </w:rPr>
                      </w:pPr>
                      <w:bookmarkStart w:id="1" w:name="_Toc152685826"/>
                      <w:r>
                        <w:rPr>
                          <w:color w:val="FFFFFF"/>
                        </w:rPr>
                        <w:t>COMBINED INSIGHTS REPORT</w:t>
                      </w:r>
                    </w:p>
                    <w:p w14:paraId="63CA1E5F" w14:textId="5387CA9A" w:rsidR="004E0346" w:rsidRDefault="004E0346" w:rsidP="004E0346">
                      <w:pPr>
                        <w:pStyle w:val="Subtitle"/>
                        <w:jc w:val="left"/>
                        <w:rPr>
                          <w:color w:val="FFFFFF"/>
                          <w:sz w:val="32"/>
                          <w:szCs w:val="24"/>
                        </w:rPr>
                      </w:pPr>
                      <w:r>
                        <w:rPr>
                          <w:color w:val="FFFFFF"/>
                        </w:rPr>
                        <w:t>C</w:t>
                      </w:r>
                      <w:r w:rsidRPr="00182CCE">
                        <w:rPr>
                          <w:color w:val="FFFFFF"/>
                        </w:rPr>
                        <w:t xml:space="preserve">hild, </w:t>
                      </w:r>
                      <w:r>
                        <w:rPr>
                          <w:color w:val="FFFFFF"/>
                        </w:rPr>
                        <w:t>Y</w:t>
                      </w:r>
                      <w:r w:rsidRPr="00182CCE">
                        <w:rPr>
                          <w:color w:val="FFFFFF"/>
                        </w:rPr>
                        <w:t xml:space="preserve">outh and </w:t>
                      </w:r>
                      <w:r>
                        <w:rPr>
                          <w:color w:val="FFFFFF"/>
                        </w:rPr>
                        <w:t>F</w:t>
                      </w:r>
                      <w:r w:rsidRPr="00182CCE">
                        <w:rPr>
                          <w:color w:val="FFFFFF"/>
                        </w:rPr>
                        <w:t>amily</w:t>
                      </w:r>
                      <w:r>
                        <w:rPr>
                          <w:color w:val="FFFFFF"/>
                        </w:rPr>
                        <w:t xml:space="preserve"> Support</w:t>
                      </w:r>
                      <w:r w:rsidRPr="00182CCE">
                        <w:rPr>
                          <w:color w:val="FFFFFF"/>
                        </w:rPr>
                        <w:t xml:space="preserve"> </w:t>
                      </w:r>
                      <w:r>
                        <w:rPr>
                          <w:color w:val="FFFFFF"/>
                        </w:rPr>
                        <w:t>S</w:t>
                      </w:r>
                      <w:r w:rsidRPr="00182CCE">
                        <w:rPr>
                          <w:color w:val="FFFFFF"/>
                        </w:rPr>
                        <w:t xml:space="preserve">ystem </w:t>
                      </w:r>
                    </w:p>
                    <w:p w14:paraId="5BFC1108" w14:textId="6D78EF78" w:rsidR="004E0346" w:rsidRPr="001025D3" w:rsidRDefault="00B01A15" w:rsidP="004E0346">
                      <w:pPr>
                        <w:pStyle w:val="Subtitle"/>
                        <w:jc w:val="left"/>
                        <w:rPr>
                          <w:b/>
                          <w:bCs w:val="0"/>
                          <w:color w:val="FFFFFF"/>
                          <w:sz w:val="32"/>
                          <w:szCs w:val="24"/>
                        </w:rPr>
                      </w:pPr>
                      <w:r>
                        <w:rPr>
                          <w:color w:val="FFFFFF"/>
                          <w:sz w:val="32"/>
                          <w:szCs w:val="24"/>
                        </w:rPr>
                        <w:t>FINAL</w:t>
                      </w:r>
                    </w:p>
                    <w:p w14:paraId="702636AC" w14:textId="77777777" w:rsidR="004E0346" w:rsidRPr="004E0346" w:rsidRDefault="004E0346" w:rsidP="004E0346"/>
                    <w:p w14:paraId="67F06E80" w14:textId="28C26F73" w:rsidR="00F939BC" w:rsidRPr="007A6EC4" w:rsidRDefault="004E0346" w:rsidP="007A6EC4">
                      <w:pPr>
                        <w:pStyle w:val="Intro"/>
                        <w:rPr>
                          <w:color w:val="FFFFFF"/>
                        </w:rPr>
                      </w:pPr>
                      <w:r>
                        <w:rPr>
                          <w:color w:val="FFFFFF"/>
                        </w:rPr>
                        <w:t>ACT Commissioning for Outcomes 2022- 2024</w:t>
                      </w:r>
                      <w:bookmarkEnd w:id="1"/>
                    </w:p>
                  </w:txbxContent>
                </v:textbox>
                <w10:wrap anchorx="margin"/>
              </v:shape>
            </w:pict>
          </mc:Fallback>
        </mc:AlternateContent>
      </w:r>
      <w:r>
        <w:rPr>
          <w:noProof/>
        </w:rPr>
        <w:drawing>
          <wp:anchor distT="0" distB="0" distL="114300" distR="114300" simplePos="0" relativeHeight="251657215" behindDoc="1" locked="0" layoutInCell="1" allowOverlap="1" wp14:anchorId="7838AA5C" wp14:editId="600E0698">
            <wp:simplePos x="0" y="0"/>
            <wp:positionH relativeFrom="column">
              <wp:posOffset>-354965</wp:posOffset>
            </wp:positionH>
            <wp:positionV relativeFrom="paragraph">
              <wp:posOffset>-358140</wp:posOffset>
            </wp:positionV>
            <wp:extent cx="6885305" cy="10690225"/>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1" r:link="rId12">
                      <a:extLst>
                        <a:ext uri="{28A0092B-C50C-407E-A947-70E740481C1C}">
                          <a14:useLocalDpi xmlns:a14="http://schemas.microsoft.com/office/drawing/2010/main" val="0"/>
                        </a:ext>
                      </a:extLst>
                    </a:blip>
                    <a:stretch>
                      <a:fillRect/>
                    </a:stretch>
                  </pic:blipFill>
                  <pic:spPr>
                    <a:xfrm>
                      <a:off x="0" y="0"/>
                      <a:ext cx="6885305" cy="10690225"/>
                    </a:xfrm>
                    <a:prstGeom prst="rect">
                      <a:avLst/>
                    </a:prstGeom>
                  </pic:spPr>
                </pic:pic>
              </a:graphicData>
            </a:graphic>
            <wp14:sizeRelH relativeFrom="page">
              <wp14:pctWidth>0</wp14:pctWidth>
            </wp14:sizeRelH>
            <wp14:sizeRelV relativeFrom="page">
              <wp14:pctHeight>0</wp14:pctHeight>
            </wp14:sizeRelV>
          </wp:anchor>
        </w:drawing>
      </w:r>
      <w:r w:rsidR="007227F0">
        <w:rPr>
          <w:noProof/>
          <w:color w:val="000000" w:themeColor="text1"/>
        </w:rPr>
        <w:drawing>
          <wp:anchor distT="0" distB="0" distL="114300" distR="114300" simplePos="0" relativeHeight="251658240" behindDoc="0" locked="0" layoutInCell="1" allowOverlap="1" wp14:anchorId="61CEEF2A" wp14:editId="6F918CC7">
            <wp:simplePos x="0" y="0"/>
            <wp:positionH relativeFrom="margin">
              <wp:align>left</wp:align>
            </wp:positionH>
            <wp:positionV relativeFrom="paragraph">
              <wp:posOffset>187325</wp:posOffset>
            </wp:positionV>
            <wp:extent cx="1753235" cy="890270"/>
            <wp:effectExtent l="0" t="0" r="0" b="0"/>
            <wp:wrapNone/>
            <wp:docPr id="16" name="Picture 16" descr="ACT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CT Government crest"/>
                    <pic:cNvPicPr/>
                  </pic:nvPicPr>
                  <pic:blipFill>
                    <a:blip r:embed="rId13">
                      <a:extLst>
                        <a:ext uri="{28A0092B-C50C-407E-A947-70E740481C1C}">
                          <a14:useLocalDpi xmlns:a14="http://schemas.microsoft.com/office/drawing/2010/main" val="0"/>
                        </a:ext>
                      </a:extLst>
                    </a:blip>
                    <a:stretch>
                      <a:fillRect/>
                    </a:stretch>
                  </pic:blipFill>
                  <pic:spPr>
                    <a:xfrm>
                      <a:off x="0" y="0"/>
                      <a:ext cx="1753235" cy="890422"/>
                    </a:xfrm>
                    <a:prstGeom prst="rect">
                      <a:avLst/>
                    </a:prstGeom>
                  </pic:spPr>
                </pic:pic>
              </a:graphicData>
            </a:graphic>
            <wp14:sizeRelH relativeFrom="page">
              <wp14:pctWidth>0</wp14:pctWidth>
            </wp14:sizeRelH>
            <wp14:sizeRelV relativeFrom="page">
              <wp14:pctHeight>0</wp14:pctHeight>
            </wp14:sizeRelV>
          </wp:anchor>
        </w:drawing>
      </w:r>
      <w:r w:rsidR="00D33CD9">
        <w:rPr>
          <w:b/>
          <w:caps/>
          <w:noProof/>
          <w:color w:val="000000" w:themeColor="text1"/>
          <w:sz w:val="44"/>
        </w:rPr>
        <mc:AlternateContent>
          <mc:Choice Requires="wps">
            <w:drawing>
              <wp:anchor distT="0" distB="0" distL="114300" distR="114300" simplePos="0" relativeHeight="251661312" behindDoc="0" locked="0" layoutInCell="1" allowOverlap="1" wp14:anchorId="5C356A46" wp14:editId="504857AE">
                <wp:simplePos x="0" y="0"/>
                <wp:positionH relativeFrom="column">
                  <wp:posOffset>-51435</wp:posOffset>
                </wp:positionH>
                <wp:positionV relativeFrom="paragraph">
                  <wp:posOffset>8962390</wp:posOffset>
                </wp:positionV>
                <wp:extent cx="5080000" cy="4572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5080000" cy="457200"/>
                        </a:xfrm>
                        <a:prstGeom prst="rect">
                          <a:avLst/>
                        </a:prstGeom>
                        <a:noFill/>
                        <a:ln w="6350">
                          <a:noFill/>
                        </a:ln>
                      </wps:spPr>
                      <wps:txbx>
                        <w:txbxContent>
                          <w:p w14:paraId="3302ED16" w14:textId="40E935D5" w:rsidR="00222C35" w:rsidRPr="00825C83" w:rsidRDefault="007A6EC4" w:rsidP="008F4C1C">
                            <w:pPr>
                              <w:pStyle w:val="Directoratename"/>
                            </w:pPr>
                            <w:r>
                              <w:t>Community Services Directorate</w:t>
                            </w:r>
                          </w:p>
                          <w:p w14:paraId="124E2BF4" w14:textId="77777777" w:rsidR="006F5BF2" w:rsidRDefault="006F5BF2"/>
                          <w:p w14:paraId="6216E613" w14:textId="5BF8E3A4" w:rsidR="00222C35" w:rsidRPr="00825C83" w:rsidRDefault="007A6EC4" w:rsidP="008F4C1C">
                            <w:pPr>
                              <w:pStyle w:val="Directoratename"/>
                            </w:pPr>
                            <w:proofErr w:type="spellStart"/>
                            <w:r>
                              <w:t>ity</w:t>
                            </w:r>
                            <w:proofErr w:type="spellEnd"/>
                            <w:r>
                              <w:t xml:space="preserve"> Services Directorate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56A46" id="Text Box 25" o:spid="_x0000_s1027" type="#_x0000_t202" style="position:absolute;margin-left:-4.05pt;margin-top:705.7pt;width:400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Em9FwIAADMEAAAOAAAAZHJzL2Uyb0RvYy54bWysU8tu2zAQvBfoPxC815JTO00Ey4GbwEWB&#10;IAngFDnTFGkJoLjskrbkfn2XlF9IeyqqA7XkLvcxM5zd9a1hO4W+AVvy8SjnTFkJVWM3Jf/xuvx0&#10;w5kPwlbCgFUl3yvP7+YfP8w6V6grqMFUChklsb7oXMnrEFyRZV7WqhV+BE5ZcmrAVgTa4iarUHSU&#10;vTXZVZ5fZx1g5RCk8p5OHwYnn6f8WisZnrX2KjBTcuotpBXTuo5rNp+JYoPC1Y08tCH+oYtWNJaK&#10;nlI9iCDYFps/UrWNRPCgw0hCm4HWjVRpBppmnL+bZlULp9IsBI53J5j8/0srn3Yr94Is9F+hJwIj&#10;IJ3zhafDOE+vsY1/6pSRnyDcn2BTfWCSDqf5TU4fZ5J8k+kX4iWmyc63HfrwTUHLolFyJFoSWmL3&#10;6MMQegyJxSwsG2MSNcayruTXn6d5unDyUHJjqca512iFft2zprqYYw3VnsZDGJj3Ti4b6uFR+PAi&#10;kKimtkm+4ZkWbYBqwcHirAb89bfzGE8MkJezjqRTcv9zK1BxZr5b4uZ2PJlEraVNwoMzvPSsLz12&#10;294DqXNMD8XJZNJlDOZoaoT2jVS+iFXJJayk2iUPR/M+DIKmVyLVYpGCSF1OhEe7cjKmjqhGhF/7&#10;N4HuQEMgAp/gKDJRvGNjiB34WGwD6CZRFXEeUD3AT8pMZB9eUZT+5T5Fnd/6/DcAAAD//wMAUEsD&#10;BBQABgAIAAAAIQAACVWG4wAAAAwBAAAPAAAAZHJzL2Rvd25yZXYueG1sTI/LTsMwEEX3SPyDNUjs&#10;WsclQBriVFWkCgnBoqUbdpN4mkT4EWK3DXw97gqWc+fozpliNRnNTjT63lkJYp4AI9s41dtWwv59&#10;M8uA+YBWoXaWJHyTh1V5fVVgrtzZbum0Cy2LJdbnKKELYcg5901HBv3cDWTj7uBGgyGOY8vViOdY&#10;bjRfJMkDN9jbeKHDgaqOms/d0Uh4qTZvuK0XJvvR1fPrYT187T/upby9mdZPwAJN4Q+Gi35UhzI6&#10;1e5olWdawiwTkYx5KkQKLBKPS7EEVl+i7C4FXhb8/xPlLwAAAP//AwBQSwECLQAUAAYACAAAACEA&#10;toM4kv4AAADhAQAAEwAAAAAAAAAAAAAAAAAAAAAAW0NvbnRlbnRfVHlwZXNdLnhtbFBLAQItABQA&#10;BgAIAAAAIQA4/SH/1gAAAJQBAAALAAAAAAAAAAAAAAAAAC8BAABfcmVscy8ucmVsc1BLAQItABQA&#10;BgAIAAAAIQDQ6Em9FwIAADMEAAAOAAAAAAAAAAAAAAAAAC4CAABkcnMvZTJvRG9jLnhtbFBLAQIt&#10;ABQABgAIAAAAIQAACVWG4wAAAAwBAAAPAAAAAAAAAAAAAAAAAHEEAABkcnMvZG93bnJldi54bWxQ&#10;SwUGAAAAAAQABADzAAAAgQUAAAAA&#10;" filled="f" stroked="f" strokeweight=".5pt">
                <v:textbox>
                  <w:txbxContent>
                    <w:p w14:paraId="3302ED16" w14:textId="40E935D5" w:rsidR="00222C35" w:rsidRPr="00825C83" w:rsidRDefault="007A6EC4" w:rsidP="008F4C1C">
                      <w:pPr>
                        <w:pStyle w:val="Directoratename"/>
                      </w:pPr>
                      <w:r>
                        <w:t>Community Services Directorate</w:t>
                      </w:r>
                    </w:p>
                    <w:p w14:paraId="124E2BF4" w14:textId="77777777" w:rsidR="006F5BF2" w:rsidRDefault="006F5BF2"/>
                    <w:p w14:paraId="6216E613" w14:textId="5BF8E3A4" w:rsidR="00222C35" w:rsidRPr="00825C83" w:rsidRDefault="007A6EC4" w:rsidP="008F4C1C">
                      <w:pPr>
                        <w:pStyle w:val="Directoratename"/>
                      </w:pPr>
                      <w:proofErr w:type="spellStart"/>
                      <w:r>
                        <w:t>ity</w:t>
                      </w:r>
                      <w:proofErr w:type="spellEnd"/>
                      <w:r>
                        <w:t xml:space="preserve"> Services Directorate</w:t>
                      </w:r>
                    </w:p>
                  </w:txbxContent>
                </v:textbox>
              </v:shape>
            </w:pict>
          </mc:Fallback>
        </mc:AlternateContent>
      </w:r>
      <w:bookmarkStart w:id="2" w:name="OLE_LINK2"/>
      <w:bookmarkEnd w:id="2"/>
      <w:r w:rsidR="005E69BD">
        <w:br w:type="page"/>
      </w:r>
    </w:p>
    <w:p w14:paraId="2926E197" w14:textId="77777777" w:rsidR="009266DD" w:rsidRDefault="009266DD" w:rsidP="00825C83">
      <w:pPr>
        <w:pStyle w:val="Heading1"/>
        <w:sectPr w:rsidR="009266DD" w:rsidSect="00F51125">
          <w:headerReference w:type="even" r:id="rId14"/>
          <w:footerReference w:type="even" r:id="rId15"/>
          <w:footerReference w:type="default" r:id="rId16"/>
          <w:type w:val="continuous"/>
          <w:pgSz w:w="11907" w:h="16840" w:code="9"/>
          <w:pgMar w:top="1134" w:right="1134" w:bottom="1701" w:left="1134" w:header="567" w:footer="254" w:gutter="0"/>
          <w:cols w:num="2" w:space="720"/>
          <w:titlePg/>
          <w:docGrid w:linePitch="299"/>
        </w:sectPr>
      </w:pPr>
    </w:p>
    <w:p w14:paraId="541A5482" w14:textId="77777777" w:rsidR="004E0346" w:rsidRPr="004E0346" w:rsidRDefault="004E0346" w:rsidP="004E0346">
      <w:pPr>
        <w:pStyle w:val="TOC1"/>
        <w:rPr>
          <w:color w:val="7030A0"/>
        </w:rPr>
      </w:pPr>
      <w:r w:rsidRPr="004E0346">
        <w:rPr>
          <w:color w:val="7030A0"/>
        </w:rPr>
        <w:lastRenderedPageBreak/>
        <w:t>Contents</w:t>
      </w:r>
    </w:p>
    <w:p w14:paraId="1128EF53" w14:textId="1DDECB55" w:rsidR="004E0346" w:rsidRPr="004E0346" w:rsidRDefault="004E0346" w:rsidP="004E0346">
      <w:pPr>
        <w:pStyle w:val="TOC1"/>
        <w:rPr>
          <w:rFonts w:eastAsiaTheme="minorEastAsia" w:cstheme="minorBidi"/>
          <w:b w:val="0"/>
          <w:caps w:val="0"/>
          <w:color w:val="7030A0"/>
          <w:kern w:val="2"/>
          <w:sz w:val="22"/>
          <w:szCs w:val="22"/>
          <w14:ligatures w14:val="standardContextual"/>
        </w:rPr>
      </w:pPr>
      <w:r w:rsidRPr="004E0346">
        <w:rPr>
          <w:color w:val="7030A0"/>
        </w:rPr>
        <w:fldChar w:fldCharType="begin"/>
      </w:r>
      <w:r w:rsidRPr="004E0346">
        <w:rPr>
          <w:color w:val="7030A0"/>
        </w:rPr>
        <w:instrText xml:space="preserve"> TOC \o "1-4" \u </w:instrText>
      </w:r>
      <w:r w:rsidRPr="004E0346">
        <w:rPr>
          <w:color w:val="7030A0"/>
        </w:rPr>
        <w:fldChar w:fldCharType="separate"/>
      </w:r>
      <w:r w:rsidRPr="004E0346">
        <w:rPr>
          <w:color w:val="7030A0"/>
        </w:rPr>
        <w:t>1.</w:t>
      </w:r>
      <w:r w:rsidRPr="004E0346">
        <w:rPr>
          <w:rFonts w:eastAsiaTheme="minorEastAsia" w:cstheme="minorBidi"/>
          <w:b w:val="0"/>
          <w:caps w:val="0"/>
          <w:color w:val="7030A0"/>
          <w:kern w:val="2"/>
          <w:sz w:val="22"/>
          <w:szCs w:val="22"/>
          <w14:ligatures w14:val="standardContextual"/>
        </w:rPr>
        <w:tab/>
      </w:r>
      <w:r w:rsidRPr="004E0346">
        <w:rPr>
          <w:color w:val="7030A0"/>
        </w:rPr>
        <w:t>Commissioning</w:t>
      </w:r>
      <w:r w:rsidRPr="004E0346">
        <w:rPr>
          <w:color w:val="7030A0"/>
        </w:rPr>
        <w:tab/>
      </w:r>
      <w:r w:rsidR="007A6EC4">
        <w:rPr>
          <w:color w:val="7030A0"/>
        </w:rPr>
        <w:t>3</w:t>
      </w:r>
    </w:p>
    <w:p w14:paraId="6A71EC70" w14:textId="1F4BA1A8" w:rsidR="004E0346" w:rsidRPr="004E0346" w:rsidRDefault="004E0346" w:rsidP="004E0346">
      <w:pPr>
        <w:pStyle w:val="TOC1"/>
        <w:rPr>
          <w:rFonts w:eastAsiaTheme="minorEastAsia" w:cstheme="minorBidi"/>
          <w:b w:val="0"/>
          <w:caps w:val="0"/>
          <w:color w:val="7030A0"/>
          <w:kern w:val="2"/>
          <w:sz w:val="22"/>
          <w:szCs w:val="22"/>
          <w14:ligatures w14:val="standardContextual"/>
        </w:rPr>
      </w:pPr>
      <w:r w:rsidRPr="004E0346">
        <w:rPr>
          <w:color w:val="7030A0"/>
        </w:rPr>
        <w:t>2.</w:t>
      </w:r>
      <w:r w:rsidRPr="004E0346">
        <w:rPr>
          <w:rFonts w:eastAsiaTheme="minorEastAsia" w:cstheme="minorBidi"/>
          <w:b w:val="0"/>
          <w:caps w:val="0"/>
          <w:color w:val="7030A0"/>
          <w:kern w:val="2"/>
          <w:sz w:val="22"/>
          <w:szCs w:val="22"/>
          <w14:ligatures w14:val="standardContextual"/>
        </w:rPr>
        <w:tab/>
      </w:r>
      <w:r w:rsidRPr="004E0346">
        <w:rPr>
          <w:color w:val="7030A0"/>
        </w:rPr>
        <w:t>Report purpose</w:t>
      </w:r>
      <w:r w:rsidRPr="004E0346">
        <w:rPr>
          <w:color w:val="7030A0"/>
        </w:rPr>
        <w:tab/>
      </w:r>
      <w:r w:rsidR="007A6EC4">
        <w:rPr>
          <w:color w:val="7030A0"/>
        </w:rPr>
        <w:t>4</w:t>
      </w:r>
    </w:p>
    <w:p w14:paraId="2F8861C0" w14:textId="4C78E442" w:rsidR="004E0346" w:rsidRPr="004E0346" w:rsidRDefault="004E0346" w:rsidP="004E0346">
      <w:pPr>
        <w:pStyle w:val="TOC1"/>
        <w:rPr>
          <w:rFonts w:eastAsiaTheme="minorEastAsia" w:cstheme="minorBidi"/>
          <w:b w:val="0"/>
          <w:caps w:val="0"/>
          <w:color w:val="7030A0"/>
          <w:kern w:val="2"/>
          <w:sz w:val="22"/>
          <w:szCs w:val="22"/>
          <w14:ligatures w14:val="standardContextual"/>
        </w:rPr>
      </w:pPr>
      <w:r w:rsidRPr="004E0346">
        <w:rPr>
          <w:color w:val="7030A0"/>
        </w:rPr>
        <w:t>3.</w:t>
      </w:r>
      <w:r w:rsidRPr="004E0346">
        <w:rPr>
          <w:rFonts w:eastAsiaTheme="minorEastAsia" w:cstheme="minorBidi"/>
          <w:b w:val="0"/>
          <w:caps w:val="0"/>
          <w:color w:val="7030A0"/>
          <w:kern w:val="2"/>
          <w:sz w:val="22"/>
          <w:szCs w:val="22"/>
          <w14:ligatures w14:val="standardContextual"/>
        </w:rPr>
        <w:tab/>
      </w:r>
      <w:r w:rsidRPr="004E0346">
        <w:rPr>
          <w:color w:val="7030A0"/>
        </w:rPr>
        <w:t>Reform landscape</w:t>
      </w:r>
      <w:r w:rsidRPr="004E0346">
        <w:rPr>
          <w:color w:val="7030A0"/>
        </w:rPr>
        <w:tab/>
      </w:r>
      <w:r w:rsidR="007A6EC4">
        <w:rPr>
          <w:color w:val="7030A0"/>
        </w:rPr>
        <w:t>5</w:t>
      </w:r>
    </w:p>
    <w:p w14:paraId="1E1ACD28" w14:textId="37D60674" w:rsidR="004E0346" w:rsidRPr="004E0346" w:rsidRDefault="004E0346" w:rsidP="004E0346">
      <w:pPr>
        <w:pStyle w:val="TOC1"/>
        <w:rPr>
          <w:rFonts w:eastAsiaTheme="minorEastAsia" w:cstheme="minorBidi"/>
          <w:b w:val="0"/>
          <w:caps w:val="0"/>
          <w:color w:val="7030A0"/>
          <w:kern w:val="2"/>
          <w:sz w:val="22"/>
          <w:szCs w:val="22"/>
          <w14:ligatures w14:val="standardContextual"/>
        </w:rPr>
      </w:pPr>
      <w:r w:rsidRPr="004E0346">
        <w:rPr>
          <w:color w:val="7030A0"/>
        </w:rPr>
        <w:t>4.</w:t>
      </w:r>
      <w:r w:rsidRPr="004E0346">
        <w:rPr>
          <w:rFonts w:eastAsiaTheme="minorEastAsia" w:cstheme="minorBidi"/>
          <w:b w:val="0"/>
          <w:caps w:val="0"/>
          <w:color w:val="7030A0"/>
          <w:kern w:val="2"/>
          <w:sz w:val="22"/>
          <w:szCs w:val="22"/>
          <w14:ligatures w14:val="standardContextual"/>
        </w:rPr>
        <w:tab/>
      </w:r>
      <w:r w:rsidRPr="004E0346">
        <w:rPr>
          <w:color w:val="7030A0"/>
        </w:rPr>
        <w:t>Insight and engagement summary</w:t>
      </w:r>
      <w:r w:rsidRPr="004E0346">
        <w:rPr>
          <w:color w:val="7030A0"/>
        </w:rPr>
        <w:tab/>
      </w:r>
      <w:r w:rsidRPr="004E0346">
        <w:rPr>
          <w:color w:val="7030A0"/>
        </w:rPr>
        <w:fldChar w:fldCharType="begin"/>
      </w:r>
      <w:r w:rsidRPr="004E0346">
        <w:rPr>
          <w:color w:val="7030A0"/>
        </w:rPr>
        <w:instrText xml:space="preserve"> PAGEREF _Toc152683325 \h </w:instrText>
      </w:r>
      <w:r w:rsidRPr="004E0346">
        <w:rPr>
          <w:color w:val="7030A0"/>
        </w:rPr>
      </w:r>
      <w:r w:rsidRPr="004E0346">
        <w:rPr>
          <w:color w:val="7030A0"/>
        </w:rPr>
        <w:fldChar w:fldCharType="separate"/>
      </w:r>
      <w:r w:rsidRPr="004E0346">
        <w:rPr>
          <w:color w:val="7030A0"/>
        </w:rPr>
        <w:t>1</w:t>
      </w:r>
      <w:r w:rsidR="007A6EC4">
        <w:rPr>
          <w:color w:val="7030A0"/>
        </w:rPr>
        <w:t>0</w:t>
      </w:r>
      <w:r w:rsidRPr="004E0346">
        <w:rPr>
          <w:color w:val="7030A0"/>
        </w:rPr>
        <w:fldChar w:fldCharType="end"/>
      </w:r>
    </w:p>
    <w:p w14:paraId="053D392C" w14:textId="77777777" w:rsidR="004E0346" w:rsidRPr="004E0346" w:rsidRDefault="004E0346" w:rsidP="004E0346">
      <w:pPr>
        <w:pStyle w:val="TOC1"/>
        <w:rPr>
          <w:color w:val="7030A0"/>
        </w:rPr>
      </w:pPr>
      <w:r w:rsidRPr="004E0346">
        <w:rPr>
          <w:color w:val="7030A0"/>
        </w:rPr>
        <w:t>5.</w:t>
      </w:r>
      <w:r w:rsidRPr="004E0346">
        <w:rPr>
          <w:rFonts w:eastAsiaTheme="minorEastAsia" w:cstheme="minorBidi"/>
          <w:b w:val="0"/>
          <w:caps w:val="0"/>
          <w:color w:val="7030A0"/>
          <w:kern w:val="2"/>
          <w:sz w:val="22"/>
          <w:szCs w:val="22"/>
          <w14:ligatures w14:val="standardContextual"/>
        </w:rPr>
        <w:tab/>
      </w:r>
      <w:r w:rsidRPr="004E0346">
        <w:rPr>
          <w:color w:val="7030A0"/>
        </w:rPr>
        <w:t>The future child, youth and families support system</w:t>
      </w:r>
      <w:r w:rsidRPr="004E0346">
        <w:rPr>
          <w:color w:val="7030A0"/>
        </w:rPr>
        <w:tab/>
      </w:r>
      <w:r w:rsidRPr="004E0346">
        <w:rPr>
          <w:color w:val="7030A0"/>
        </w:rPr>
        <w:fldChar w:fldCharType="begin"/>
      </w:r>
      <w:r w:rsidRPr="004E0346">
        <w:rPr>
          <w:color w:val="7030A0"/>
        </w:rPr>
        <w:instrText xml:space="preserve"> PAGEREF _Toc152683331 \h </w:instrText>
      </w:r>
      <w:r w:rsidRPr="004E0346">
        <w:rPr>
          <w:color w:val="7030A0"/>
        </w:rPr>
      </w:r>
      <w:r w:rsidRPr="004E0346">
        <w:rPr>
          <w:color w:val="7030A0"/>
        </w:rPr>
        <w:fldChar w:fldCharType="separate"/>
      </w:r>
      <w:r w:rsidRPr="004E0346">
        <w:rPr>
          <w:color w:val="7030A0"/>
        </w:rPr>
        <w:t>17</w:t>
      </w:r>
      <w:r w:rsidRPr="004E0346">
        <w:rPr>
          <w:color w:val="7030A0"/>
        </w:rPr>
        <w:fldChar w:fldCharType="end"/>
      </w:r>
      <w:r w:rsidRPr="004E0346">
        <w:rPr>
          <w:rFonts w:eastAsiaTheme="minorEastAsia" w:cstheme="minorBidi"/>
          <w:color w:val="7030A0"/>
          <w:kern w:val="2"/>
          <w:sz w:val="22"/>
          <w:szCs w:val="22"/>
          <w14:ligatures w14:val="standardContextual"/>
        </w:rPr>
        <w:t xml:space="preserve"> </w:t>
      </w:r>
    </w:p>
    <w:p w14:paraId="0D8E33E9" w14:textId="40C01420" w:rsidR="009266DD" w:rsidRDefault="004E0346" w:rsidP="007A6EC4">
      <w:pPr>
        <w:pStyle w:val="Heading1"/>
      </w:pPr>
      <w:r w:rsidRPr="004E0346">
        <w:rPr>
          <w:rFonts w:asciiTheme="majorHAnsi" w:hAnsiTheme="majorHAnsi"/>
          <w:caps/>
          <w:noProof/>
          <w:sz w:val="36"/>
          <w:szCs w:val="40"/>
        </w:rPr>
        <w:fldChar w:fldCharType="end"/>
      </w:r>
      <w:r>
        <w:br w:type="page"/>
      </w:r>
    </w:p>
    <w:p w14:paraId="44EAD7F9" w14:textId="5D0CF1BA" w:rsidR="004E0346" w:rsidRDefault="004E0346" w:rsidP="004E0346">
      <w:pPr>
        <w:pStyle w:val="Heading1"/>
      </w:pPr>
      <w:r w:rsidRPr="004E0346">
        <w:lastRenderedPageBreak/>
        <w:t>1.</w:t>
      </w:r>
      <w:r w:rsidRPr="004E0346">
        <w:tab/>
        <w:t>Commissioning</w:t>
      </w:r>
    </w:p>
    <w:p w14:paraId="01FBE769" w14:textId="77777777" w:rsidR="004E0346" w:rsidRPr="004E0346" w:rsidRDefault="004E0346" w:rsidP="004E0346">
      <w:pPr>
        <w:spacing w:beforeLines="60" w:before="144" w:afterLines="60" w:after="144"/>
        <w:rPr>
          <w:szCs w:val="22"/>
          <w:lang w:eastAsia="en-AU"/>
        </w:rPr>
      </w:pPr>
      <w:r w:rsidRPr="004E0346">
        <w:rPr>
          <w:szCs w:val="22"/>
          <w:lang w:eastAsia="en-AU"/>
        </w:rPr>
        <w:t>Commissioning is a new way of designing, funding, and delivering a fit for purpose human services system within the ACT. It is a methodology that ensures our system, and the services and programs within it, are meeting the needs of our community.</w:t>
      </w:r>
    </w:p>
    <w:p w14:paraId="37E95CB8" w14:textId="565AE211" w:rsidR="004E0346" w:rsidRPr="004E0346" w:rsidRDefault="004E0346" w:rsidP="004E0346">
      <w:pPr>
        <w:spacing w:beforeLines="60" w:before="144" w:afterLines="60" w:after="144"/>
        <w:rPr>
          <w:szCs w:val="22"/>
          <w:lang w:eastAsia="en-AU"/>
        </w:rPr>
      </w:pPr>
      <w:r w:rsidRPr="004E0346">
        <w:rPr>
          <w:szCs w:val="22"/>
          <w:lang w:eastAsia="en-AU"/>
        </w:rPr>
        <w:t xml:space="preserve">By working together through Commissioning, we will ensure our human services system is meeting </w:t>
      </w:r>
      <w:r w:rsidR="00EC5326">
        <w:rPr>
          <w:szCs w:val="22"/>
          <w:lang w:eastAsia="en-AU"/>
        </w:rPr>
        <w:t xml:space="preserve">the identified </w:t>
      </w:r>
      <w:r w:rsidRPr="004E0346">
        <w:rPr>
          <w:szCs w:val="22"/>
          <w:lang w:eastAsia="en-AU"/>
        </w:rPr>
        <w:t xml:space="preserve">needs of Canberrans. The ACT Government </w:t>
      </w:r>
      <w:r w:rsidR="007D412F">
        <w:rPr>
          <w:szCs w:val="22"/>
          <w:lang w:eastAsia="en-AU"/>
        </w:rPr>
        <w:t xml:space="preserve">has been working towards fully implementing the intent of commissioning </w:t>
      </w:r>
      <w:r w:rsidRPr="004E0346">
        <w:rPr>
          <w:szCs w:val="22"/>
          <w:lang w:eastAsia="en-AU"/>
        </w:rPr>
        <w:t xml:space="preserve">with the aim </w:t>
      </w:r>
      <w:r w:rsidR="007D412F">
        <w:rPr>
          <w:szCs w:val="22"/>
          <w:lang w:eastAsia="en-AU"/>
        </w:rPr>
        <w:t xml:space="preserve">that </w:t>
      </w:r>
      <w:r w:rsidRPr="004E0346">
        <w:rPr>
          <w:szCs w:val="22"/>
          <w:lang w:eastAsia="en-AU"/>
        </w:rPr>
        <w:t xml:space="preserve">Commissioning will transform our human services system and the relationships, services, and programs within it to: </w:t>
      </w:r>
    </w:p>
    <w:p w14:paraId="0E96D3D1" w14:textId="77777777" w:rsidR="004E0346" w:rsidRDefault="004E0346" w:rsidP="004E0346">
      <w:pPr>
        <w:pStyle w:val="bullet10"/>
        <w:spacing w:before="30" w:after="30"/>
        <w:ind w:left="357" w:hanging="357"/>
      </w:pPr>
      <w:r>
        <w:t>Better respond to community need, both existing and emerging, through increased flexibility and opportunities for innovation.</w:t>
      </w:r>
    </w:p>
    <w:p w14:paraId="4B48C2A8" w14:textId="77777777" w:rsidR="004E0346" w:rsidRDefault="004E0346" w:rsidP="004E0346">
      <w:pPr>
        <w:pStyle w:val="bullet10"/>
        <w:spacing w:before="30" w:after="30"/>
        <w:ind w:left="357" w:hanging="357"/>
      </w:pPr>
      <w:r>
        <w:t xml:space="preserve">Improve integration across the service systems to support seamless and holistic care, and transitions between services. </w:t>
      </w:r>
    </w:p>
    <w:p w14:paraId="416076AE" w14:textId="77777777" w:rsidR="004E0346" w:rsidRDefault="004E0346" w:rsidP="004E0346">
      <w:pPr>
        <w:pStyle w:val="bullet10"/>
        <w:spacing w:before="30" w:after="30"/>
        <w:ind w:left="357" w:hanging="357"/>
      </w:pPr>
      <w:r>
        <w:t xml:space="preserve">Reduce pressure on our hospitals and other crisis services, such as homelessness or statutory services for children, young people, and families, by prioritising prevention and early support. </w:t>
      </w:r>
    </w:p>
    <w:p w14:paraId="2CB5CE46" w14:textId="77777777" w:rsidR="004E0346" w:rsidRDefault="004E0346" w:rsidP="004E0346">
      <w:pPr>
        <w:pStyle w:val="bullet10"/>
        <w:spacing w:before="30" w:after="30"/>
        <w:ind w:left="357" w:hanging="357"/>
      </w:pPr>
      <w:r>
        <w:t>Improve equity in health and life outcomes for priority population groups, through commissioning decisions made about where and how to focus support.</w:t>
      </w:r>
    </w:p>
    <w:p w14:paraId="55B71DD5" w14:textId="77777777" w:rsidR="004E0346" w:rsidRDefault="004E0346" w:rsidP="004E0346">
      <w:pPr>
        <w:pStyle w:val="bullet10"/>
        <w:spacing w:before="30" w:after="30"/>
        <w:ind w:left="357" w:hanging="357"/>
      </w:pPr>
      <w:r>
        <w:t>Improve sector sustainability through closer partnerships and better understanding the needs of our service delivery partners.</w:t>
      </w:r>
    </w:p>
    <w:p w14:paraId="6D005C60" w14:textId="77777777" w:rsidR="004E0346" w:rsidRPr="004E0346" w:rsidRDefault="004E0346" w:rsidP="004E0346">
      <w:pPr>
        <w:spacing w:beforeLines="60" w:before="144" w:afterLines="60" w:after="144"/>
        <w:rPr>
          <w:szCs w:val="22"/>
          <w:lang w:eastAsia="en-AU"/>
        </w:rPr>
      </w:pPr>
      <w:r w:rsidRPr="004E0346">
        <w:rPr>
          <w:szCs w:val="22"/>
          <w:lang w:eastAsia="en-AU"/>
        </w:rPr>
        <w:t xml:space="preserve">Together, through the development of our Commissioning Approach, we identified our guiding principles. These principles aim to guide our behaviour and have underpinned each phase of commissioning. Importantly, they identify areas where we need to strengthen commissioning practice and experience. They are: </w:t>
      </w:r>
    </w:p>
    <w:p w14:paraId="41E4D393" w14:textId="77777777" w:rsidR="004E0346" w:rsidRDefault="004E0346" w:rsidP="004E0346">
      <w:pPr>
        <w:pStyle w:val="bullet10"/>
        <w:spacing w:before="30" w:after="30"/>
      </w:pPr>
      <w:r w:rsidRPr="00081170">
        <w:t>Purpose driven</w:t>
      </w:r>
      <w:r>
        <w:t>:</w:t>
      </w:r>
      <w:r w:rsidRPr="00F4179C">
        <w:t xml:space="preserve"> We are guided by shared outcomes, with a focus on problem solving and solutions, ensuring this work provides value to all stakeholders.</w:t>
      </w:r>
    </w:p>
    <w:p w14:paraId="02957C42" w14:textId="77777777" w:rsidR="004E0346" w:rsidRDefault="004E0346" w:rsidP="004E0346">
      <w:pPr>
        <w:pStyle w:val="bullet10"/>
        <w:spacing w:before="30" w:after="30"/>
      </w:pPr>
      <w:r w:rsidRPr="00F4179C">
        <w:t>Relationship focused</w:t>
      </w:r>
      <w:r>
        <w:t>:</w:t>
      </w:r>
      <w:r w:rsidRPr="00F4179C">
        <w:t xml:space="preserve"> We have just relationships which are based on commitments to respect, trust, care, concern, and dignity.</w:t>
      </w:r>
    </w:p>
    <w:p w14:paraId="3BCC98E3" w14:textId="77777777" w:rsidR="004E0346" w:rsidRDefault="004E0346" w:rsidP="004E0346">
      <w:pPr>
        <w:pStyle w:val="bullet10"/>
        <w:spacing w:before="30" w:after="30"/>
      </w:pPr>
      <w:r w:rsidRPr="00DA26E0">
        <w:t>Recognising complexity</w:t>
      </w:r>
      <w:r>
        <w:t xml:space="preserve">: </w:t>
      </w:r>
      <w:r w:rsidRPr="00DA26E0">
        <w:t>We develop understanding and solutions that respond to the dynamic and interconnected nature of complex problems and systems.</w:t>
      </w:r>
    </w:p>
    <w:p w14:paraId="33121D0D" w14:textId="77777777" w:rsidR="004E0346" w:rsidRDefault="004E0346" w:rsidP="004E0346">
      <w:pPr>
        <w:pStyle w:val="bullet10"/>
        <w:spacing w:before="30" w:after="30"/>
      </w:pPr>
      <w:r w:rsidRPr="00DA26E0">
        <w:t>Inclusive collaboration</w:t>
      </w:r>
      <w:r>
        <w:t xml:space="preserve">: </w:t>
      </w:r>
      <w:r w:rsidRPr="00DA26E0">
        <w:t>We effectively engage diverse participants in genuinely inclusive processes.</w:t>
      </w:r>
    </w:p>
    <w:p w14:paraId="58F14B5F" w14:textId="77777777" w:rsidR="004E0346" w:rsidRDefault="004E0346" w:rsidP="004E0346">
      <w:pPr>
        <w:pStyle w:val="bullet10"/>
        <w:spacing w:before="30" w:after="30"/>
      </w:pPr>
      <w:r w:rsidRPr="00DA26E0">
        <w:t>Communicative</w:t>
      </w:r>
      <w:r>
        <w:t xml:space="preserve">: </w:t>
      </w:r>
      <w:r w:rsidRPr="00DA26E0">
        <w:t>We engage in real dialogue. Our communication is grounded in genuinely listening and responding to the voices of all stakeholders.</w:t>
      </w:r>
    </w:p>
    <w:p w14:paraId="3BE55893" w14:textId="77777777" w:rsidR="004E0346" w:rsidRDefault="004E0346" w:rsidP="004E0346">
      <w:pPr>
        <w:pStyle w:val="bullet10"/>
        <w:spacing w:before="30" w:after="30"/>
      </w:pPr>
      <w:r w:rsidRPr="00DA26E0">
        <w:t>Deliberative</w:t>
      </w:r>
      <w:r>
        <w:t xml:space="preserve">: </w:t>
      </w:r>
      <w:r w:rsidRPr="00DA26E0">
        <w:t>We move away from traditional power imbalances toward shared decision-making processes informed by evidence, as well as other Territory strategies and plans.</w:t>
      </w:r>
    </w:p>
    <w:p w14:paraId="6883C9CE" w14:textId="77777777" w:rsidR="004E0346" w:rsidRDefault="004E0346" w:rsidP="004E0346">
      <w:pPr>
        <w:pStyle w:val="bullet10"/>
        <w:spacing w:before="30" w:after="30"/>
      </w:pPr>
      <w:r w:rsidRPr="00DA26E0">
        <w:t>Contextual and flexible</w:t>
      </w:r>
      <w:r>
        <w:t xml:space="preserve">: </w:t>
      </w:r>
      <w:r w:rsidRPr="00DA26E0">
        <w:t>There is no single way to go about commissioning. Each interaction will respond to complexity, cultural practices, safety, context, and the breadth of issues at hand.</w:t>
      </w:r>
    </w:p>
    <w:p w14:paraId="22E1CBD7" w14:textId="77777777" w:rsidR="004E0346" w:rsidRDefault="004E0346" w:rsidP="004E0346">
      <w:pPr>
        <w:pStyle w:val="bullet10"/>
        <w:spacing w:before="30" w:after="30"/>
      </w:pPr>
      <w:r w:rsidRPr="00DA26E0">
        <w:t>Value time and resources</w:t>
      </w:r>
      <w:r>
        <w:t xml:space="preserve">: </w:t>
      </w:r>
      <w:r w:rsidRPr="00DA26E0">
        <w:t>We are respectful of competing priorities and the need to use time and resources wisely.</w:t>
      </w:r>
    </w:p>
    <w:p w14:paraId="71DDD8B0" w14:textId="405C9F6E" w:rsidR="004E0346" w:rsidRPr="004E0346" w:rsidRDefault="004E0346" w:rsidP="004E0346">
      <w:pPr>
        <w:pStyle w:val="bullet10"/>
        <w:spacing w:before="0" w:after="160" w:line="259" w:lineRule="auto"/>
        <w:rPr>
          <w:rFonts w:ascii="Arial" w:hAnsi="Arial"/>
          <w:b/>
          <w:color w:val="7030A0"/>
          <w:kern w:val="28"/>
          <w:sz w:val="44"/>
        </w:rPr>
      </w:pPr>
      <w:r w:rsidRPr="00DA26E0">
        <w:t>Shared commitment</w:t>
      </w:r>
      <w:r>
        <w:t xml:space="preserve">: </w:t>
      </w:r>
      <w:r w:rsidRPr="00DA26E0">
        <w:t>We commit to meaningful change and learning through experience.</w:t>
      </w:r>
      <w:r w:rsidRPr="004E0346">
        <w:rPr>
          <w:rFonts w:ascii="Arial" w:hAnsi="Arial"/>
          <w:b/>
          <w:color w:val="7030A0"/>
          <w:kern w:val="28"/>
          <w:sz w:val="44"/>
        </w:rPr>
        <w:br w:type="page"/>
      </w:r>
    </w:p>
    <w:p w14:paraId="0DA45AE2" w14:textId="722C4DC7" w:rsidR="004E0346" w:rsidRDefault="004E0346" w:rsidP="004E0346">
      <w:pPr>
        <w:spacing w:before="0" w:after="160" w:line="259" w:lineRule="auto"/>
        <w:rPr>
          <w:rFonts w:ascii="Arial" w:hAnsi="Arial"/>
          <w:b/>
          <w:color w:val="7030A0"/>
          <w:kern w:val="28"/>
          <w:sz w:val="44"/>
        </w:rPr>
      </w:pPr>
      <w:r w:rsidRPr="004E0346">
        <w:rPr>
          <w:rFonts w:ascii="Arial" w:hAnsi="Arial"/>
          <w:b/>
          <w:color w:val="7030A0"/>
          <w:kern w:val="28"/>
          <w:sz w:val="44"/>
        </w:rPr>
        <w:t>2.</w:t>
      </w:r>
      <w:r w:rsidRPr="004E0346">
        <w:rPr>
          <w:rFonts w:ascii="Arial" w:hAnsi="Arial"/>
          <w:b/>
          <w:color w:val="7030A0"/>
          <w:kern w:val="28"/>
          <w:sz w:val="44"/>
        </w:rPr>
        <w:tab/>
        <w:t>Report purpose</w:t>
      </w:r>
    </w:p>
    <w:p w14:paraId="3CAE2F95" w14:textId="31FDE915" w:rsidR="004E0346" w:rsidRPr="004E0346" w:rsidRDefault="004E0346" w:rsidP="004E0346">
      <w:pPr>
        <w:spacing w:beforeLines="60" w:before="144" w:afterLines="60" w:after="144"/>
        <w:rPr>
          <w:szCs w:val="22"/>
          <w:lang w:eastAsia="en-AU"/>
        </w:rPr>
      </w:pPr>
      <w:r w:rsidRPr="004E0346">
        <w:rPr>
          <w:szCs w:val="22"/>
          <w:lang w:eastAsia="en-AU"/>
        </w:rPr>
        <w:t>While we began commissioning with a focus on existing funding streams, it has always been the intention to move to commissioning of systems and sectors. There are three main Commissioning streams</w:t>
      </w:r>
      <w:r w:rsidR="00EC5326">
        <w:rPr>
          <w:szCs w:val="22"/>
          <w:lang w:eastAsia="en-AU"/>
        </w:rPr>
        <w:t xml:space="preserve"> at this stage</w:t>
      </w:r>
      <w:r w:rsidRPr="004E0346">
        <w:rPr>
          <w:szCs w:val="22"/>
          <w:lang w:eastAsia="en-AU"/>
        </w:rPr>
        <w:t xml:space="preserve"> that will impact </w:t>
      </w:r>
      <w:proofErr w:type="gramStart"/>
      <w:r w:rsidRPr="004E0346">
        <w:rPr>
          <w:szCs w:val="22"/>
          <w:lang w:eastAsia="en-AU"/>
        </w:rPr>
        <w:t>community based</w:t>
      </w:r>
      <w:proofErr w:type="gramEnd"/>
      <w:r w:rsidRPr="004E0346">
        <w:rPr>
          <w:szCs w:val="22"/>
          <w:lang w:eastAsia="en-AU"/>
        </w:rPr>
        <w:t xml:space="preserve"> services to support children, young people and families (Child, Youth and Family Service System). These are: </w:t>
      </w:r>
    </w:p>
    <w:p w14:paraId="016437E8" w14:textId="77777777" w:rsidR="004E0346" w:rsidRDefault="004E0346" w:rsidP="004E0346">
      <w:pPr>
        <w:pStyle w:val="bullet10"/>
        <w:spacing w:before="30" w:after="30"/>
      </w:pPr>
      <w:r>
        <w:t>Raising the Minimum age of Criminal Responsibility (MACR)</w:t>
      </w:r>
    </w:p>
    <w:p w14:paraId="7CC16B69" w14:textId="77777777" w:rsidR="004E0346" w:rsidRPr="005269D9" w:rsidRDefault="004E0346" w:rsidP="004E0346">
      <w:pPr>
        <w:pStyle w:val="bullet10"/>
        <w:spacing w:before="30" w:after="30"/>
      </w:pPr>
      <w:r w:rsidRPr="005269D9">
        <w:t>Child, Youth and Family Services Program (CYFSP); and</w:t>
      </w:r>
    </w:p>
    <w:p w14:paraId="23429AD3" w14:textId="77777777" w:rsidR="004E0346" w:rsidRDefault="004E0346" w:rsidP="004E0346">
      <w:pPr>
        <w:pStyle w:val="bullet10"/>
        <w:spacing w:before="30" w:after="30"/>
      </w:pPr>
      <w:r w:rsidRPr="005269D9">
        <w:t xml:space="preserve">Child Protection, Out of Home Care and Support Services. </w:t>
      </w:r>
    </w:p>
    <w:p w14:paraId="4D3A6373" w14:textId="02798FC5" w:rsidR="004E0346" w:rsidRPr="004E0346" w:rsidRDefault="004E0346" w:rsidP="004E0346">
      <w:pPr>
        <w:spacing w:beforeLines="60" w:before="144" w:afterLines="60" w:after="144"/>
        <w:rPr>
          <w:szCs w:val="22"/>
          <w:lang w:eastAsia="en-AU"/>
        </w:rPr>
      </w:pPr>
      <w:r w:rsidRPr="004E0346">
        <w:rPr>
          <w:szCs w:val="22"/>
          <w:lang w:eastAsia="en-AU"/>
        </w:rPr>
        <w:t>We intend to progress commissioning across the Child, Youth and Family Support System</w:t>
      </w:r>
      <w:r w:rsidRPr="004E0346" w:rsidDel="00707437">
        <w:rPr>
          <w:szCs w:val="22"/>
          <w:lang w:eastAsia="en-AU"/>
        </w:rPr>
        <w:t xml:space="preserve"> </w:t>
      </w:r>
      <w:r w:rsidRPr="004E0346">
        <w:rPr>
          <w:szCs w:val="22"/>
          <w:lang w:eastAsia="en-AU"/>
        </w:rPr>
        <w:t xml:space="preserve">in a more integrated way.  </w:t>
      </w:r>
    </w:p>
    <w:p w14:paraId="5406019A" w14:textId="77777777" w:rsidR="004E0346" w:rsidRPr="004E0346" w:rsidRDefault="004E0346" w:rsidP="004E0346">
      <w:pPr>
        <w:spacing w:beforeLines="60" w:before="144" w:afterLines="60" w:after="144"/>
        <w:rPr>
          <w:szCs w:val="22"/>
          <w:lang w:eastAsia="en-AU"/>
        </w:rPr>
      </w:pPr>
      <w:r w:rsidRPr="004E0346">
        <w:rPr>
          <w:szCs w:val="22"/>
          <w:lang w:eastAsia="en-AU"/>
        </w:rPr>
        <w:t>This means:</w:t>
      </w:r>
    </w:p>
    <w:p w14:paraId="05784E16" w14:textId="77777777" w:rsidR="004E0346" w:rsidRPr="005269D9" w:rsidRDefault="004E0346" w:rsidP="004E0346">
      <w:pPr>
        <w:pStyle w:val="bullet10"/>
        <w:spacing w:before="30" w:after="30"/>
      </w:pPr>
      <w:r w:rsidRPr="005269D9">
        <w:t xml:space="preserve">engagement activities will be about the whole </w:t>
      </w:r>
      <w:r w:rsidRPr="00707437">
        <w:t>Child, Youth and Family S</w:t>
      </w:r>
      <w:r>
        <w:t>upport</w:t>
      </w:r>
      <w:r w:rsidRPr="00707437">
        <w:t xml:space="preserve"> System</w:t>
      </w:r>
      <w:r w:rsidRPr="005269D9">
        <w:t xml:space="preserve"> – the full spectrum of government and non-government services – while</w:t>
      </w:r>
      <w:r>
        <w:t xml:space="preserve"> at times</w:t>
      </w:r>
      <w:r w:rsidRPr="005269D9">
        <w:t xml:space="preserve"> they may have a greater focus on </w:t>
      </w:r>
      <w:r>
        <w:t>an</w:t>
      </w:r>
      <w:r w:rsidRPr="005269D9">
        <w:t xml:space="preserve"> individual </w:t>
      </w:r>
      <w:r>
        <w:t>element</w:t>
      </w:r>
      <w:r w:rsidRPr="005269D9">
        <w:t xml:space="preserve">, the information will be shared across </w:t>
      </w:r>
      <w:proofErr w:type="gramStart"/>
      <w:r w:rsidRPr="005269D9">
        <w:t>processes;</w:t>
      </w:r>
      <w:proofErr w:type="gramEnd"/>
    </w:p>
    <w:p w14:paraId="73584D00" w14:textId="77777777" w:rsidR="004E0346" w:rsidRPr="005269D9" w:rsidRDefault="004E0346" w:rsidP="004E0346">
      <w:pPr>
        <w:pStyle w:val="bullet10"/>
        <w:spacing w:before="30" w:after="30"/>
      </w:pPr>
      <w:r w:rsidRPr="005269D9">
        <w:t xml:space="preserve">design of secondary services will be informed by the design phase already completed for the tertiary </w:t>
      </w:r>
      <w:proofErr w:type="gramStart"/>
      <w:r w:rsidRPr="005269D9">
        <w:t>system;</w:t>
      </w:r>
      <w:proofErr w:type="gramEnd"/>
    </w:p>
    <w:p w14:paraId="1D8EDCE2" w14:textId="77777777" w:rsidR="004E0346" w:rsidRDefault="004E0346" w:rsidP="004E0346">
      <w:pPr>
        <w:pStyle w:val="bullet10"/>
        <w:spacing w:before="30" w:after="30"/>
      </w:pPr>
      <w:r w:rsidRPr="005269D9">
        <w:t>opportunities for joint activities – such as joint governance, shared training – will be sought;</w:t>
      </w:r>
      <w:r>
        <w:t xml:space="preserve"> and </w:t>
      </w:r>
    </w:p>
    <w:p w14:paraId="0CBC8287" w14:textId="77777777" w:rsidR="004E0346" w:rsidRPr="005269D9" w:rsidRDefault="004E0346" w:rsidP="004E0346">
      <w:pPr>
        <w:pStyle w:val="bullet10"/>
        <w:spacing w:before="30" w:after="30"/>
      </w:pPr>
      <w:r>
        <w:t xml:space="preserve">commissioning will be the mechanism to shape the support system to respond to new challenges and policy directions, such as raising the Minimum Age of Criminal Responsibility and changes to the </w:t>
      </w:r>
      <w:r w:rsidRPr="004E0346">
        <w:t xml:space="preserve">Children and Young People Act </w:t>
      </w:r>
      <w:proofErr w:type="gramStart"/>
      <w:r w:rsidRPr="004E0346">
        <w:t>2008</w:t>
      </w:r>
      <w:r>
        <w:t>;</w:t>
      </w:r>
      <w:proofErr w:type="gramEnd"/>
      <w:r>
        <w:t xml:space="preserve"> </w:t>
      </w:r>
    </w:p>
    <w:p w14:paraId="36E81FE7" w14:textId="56D56D98" w:rsidR="004E0346" w:rsidRDefault="004E0346" w:rsidP="004E0346">
      <w:pPr>
        <w:spacing w:beforeLines="60" w:before="144" w:afterLines="60" w:after="144"/>
        <w:rPr>
          <w:szCs w:val="22"/>
          <w:lang w:eastAsia="en-AU"/>
        </w:rPr>
      </w:pPr>
      <w:r w:rsidRPr="004E0346">
        <w:rPr>
          <w:szCs w:val="22"/>
          <w:lang w:eastAsia="en-AU"/>
        </w:rPr>
        <w:t xml:space="preserve">This combined insight report sets out what the Community Service Directorate has heard across commissioning streams and outlines the alignment of these insights and how these are informing the future state of the children, youth and families service system. </w:t>
      </w:r>
    </w:p>
    <w:p w14:paraId="54DA314A" w14:textId="77777777" w:rsidR="004E0346" w:rsidRDefault="004E0346">
      <w:pPr>
        <w:spacing w:before="0" w:after="160" w:line="259" w:lineRule="auto"/>
        <w:rPr>
          <w:szCs w:val="22"/>
          <w:lang w:eastAsia="en-AU"/>
        </w:rPr>
      </w:pPr>
      <w:r>
        <w:rPr>
          <w:szCs w:val="22"/>
          <w:lang w:eastAsia="en-AU"/>
        </w:rPr>
        <w:br w:type="page"/>
      </w:r>
    </w:p>
    <w:p w14:paraId="4672C9A2" w14:textId="2F1621BC" w:rsidR="004E0346" w:rsidRDefault="004E0346" w:rsidP="004E0346">
      <w:pPr>
        <w:spacing w:before="0" w:after="160" w:line="259" w:lineRule="auto"/>
        <w:rPr>
          <w:rFonts w:ascii="Arial" w:hAnsi="Arial"/>
          <w:b/>
          <w:color w:val="7030A0"/>
          <w:kern w:val="28"/>
          <w:sz w:val="44"/>
        </w:rPr>
      </w:pPr>
      <w:r w:rsidRPr="004E0346">
        <w:rPr>
          <w:rFonts w:ascii="Arial" w:hAnsi="Arial"/>
          <w:b/>
          <w:color w:val="7030A0"/>
          <w:kern w:val="28"/>
          <w:sz w:val="44"/>
        </w:rPr>
        <w:t>3.</w:t>
      </w:r>
      <w:r w:rsidRPr="004E0346">
        <w:rPr>
          <w:rFonts w:ascii="Arial" w:hAnsi="Arial"/>
          <w:b/>
          <w:color w:val="7030A0"/>
          <w:kern w:val="28"/>
          <w:sz w:val="44"/>
        </w:rPr>
        <w:tab/>
        <w:t>Reform landscape</w:t>
      </w:r>
    </w:p>
    <w:p w14:paraId="111214B3" w14:textId="77777777" w:rsidR="004E0346" w:rsidRPr="004E0346" w:rsidRDefault="004E0346" w:rsidP="004E0346">
      <w:pPr>
        <w:spacing w:beforeLines="60" w:before="144" w:afterLines="60" w:after="144"/>
        <w:rPr>
          <w:szCs w:val="22"/>
          <w:lang w:eastAsia="en-AU"/>
        </w:rPr>
      </w:pPr>
      <w:r w:rsidRPr="004E0346">
        <w:rPr>
          <w:szCs w:val="22"/>
          <w:lang w:eastAsia="en-AU"/>
        </w:rPr>
        <w:t>The ACT Government is reforming child, youth and family services to ensure we strengthen families and keep children and young people safe and connected. The reform is focused on early support for children, young people and their families to facilitate positive life outcomes and ensure long-term wellbeing for our community.</w:t>
      </w:r>
    </w:p>
    <w:p w14:paraId="7DB0CE9F" w14:textId="6CA0BC5B" w:rsidR="004E0346" w:rsidRPr="004E0346" w:rsidRDefault="004E0346" w:rsidP="004E0346">
      <w:pPr>
        <w:pStyle w:val="Heading2"/>
      </w:pPr>
      <w:bookmarkStart w:id="3" w:name="_Toc149920352"/>
      <w:bookmarkStart w:id="4" w:name="_Toc150416678"/>
      <w:bookmarkStart w:id="5" w:name="_Toc150422150"/>
      <w:bookmarkStart w:id="6" w:name="_Toc152683317"/>
      <w:r w:rsidRPr="004E0346">
        <w:t>Next Step for Our Kids:</w:t>
      </w:r>
      <w:bookmarkEnd w:id="3"/>
      <w:bookmarkEnd w:id="4"/>
      <w:bookmarkEnd w:id="5"/>
      <w:bookmarkEnd w:id="6"/>
    </w:p>
    <w:p w14:paraId="02F3A16D" w14:textId="77777777" w:rsidR="004E0346" w:rsidRPr="004E0346" w:rsidRDefault="004E0346" w:rsidP="004E0346">
      <w:pPr>
        <w:spacing w:beforeLines="60" w:before="144" w:afterLines="60" w:after="144"/>
        <w:rPr>
          <w:szCs w:val="22"/>
          <w:lang w:eastAsia="en-AU"/>
        </w:rPr>
      </w:pPr>
      <w:r w:rsidRPr="004E0346">
        <w:rPr>
          <w:szCs w:val="22"/>
          <w:lang w:eastAsia="en-AU"/>
        </w:rPr>
        <w:t xml:space="preserve">Next Steps aims to recast the child protection and out of home care system from child protection to family support by shifting investment to the front end of the system </w:t>
      </w:r>
      <w:proofErr w:type="gramStart"/>
      <w:r w:rsidRPr="004E0346">
        <w:rPr>
          <w:szCs w:val="22"/>
          <w:lang w:eastAsia="en-AU"/>
        </w:rPr>
        <w:t>in order to</w:t>
      </w:r>
      <w:proofErr w:type="gramEnd"/>
      <w:r w:rsidRPr="004E0346">
        <w:rPr>
          <w:szCs w:val="22"/>
          <w:lang w:eastAsia="en-AU"/>
        </w:rPr>
        <w:t xml:space="preserve"> prevent and minimise entries to care and deliver earlier support for families. The Strategy prioritises:</w:t>
      </w:r>
    </w:p>
    <w:p w14:paraId="57848938" w14:textId="77777777" w:rsidR="004E0346" w:rsidRPr="00F15BFE" w:rsidRDefault="004E0346" w:rsidP="004E0346">
      <w:pPr>
        <w:pStyle w:val="bullet10"/>
        <w:spacing w:before="30" w:after="30"/>
      </w:pPr>
      <w:r w:rsidRPr="00F15BFE">
        <w:t xml:space="preserve">reducing the over-representation of Aboriginal and Torres Strait Islander children and young people by keeping them at home with their families and </w:t>
      </w:r>
      <w:proofErr w:type="gramStart"/>
      <w:r w:rsidRPr="00F15BFE">
        <w:t>community;</w:t>
      </w:r>
      <w:proofErr w:type="gramEnd"/>
      <w:r w:rsidRPr="00F15BFE">
        <w:t xml:space="preserve"> </w:t>
      </w:r>
    </w:p>
    <w:p w14:paraId="12911326" w14:textId="77777777" w:rsidR="004E0346" w:rsidRPr="00F15BFE" w:rsidRDefault="004E0346" w:rsidP="004E0346">
      <w:pPr>
        <w:pStyle w:val="bullet10"/>
        <w:spacing w:before="30" w:after="30"/>
      </w:pPr>
      <w:r w:rsidRPr="00F15BFE">
        <w:t xml:space="preserve">establishing a therapeutic, trauma-informed system augmented by restorative practices and the embedding of Cultural Safety, trauma aware and healing informed principles and </w:t>
      </w:r>
      <w:proofErr w:type="gramStart"/>
      <w:r w:rsidRPr="00F15BFE">
        <w:t>practices;</w:t>
      </w:r>
      <w:proofErr w:type="gramEnd"/>
      <w:r w:rsidRPr="00F15BFE">
        <w:t xml:space="preserve"> </w:t>
      </w:r>
    </w:p>
    <w:p w14:paraId="62984F33" w14:textId="77777777" w:rsidR="004E0346" w:rsidRPr="00F15BFE" w:rsidRDefault="004E0346" w:rsidP="004E0346">
      <w:pPr>
        <w:pStyle w:val="bullet10"/>
        <w:spacing w:before="30" w:after="30"/>
      </w:pPr>
      <w:r w:rsidRPr="00F15BFE">
        <w:t>implementing a diverse and inclusive system for Aboriginal and Torres Strait Islander people, people with disability, people from culturally and linguistically diverse backgrounds and LGBTIQ+ people; and</w:t>
      </w:r>
    </w:p>
    <w:p w14:paraId="4E2BBB24" w14:textId="06E4F358" w:rsidR="004E0346" w:rsidRDefault="004E0346" w:rsidP="004E0346">
      <w:pPr>
        <w:pStyle w:val="bullet10"/>
        <w:spacing w:before="30" w:after="30"/>
      </w:pPr>
      <w:r w:rsidRPr="00F15BFE">
        <w:t>maintaining permanency pathways to keep families together, and transitioning children and young people into permanent alternative homes through Enduring Parental Responsibility Orders or Adoption when they cannot return to their families safely.</w:t>
      </w:r>
    </w:p>
    <w:p w14:paraId="7EB730E9" w14:textId="77777777" w:rsidR="004E0346" w:rsidRPr="004E0346" w:rsidRDefault="004E0346" w:rsidP="004E0346">
      <w:pPr>
        <w:rPr>
          <w:szCs w:val="22"/>
          <w:lang w:eastAsia="en-AU"/>
        </w:rPr>
      </w:pPr>
      <w:r w:rsidRPr="004E0346">
        <w:rPr>
          <w:szCs w:val="22"/>
          <w:lang w:eastAsia="en-AU"/>
        </w:rPr>
        <w:t>This reform program is guided by a set of shared principles that will establish how government agencies interact with service providers and service users.</w:t>
      </w:r>
    </w:p>
    <w:p w14:paraId="54DC5CDE" w14:textId="77777777" w:rsidR="004E0346" w:rsidRPr="004E0346" w:rsidRDefault="004E0346" w:rsidP="004E0346">
      <w:pPr>
        <w:pStyle w:val="bullet10"/>
        <w:spacing w:before="30" w:after="30"/>
      </w:pPr>
      <w:r w:rsidRPr="004E0346">
        <w:rPr>
          <w:color w:val="7030A0"/>
          <w:sz w:val="26"/>
        </w:rPr>
        <w:t>Child, youth and family centred:</w:t>
      </w:r>
      <w:r w:rsidRPr="004E0346">
        <w:t xml:space="preserve"> </w:t>
      </w:r>
      <w:r>
        <w:t>ensures that the voices of children, young people and families are a central part of all decision making and that the service system is sensitive to their needs.</w:t>
      </w:r>
    </w:p>
    <w:p w14:paraId="24E3A52A" w14:textId="77777777" w:rsidR="004E0346" w:rsidRPr="004E0346" w:rsidRDefault="004E0346" w:rsidP="004E0346">
      <w:pPr>
        <w:pStyle w:val="bullet10"/>
        <w:spacing w:before="30" w:after="30"/>
      </w:pPr>
      <w:r w:rsidRPr="004E0346">
        <w:rPr>
          <w:color w:val="7030A0"/>
          <w:sz w:val="26"/>
        </w:rPr>
        <w:t>Evidence led:</w:t>
      </w:r>
      <w:r w:rsidRPr="004E0346">
        <w:t xml:space="preserve"> </w:t>
      </w:r>
      <w:r>
        <w:t>requires services to be based on current evidence around best practices in child and youth protection and early family support.</w:t>
      </w:r>
    </w:p>
    <w:p w14:paraId="4C44010B" w14:textId="77777777" w:rsidR="004E0346" w:rsidRPr="004E0346" w:rsidRDefault="004E0346" w:rsidP="004E0346">
      <w:pPr>
        <w:pStyle w:val="bullet10"/>
        <w:spacing w:before="30" w:after="30"/>
      </w:pPr>
      <w:r w:rsidRPr="004E0346">
        <w:rPr>
          <w:color w:val="7030A0"/>
          <w:sz w:val="26"/>
        </w:rPr>
        <w:t>Restorative:</w:t>
      </w:r>
      <w:r w:rsidRPr="004E0346">
        <w:t xml:space="preserve"> </w:t>
      </w:r>
      <w:r>
        <w:t>recognises that respectful relationships are central to people’s wellbeing and works with families to help them achieve their goals.</w:t>
      </w:r>
    </w:p>
    <w:p w14:paraId="67E8D318" w14:textId="77777777" w:rsidR="004E0346" w:rsidRPr="004E0346" w:rsidRDefault="004E0346" w:rsidP="004E0346">
      <w:pPr>
        <w:pStyle w:val="bullet10"/>
        <w:spacing w:before="30" w:after="30"/>
      </w:pPr>
      <w:r w:rsidRPr="004E0346">
        <w:rPr>
          <w:color w:val="7030A0"/>
          <w:sz w:val="26"/>
        </w:rPr>
        <w:t xml:space="preserve">Dignity </w:t>
      </w:r>
      <w:proofErr w:type="gramStart"/>
      <w:r w:rsidRPr="004E0346">
        <w:rPr>
          <w:color w:val="7030A0"/>
          <w:sz w:val="26"/>
        </w:rPr>
        <w:t>driven:</w:t>
      </w:r>
      <w:proofErr w:type="gramEnd"/>
      <w:r w:rsidRPr="004E0346">
        <w:t xml:space="preserve"> </w:t>
      </w:r>
      <w:r w:rsidRPr="000B723B">
        <w:t xml:space="preserve">understands the importance of </w:t>
      </w:r>
      <w:r>
        <w:t xml:space="preserve">individual </w:t>
      </w:r>
      <w:r w:rsidRPr="000B723B">
        <w:t xml:space="preserve">agency and </w:t>
      </w:r>
      <w:r>
        <w:t xml:space="preserve">autonomy </w:t>
      </w:r>
      <w:r w:rsidRPr="000B723B">
        <w:t xml:space="preserve">and </w:t>
      </w:r>
      <w:r>
        <w:t>supports children, young people and families engaged with the system to share power and decision making.</w:t>
      </w:r>
      <w:r w:rsidRPr="004E0346">
        <w:t xml:space="preserve"> </w:t>
      </w:r>
    </w:p>
    <w:p w14:paraId="69F72039" w14:textId="77777777" w:rsidR="004E0346" w:rsidRPr="004E0346" w:rsidRDefault="004E0346" w:rsidP="004E0346">
      <w:pPr>
        <w:pStyle w:val="bullet10"/>
        <w:spacing w:before="30" w:after="30"/>
      </w:pPr>
      <w:r w:rsidRPr="004E0346">
        <w:rPr>
          <w:color w:val="7030A0"/>
          <w:sz w:val="26"/>
        </w:rPr>
        <w:t>Trauma informed:</w:t>
      </w:r>
      <w:r w:rsidRPr="004E0346">
        <w:t xml:space="preserve"> </w:t>
      </w:r>
      <w:r w:rsidRPr="00A621DB">
        <w:t>addresses th</w:t>
      </w:r>
      <w:r>
        <w:t xml:space="preserve">e impact of cumulative trauma on children, young people, parents and carers engaged with the child protection system and ensures that service providers use trauma-informed interventions. </w:t>
      </w:r>
    </w:p>
    <w:p w14:paraId="489C291C" w14:textId="77777777" w:rsidR="004E0346" w:rsidRPr="004E0346" w:rsidRDefault="004E0346" w:rsidP="004E0346">
      <w:pPr>
        <w:pStyle w:val="bullet10"/>
        <w:spacing w:before="30" w:after="30"/>
      </w:pPr>
      <w:r w:rsidRPr="004E0346">
        <w:rPr>
          <w:color w:val="7030A0"/>
          <w:sz w:val="26"/>
        </w:rPr>
        <w:t>Culturally safe:</w:t>
      </w:r>
      <w:r w:rsidRPr="004E0346">
        <w:t xml:space="preserve"> </w:t>
      </w:r>
      <w:r>
        <w:t>provides children, young people and families with services that are sensitive and supportive to the needs of their culture.</w:t>
      </w:r>
    </w:p>
    <w:p w14:paraId="29E2016C" w14:textId="77777777" w:rsidR="004E0346" w:rsidRPr="004E0346" w:rsidRDefault="004E0346" w:rsidP="004E0346">
      <w:pPr>
        <w:pStyle w:val="bullet10"/>
        <w:spacing w:before="30" w:after="30"/>
      </w:pPr>
      <w:r w:rsidRPr="004E0346">
        <w:rPr>
          <w:color w:val="7030A0"/>
          <w:sz w:val="26"/>
        </w:rPr>
        <w:t>Disability informed:</w:t>
      </w:r>
      <w:r w:rsidRPr="004E0346">
        <w:t xml:space="preserve"> </w:t>
      </w:r>
      <w:r>
        <w:t>takes a strength-based approach to working with children, young people and families living with disability and mental health challenges.</w:t>
      </w:r>
    </w:p>
    <w:p w14:paraId="5E5D5570" w14:textId="77777777" w:rsidR="004E0346" w:rsidRPr="00F15BFE" w:rsidRDefault="004E0346" w:rsidP="004E0346">
      <w:pPr>
        <w:pStyle w:val="bullet10"/>
        <w:spacing w:before="30" w:after="30"/>
      </w:pPr>
      <w:r w:rsidRPr="004E0346">
        <w:rPr>
          <w:color w:val="7030A0"/>
          <w:sz w:val="26"/>
        </w:rPr>
        <w:t>Accountable:</w:t>
      </w:r>
      <w:r w:rsidRPr="004E0346">
        <w:t xml:space="preserve"> </w:t>
      </w:r>
      <w:r>
        <w:t>helps to build trust in government agencies by ensuring fair, transparent, and accountable decision making.</w:t>
      </w:r>
    </w:p>
    <w:p w14:paraId="3DA39549" w14:textId="77777777" w:rsidR="004E0346" w:rsidRPr="004E0346" w:rsidRDefault="004E0346" w:rsidP="004E0346">
      <w:pPr>
        <w:spacing w:beforeLines="60" w:before="144" w:afterLines="60" w:after="144"/>
        <w:rPr>
          <w:szCs w:val="22"/>
          <w:lang w:eastAsia="en-AU"/>
        </w:rPr>
      </w:pPr>
      <w:r w:rsidRPr="004E0346">
        <w:rPr>
          <w:szCs w:val="22"/>
          <w:lang w:eastAsia="en-AU"/>
        </w:rPr>
        <w:t xml:space="preserve">Next Steps aims to address several key challenges continuing after the implementation of A Step Up, including the overrepresentation of Aboriginal and Torres Strait Islander children in out of home care, poorer life outcomes for young people transitioning out of care, and increasing complexity of the needs of children and young people </w:t>
      </w:r>
      <w:proofErr w:type="gramStart"/>
      <w:r w:rsidRPr="004E0346">
        <w:rPr>
          <w:szCs w:val="22"/>
          <w:lang w:eastAsia="en-AU"/>
        </w:rPr>
        <w:t>entering into</w:t>
      </w:r>
      <w:proofErr w:type="gramEnd"/>
      <w:r w:rsidRPr="004E0346">
        <w:rPr>
          <w:szCs w:val="22"/>
          <w:lang w:eastAsia="en-AU"/>
        </w:rPr>
        <w:t xml:space="preserve"> care. </w:t>
      </w:r>
    </w:p>
    <w:p w14:paraId="6007D31D" w14:textId="77777777" w:rsidR="004E0346" w:rsidRDefault="004E0346" w:rsidP="004E0346">
      <w:pPr>
        <w:spacing w:beforeLines="60" w:before="144" w:afterLines="60" w:after="144"/>
        <w:rPr>
          <w:szCs w:val="22"/>
          <w:lang w:eastAsia="en-AU"/>
        </w:rPr>
      </w:pPr>
      <w:r w:rsidRPr="004E0346">
        <w:rPr>
          <w:szCs w:val="22"/>
          <w:lang w:eastAsia="en-AU"/>
        </w:rPr>
        <w:t xml:space="preserve">These challenges will be addressed by 68 Reform Actions and Priority Initiatives across the following 6 Domains: </w:t>
      </w:r>
    </w:p>
    <w:p w14:paraId="47A2E510" w14:textId="1319CE30" w:rsidR="004E0346" w:rsidRPr="004E0346" w:rsidRDefault="004E0346" w:rsidP="004E0346">
      <w:pPr>
        <w:pStyle w:val="bullet10"/>
        <w:spacing w:before="30" w:after="30"/>
      </w:pPr>
      <w:r w:rsidRPr="004E0346">
        <w:rPr>
          <w:color w:val="7030A0"/>
          <w:sz w:val="26"/>
        </w:rPr>
        <w:t>Our Booris, Our Way:</w:t>
      </w:r>
      <w:r w:rsidRPr="004E0346">
        <w:t xml:space="preserve"> addressing the overrepresentation of Aboriginal and Torres Strait Islander children in out of home care. </w:t>
      </w:r>
    </w:p>
    <w:p w14:paraId="4F3A84F5" w14:textId="77777777" w:rsidR="004E0346" w:rsidRPr="004E0346" w:rsidRDefault="004E0346" w:rsidP="004E0346">
      <w:pPr>
        <w:pStyle w:val="bullet10"/>
        <w:spacing w:before="30" w:after="30"/>
      </w:pPr>
      <w:r w:rsidRPr="004E0346">
        <w:rPr>
          <w:color w:val="7030A0"/>
          <w:sz w:val="26"/>
        </w:rPr>
        <w:t>Trust and Transparency:</w:t>
      </w:r>
      <w:r w:rsidRPr="004E0346">
        <w:t xml:space="preserve"> improving decision making, engagement and transparency.</w:t>
      </w:r>
    </w:p>
    <w:p w14:paraId="130B854C" w14:textId="77777777" w:rsidR="004E0346" w:rsidRPr="004E0346" w:rsidRDefault="004E0346" w:rsidP="004E0346">
      <w:pPr>
        <w:pStyle w:val="bullet10"/>
        <w:spacing w:before="30" w:after="30"/>
      </w:pPr>
      <w:r w:rsidRPr="004E0346">
        <w:rPr>
          <w:color w:val="7030A0"/>
          <w:sz w:val="26"/>
        </w:rPr>
        <w:t>Strengthening Families:</w:t>
      </w:r>
      <w:r w:rsidRPr="004E0346">
        <w:t xml:space="preserve"> providing earlier support for families when they need it.</w:t>
      </w:r>
    </w:p>
    <w:p w14:paraId="3C05635D" w14:textId="77777777" w:rsidR="004E0346" w:rsidRPr="004E0346" w:rsidRDefault="004E0346" w:rsidP="004E0346">
      <w:pPr>
        <w:pStyle w:val="bullet10"/>
        <w:spacing w:before="30" w:after="30"/>
      </w:pPr>
      <w:r w:rsidRPr="004E0346">
        <w:rPr>
          <w:color w:val="7030A0"/>
          <w:sz w:val="26"/>
        </w:rPr>
        <w:t>Trauma Responsive and Restorative Practice:</w:t>
      </w:r>
      <w:r w:rsidRPr="004E0346">
        <w:t xml:space="preserve"> working in a restorative way for better outcomes.</w:t>
      </w:r>
    </w:p>
    <w:p w14:paraId="35C1CDD0" w14:textId="77777777" w:rsidR="004E0346" w:rsidRPr="004E0346" w:rsidRDefault="004E0346" w:rsidP="004E0346">
      <w:pPr>
        <w:pStyle w:val="bullet10"/>
        <w:spacing w:before="30" w:after="30"/>
      </w:pPr>
      <w:r w:rsidRPr="004E0346">
        <w:rPr>
          <w:color w:val="7030A0"/>
          <w:sz w:val="26"/>
        </w:rPr>
        <w:t>Partnering with the Community:</w:t>
      </w:r>
      <w:r w:rsidRPr="004E0346">
        <w:t xml:space="preserve"> ensuring a joined-up system of child, youth and family services.</w:t>
      </w:r>
    </w:p>
    <w:p w14:paraId="67017509" w14:textId="77777777" w:rsidR="004E0346" w:rsidRPr="004E0346" w:rsidRDefault="004E0346" w:rsidP="004E0346">
      <w:pPr>
        <w:pStyle w:val="bullet10"/>
        <w:spacing w:before="30" w:after="30"/>
      </w:pPr>
      <w:r w:rsidRPr="004E0346">
        <w:rPr>
          <w:color w:val="7030A0"/>
          <w:sz w:val="26"/>
        </w:rPr>
        <w:t>Continuum of Support:</w:t>
      </w:r>
      <w:r w:rsidRPr="004E0346">
        <w:t xml:space="preserve">  working together to ensure supports wrap around children and young people for smoother life transitions.</w:t>
      </w:r>
    </w:p>
    <w:p w14:paraId="3DF3B742" w14:textId="77777777" w:rsidR="004E0346" w:rsidRPr="00A460E3" w:rsidRDefault="004E0346" w:rsidP="004E0346">
      <w:pPr>
        <w:rPr>
          <w:bCs/>
          <w:i/>
          <w:iCs/>
        </w:rPr>
      </w:pPr>
      <w:r w:rsidRPr="004E0346">
        <w:rPr>
          <w:szCs w:val="22"/>
          <w:lang w:eastAsia="en-AU"/>
        </w:rPr>
        <w:t>For further information about this ongoing program of reform, please see the</w:t>
      </w:r>
      <w:r>
        <w:rPr>
          <w:bCs/>
        </w:rPr>
        <w:t xml:space="preserve"> </w:t>
      </w:r>
      <w:hyperlink r:id="rId17" w:history="1">
        <w:r w:rsidRPr="00CC2FE8">
          <w:rPr>
            <w:rStyle w:val="Hyperlink"/>
            <w:bCs/>
            <w:iCs/>
          </w:rPr>
          <w:t>Next Steps for Our Kids Strategy (2022 – 2030).</w:t>
        </w:r>
      </w:hyperlink>
    </w:p>
    <w:p w14:paraId="49CA2269" w14:textId="506BD68B" w:rsidR="004E0346" w:rsidRPr="004E0346" w:rsidRDefault="004E0346" w:rsidP="004E0346">
      <w:pPr>
        <w:pStyle w:val="Heading2"/>
      </w:pPr>
      <w:bookmarkStart w:id="7" w:name="_Toc149920353"/>
      <w:bookmarkStart w:id="8" w:name="_Toc150416679"/>
      <w:bookmarkStart w:id="9" w:name="_Toc150422151"/>
      <w:bookmarkStart w:id="10" w:name="_Toc152683318"/>
      <w:r w:rsidRPr="004E0346">
        <w:t>Commissioning of the Child, Youth and Family Services Program</w:t>
      </w:r>
      <w:bookmarkEnd w:id="7"/>
      <w:bookmarkEnd w:id="8"/>
      <w:r w:rsidRPr="004E0346">
        <w:t xml:space="preserve"> </w:t>
      </w:r>
      <w:bookmarkStart w:id="11" w:name="_Toc149920354"/>
      <w:bookmarkStart w:id="12" w:name="_Toc150416680"/>
      <w:r w:rsidRPr="004E0346">
        <w:t>(CYFSP)</w:t>
      </w:r>
      <w:bookmarkEnd w:id="9"/>
      <w:bookmarkEnd w:id="10"/>
    </w:p>
    <w:p w14:paraId="6A970244" w14:textId="77777777" w:rsidR="004E0346" w:rsidRPr="004E0346" w:rsidRDefault="004E0346" w:rsidP="004E0346">
      <w:pPr>
        <w:spacing w:beforeLines="60" w:before="144" w:afterLines="60" w:after="144"/>
        <w:rPr>
          <w:szCs w:val="22"/>
          <w:lang w:eastAsia="en-AU"/>
        </w:rPr>
      </w:pPr>
      <w:r w:rsidRPr="004E0346">
        <w:rPr>
          <w:szCs w:val="22"/>
          <w:lang w:eastAsia="en-AU"/>
        </w:rPr>
        <w:t xml:space="preserve">The current CYFSP is designed to assist vulnerable children, young people and their families through a broad range of non-statutory, non-government support services. </w:t>
      </w:r>
    </w:p>
    <w:p w14:paraId="3E3EC8AA" w14:textId="77777777" w:rsidR="004E0346" w:rsidRPr="004E0346" w:rsidRDefault="004E0346" w:rsidP="004E0346">
      <w:pPr>
        <w:spacing w:beforeLines="60" w:before="144" w:afterLines="60" w:after="144"/>
        <w:rPr>
          <w:szCs w:val="22"/>
          <w:lang w:eastAsia="en-AU"/>
        </w:rPr>
      </w:pPr>
      <w:r w:rsidRPr="004E0346">
        <w:rPr>
          <w:szCs w:val="22"/>
          <w:lang w:eastAsia="en-AU"/>
        </w:rPr>
        <w:t xml:space="preserve">Much has changed since 2012 when we last undertook a comprehensive re-design of the CYFSP, including the introduction of </w:t>
      </w:r>
      <w:proofErr w:type="gramStart"/>
      <w:r w:rsidRPr="004E0346">
        <w:rPr>
          <w:szCs w:val="22"/>
          <w:lang w:eastAsia="en-AU"/>
        </w:rPr>
        <w:t>a number of</w:t>
      </w:r>
      <w:proofErr w:type="gramEnd"/>
      <w:r w:rsidRPr="004E0346">
        <w:rPr>
          <w:szCs w:val="22"/>
          <w:lang w:eastAsia="en-AU"/>
        </w:rPr>
        <w:t xml:space="preserve"> the reforms outlined in this paper. By commissioning the CYFSP we aim to ensure the future CYFSP deliver a flexible service that knows when, where and how to provide support to children, young people and families - that collaboratively builds their strength and wellbeing as early as possible when they face challenges.</w:t>
      </w:r>
    </w:p>
    <w:p w14:paraId="09A4F30F" w14:textId="53CB893A" w:rsidR="004E0346" w:rsidRPr="004E0346" w:rsidRDefault="004E0346" w:rsidP="004E0346">
      <w:pPr>
        <w:pStyle w:val="Heading2"/>
      </w:pPr>
      <w:bookmarkStart w:id="13" w:name="_Toc150422152"/>
      <w:bookmarkStart w:id="14" w:name="_Toc152683319"/>
      <w:r w:rsidRPr="004E0346">
        <w:t>Raising the Minimum Age of Criminal Responsibility</w:t>
      </w:r>
      <w:bookmarkEnd w:id="11"/>
      <w:bookmarkEnd w:id="12"/>
      <w:bookmarkEnd w:id="13"/>
      <w:bookmarkEnd w:id="14"/>
    </w:p>
    <w:p w14:paraId="180D3D00" w14:textId="77777777" w:rsidR="004E0346" w:rsidRPr="004E0346" w:rsidRDefault="004E0346" w:rsidP="004E0346">
      <w:pPr>
        <w:spacing w:beforeLines="60" w:before="144" w:afterLines="60" w:after="144"/>
        <w:rPr>
          <w:szCs w:val="22"/>
          <w:lang w:eastAsia="en-AU"/>
        </w:rPr>
      </w:pPr>
      <w:r w:rsidRPr="004E0346">
        <w:rPr>
          <w:szCs w:val="22"/>
          <w:lang w:eastAsia="en-AU"/>
        </w:rPr>
        <w:t>The ACT is among the first Australian jurisdictions to raise the minimum age of criminal responsibility from 10 to 12 years of age and is the first to commit to raising it further to 14 on 1 June 2025. This has prompted a reform of service responses in the ACT for children and young people who engage in, or are at risk of engaging in, harmful behaviours.</w:t>
      </w:r>
    </w:p>
    <w:p w14:paraId="4EE9E577" w14:textId="2887BE1C" w:rsidR="004E0346" w:rsidRPr="004E0346" w:rsidRDefault="004E0346" w:rsidP="004E0346">
      <w:pPr>
        <w:spacing w:beforeLines="60" w:before="144" w:afterLines="60" w:after="144"/>
        <w:rPr>
          <w:szCs w:val="22"/>
          <w:lang w:eastAsia="en-AU"/>
        </w:rPr>
      </w:pPr>
      <w:r w:rsidRPr="004E0346">
        <w:rPr>
          <w:szCs w:val="22"/>
          <w:lang w:eastAsia="en-AU"/>
        </w:rPr>
        <w:t>A key reform includes the establishment of the Therapeutic Support Panel, a multi-disciplinary group of specialists who will draw on their skills, networks and expertise to pull levers and develop alternative approaches to support children, young people and their families. Working alongside a dedicated team of caseworkers, they will develop and deliver voluntary therapy plans, aiming to interrupt the course of harmful behaviours and address the underlying causes of harmful behaviour</w:t>
      </w:r>
      <w:r w:rsidR="00035A39">
        <w:rPr>
          <w:szCs w:val="22"/>
          <w:lang w:eastAsia="en-AU"/>
        </w:rPr>
        <w:t>.</w:t>
      </w:r>
    </w:p>
    <w:p w14:paraId="7E14F678" w14:textId="77777777" w:rsidR="004E0346" w:rsidRPr="004E0346" w:rsidRDefault="004E0346" w:rsidP="004E0346">
      <w:pPr>
        <w:spacing w:beforeLines="60" w:before="144" w:afterLines="60" w:after="144"/>
        <w:rPr>
          <w:szCs w:val="22"/>
          <w:lang w:eastAsia="en-AU"/>
        </w:rPr>
      </w:pPr>
      <w:r w:rsidRPr="004E0346">
        <w:rPr>
          <w:szCs w:val="22"/>
          <w:lang w:eastAsia="en-AU"/>
        </w:rPr>
        <w:t>Over the coming years, the ACT Government and the community services sector will require significant development to ensure there is sufficient capacity and capability to provide what is needed, along with improving systems of data collection and evaluation to understand the current landscape and inform future reform and growth. Ongoing work to redesign the service system to better support children, young people and families will occur concurrent with commissioning and other reforms, creating an integrated service system.</w:t>
      </w:r>
    </w:p>
    <w:p w14:paraId="05405D8C" w14:textId="1070C102" w:rsidR="004E0346" w:rsidRPr="004E0346" w:rsidRDefault="004E0346" w:rsidP="004E0346">
      <w:pPr>
        <w:pStyle w:val="Heading2"/>
      </w:pPr>
      <w:bookmarkStart w:id="15" w:name="_Toc149920355"/>
      <w:bookmarkStart w:id="16" w:name="_Toc150416681"/>
      <w:bookmarkStart w:id="17" w:name="_Toc150422153"/>
      <w:bookmarkStart w:id="18" w:name="_Toc152683320"/>
      <w:r w:rsidRPr="004E0346">
        <w:t>Our Booris Our Way</w:t>
      </w:r>
      <w:bookmarkEnd w:id="15"/>
      <w:bookmarkEnd w:id="16"/>
      <w:bookmarkEnd w:id="17"/>
      <w:bookmarkEnd w:id="18"/>
    </w:p>
    <w:p w14:paraId="11517265" w14:textId="77777777" w:rsidR="004E0346" w:rsidRPr="004E0346" w:rsidRDefault="004E0346" w:rsidP="004E0346">
      <w:pPr>
        <w:spacing w:beforeLines="60" w:before="144" w:afterLines="60" w:after="144"/>
        <w:rPr>
          <w:szCs w:val="22"/>
          <w:lang w:eastAsia="en-AU"/>
        </w:rPr>
      </w:pPr>
      <w:r w:rsidRPr="004E0346">
        <w:rPr>
          <w:szCs w:val="22"/>
          <w:lang w:eastAsia="en-AU"/>
        </w:rPr>
        <w:t>The Our Booris Our Way review commenced in February 2018 after the Family Matters report, released in 2017, found that Aboriginal and Torres Strait Islander children in the ACT were twelve times more likely to be in out of home care than other groups of children.</w:t>
      </w:r>
    </w:p>
    <w:p w14:paraId="7C9E3872" w14:textId="77777777" w:rsidR="004E0346" w:rsidRPr="004E0346" w:rsidRDefault="004E0346" w:rsidP="004E0346">
      <w:pPr>
        <w:spacing w:beforeLines="60" w:before="144" w:afterLines="60" w:after="144"/>
        <w:rPr>
          <w:szCs w:val="22"/>
          <w:lang w:eastAsia="en-AU"/>
        </w:rPr>
      </w:pPr>
      <w:r w:rsidRPr="004E0346">
        <w:rPr>
          <w:szCs w:val="22"/>
          <w:lang w:eastAsia="en-AU"/>
        </w:rPr>
        <w:t>The five elements of the Review were community engagement, case file reviews, interviews, public submissions and data analysis. From the insight gained through this work, the Our Booris Our Way Steering Committee made 28 interim and final recommendations to the ACT Government.</w:t>
      </w:r>
    </w:p>
    <w:p w14:paraId="5CE8709D" w14:textId="77777777" w:rsidR="004E0346" w:rsidRPr="004E0346" w:rsidRDefault="004E0346" w:rsidP="004E0346">
      <w:pPr>
        <w:spacing w:beforeLines="60" w:before="144" w:afterLines="60" w:after="144"/>
        <w:rPr>
          <w:szCs w:val="22"/>
          <w:lang w:eastAsia="en-AU"/>
        </w:rPr>
      </w:pPr>
      <w:r w:rsidRPr="004E0346">
        <w:rPr>
          <w:szCs w:val="22"/>
          <w:lang w:eastAsia="en-AU"/>
        </w:rPr>
        <w:t>Recommendation 9 of the Our Booris Our Way review expresses the need to ensure the availability of Early Support Programs that provide positive support to families, early and during voluntary engagement with the child protection system including parenting programs, child development services, cultural groups and play opportunities, wrap-around services that support participation in education.</w:t>
      </w:r>
    </w:p>
    <w:p w14:paraId="5C3512F9" w14:textId="77777777" w:rsidR="004E0346" w:rsidRPr="004E0346" w:rsidRDefault="004E0346" w:rsidP="004E0346">
      <w:pPr>
        <w:spacing w:beforeLines="60" w:before="144" w:afterLines="60" w:after="144"/>
        <w:rPr>
          <w:szCs w:val="22"/>
          <w:lang w:eastAsia="en-AU"/>
        </w:rPr>
      </w:pPr>
      <w:r w:rsidRPr="004E0346">
        <w:rPr>
          <w:szCs w:val="22"/>
          <w:lang w:eastAsia="en-AU"/>
        </w:rPr>
        <w:t xml:space="preserve">The Future CYFSP is well placed to contribute to this recommendation and will need to include flexible early support options that are culturally safe and inclusive of Aboriginal and Torres Strait Islander families who in need of support are wrap-around services. </w:t>
      </w:r>
    </w:p>
    <w:p w14:paraId="7B25AF6C" w14:textId="31D605A3" w:rsidR="004E0346" w:rsidRPr="004E0346" w:rsidRDefault="004E0346" w:rsidP="004E0346">
      <w:pPr>
        <w:pStyle w:val="Heading2"/>
      </w:pPr>
      <w:bookmarkStart w:id="19" w:name="_Toc149920356"/>
      <w:bookmarkStart w:id="20" w:name="_Toc150416682"/>
      <w:bookmarkStart w:id="21" w:name="_Toc150422154"/>
      <w:bookmarkStart w:id="22" w:name="_Toc152683321"/>
      <w:r w:rsidRPr="004E0346">
        <w:t>Changing the Children and Young People Act 2008</w:t>
      </w:r>
      <w:bookmarkEnd w:id="19"/>
      <w:bookmarkEnd w:id="20"/>
      <w:bookmarkEnd w:id="21"/>
      <w:bookmarkEnd w:id="22"/>
    </w:p>
    <w:p w14:paraId="6FC7C1AF" w14:textId="77777777" w:rsidR="004E0346" w:rsidRPr="004E0346" w:rsidRDefault="004E0346" w:rsidP="004E0346">
      <w:pPr>
        <w:spacing w:beforeLines="60" w:before="144" w:afterLines="60" w:after="144"/>
        <w:rPr>
          <w:szCs w:val="22"/>
          <w:lang w:eastAsia="en-AU"/>
        </w:rPr>
      </w:pPr>
      <w:r w:rsidRPr="004E0346">
        <w:rPr>
          <w:szCs w:val="22"/>
          <w:lang w:eastAsia="en-AU"/>
        </w:rPr>
        <w:t xml:space="preserve">Legislative change is a foundational element of the ACT government’s plan for reform and modernising the Children and Young People Act 2008 is a priority action under Next Steps for Our Kids 2022-2030 (Next Steps). </w:t>
      </w:r>
    </w:p>
    <w:p w14:paraId="5D5E55BA" w14:textId="77777777" w:rsidR="004E0346" w:rsidRPr="004E0346" w:rsidRDefault="004E0346" w:rsidP="004E0346">
      <w:pPr>
        <w:spacing w:beforeLines="60" w:before="144" w:afterLines="60" w:after="144"/>
        <w:rPr>
          <w:szCs w:val="22"/>
          <w:lang w:eastAsia="en-AU"/>
        </w:rPr>
      </w:pPr>
      <w:r w:rsidRPr="004E0346">
        <w:rPr>
          <w:szCs w:val="22"/>
          <w:lang w:eastAsia="en-AU"/>
        </w:rPr>
        <w:t xml:space="preserve">This work commenced with the introduction of the Children and Young People Amendment Bill 1 2023 (Bill 1) to the ACT Legislative Assembly in August 2023. </w:t>
      </w:r>
    </w:p>
    <w:p w14:paraId="070BA3DB" w14:textId="77777777" w:rsidR="004E0346" w:rsidRPr="004E0346" w:rsidRDefault="004E0346" w:rsidP="004E0346">
      <w:pPr>
        <w:spacing w:beforeLines="60" w:before="144" w:afterLines="60" w:after="144"/>
        <w:rPr>
          <w:szCs w:val="22"/>
          <w:lang w:eastAsia="en-AU"/>
        </w:rPr>
      </w:pPr>
      <w:r w:rsidRPr="004E0346">
        <w:rPr>
          <w:szCs w:val="22"/>
          <w:lang w:eastAsia="en-AU"/>
        </w:rPr>
        <w:t>Subject to passage and commencement, Bill 1 will enable the ACT’s child protection system to provide better and earlier support to families at risk. It will also start the process of fully embedding the Aboriginal and Torres Strait Islander Child Placement Principle into legislation, implementing a key recommendation of the Our Booris, Our Way review.</w:t>
      </w:r>
    </w:p>
    <w:p w14:paraId="6499AF85" w14:textId="77777777" w:rsidR="004E0346" w:rsidRPr="00A460E3" w:rsidRDefault="004E0346" w:rsidP="004E0346">
      <w:pPr>
        <w:spacing w:beforeLines="60" w:before="144" w:afterLines="60" w:after="144"/>
        <w:rPr>
          <w:bCs/>
          <w:i/>
          <w:iCs/>
        </w:rPr>
      </w:pPr>
      <w:r w:rsidRPr="004E0346">
        <w:rPr>
          <w:szCs w:val="22"/>
          <w:lang w:eastAsia="en-AU"/>
        </w:rPr>
        <w:t xml:space="preserve">For further information about this ongoing program of reform, please see </w:t>
      </w:r>
      <w:hyperlink r:id="rId18" w:history="1">
        <w:r w:rsidRPr="008B1D1A">
          <w:rPr>
            <w:rStyle w:val="Hyperlink"/>
            <w:bCs/>
          </w:rPr>
          <w:t>https://yoursayconversations.act.gov.au/changing-cyp-act-2008-stage-2</w:t>
        </w:r>
      </w:hyperlink>
      <w:r>
        <w:rPr>
          <w:bCs/>
        </w:rPr>
        <w:t xml:space="preserve"> </w:t>
      </w:r>
    </w:p>
    <w:p w14:paraId="76EF6C89" w14:textId="37F975CA" w:rsidR="004E0346" w:rsidRPr="004E0346" w:rsidRDefault="004E0346" w:rsidP="004E0346">
      <w:pPr>
        <w:pStyle w:val="Heading2"/>
      </w:pPr>
      <w:bookmarkStart w:id="23" w:name="_Toc149920357"/>
      <w:bookmarkStart w:id="24" w:name="_Toc150416683"/>
      <w:bookmarkStart w:id="25" w:name="_Toc150422155"/>
      <w:bookmarkStart w:id="26" w:name="_Toc152683322"/>
      <w:r w:rsidRPr="004E0346">
        <w:t>The Child and Family Network</w:t>
      </w:r>
      <w:bookmarkEnd w:id="23"/>
      <w:bookmarkEnd w:id="24"/>
      <w:bookmarkEnd w:id="25"/>
      <w:bookmarkEnd w:id="26"/>
    </w:p>
    <w:p w14:paraId="5A23C133" w14:textId="77777777" w:rsidR="004E0346" w:rsidRPr="004E0346" w:rsidRDefault="004E0346" w:rsidP="004E0346">
      <w:pPr>
        <w:spacing w:beforeLines="60" w:before="144" w:afterLines="60" w:after="144"/>
        <w:rPr>
          <w:szCs w:val="22"/>
          <w:lang w:eastAsia="en-AU"/>
        </w:rPr>
      </w:pPr>
      <w:r w:rsidRPr="004E0346">
        <w:rPr>
          <w:szCs w:val="22"/>
          <w:lang w:eastAsia="en-AU"/>
        </w:rPr>
        <w:t xml:space="preserve">CSD is in the process of developing the Child and Family Network (CFN) with Early Years Working Group (EYWG) providing oversight. </w:t>
      </w:r>
    </w:p>
    <w:p w14:paraId="28B79E11" w14:textId="77777777" w:rsidR="004E0346" w:rsidRPr="004E0346" w:rsidRDefault="004E0346" w:rsidP="004E0346">
      <w:pPr>
        <w:spacing w:beforeLines="60" w:before="144" w:afterLines="60" w:after="144"/>
        <w:rPr>
          <w:szCs w:val="22"/>
          <w:lang w:eastAsia="en-AU"/>
        </w:rPr>
      </w:pPr>
      <w:r w:rsidRPr="004E0346">
        <w:rPr>
          <w:szCs w:val="22"/>
          <w:lang w:eastAsia="en-AU"/>
        </w:rPr>
        <w:t xml:space="preserve">The CFN is intended to join up the efforts between and across government and community providers to deliver a coordinated mechanism to support partnership and multi-agency early support responses and services for children and families. </w:t>
      </w:r>
    </w:p>
    <w:p w14:paraId="2737B22B" w14:textId="77777777" w:rsidR="004E0346" w:rsidRPr="004E0346" w:rsidRDefault="004E0346" w:rsidP="004E0346">
      <w:pPr>
        <w:spacing w:beforeLines="60" w:before="144" w:afterLines="60" w:after="144"/>
        <w:rPr>
          <w:szCs w:val="22"/>
          <w:lang w:eastAsia="en-AU"/>
        </w:rPr>
      </w:pPr>
      <w:r w:rsidRPr="004E0346">
        <w:rPr>
          <w:szCs w:val="22"/>
          <w:lang w:eastAsia="en-AU"/>
        </w:rPr>
        <w:t xml:space="preserve">The CRN will be informed by, and support the delivery of, a range of existing policies and strategies. It will also draw on evidence and research to establish positive outcome targets and practical actions to achieve them. </w:t>
      </w:r>
    </w:p>
    <w:p w14:paraId="1EBAD3BF" w14:textId="77777777" w:rsidR="004E0346" w:rsidRPr="004E0346" w:rsidRDefault="004E0346" w:rsidP="004E0346">
      <w:pPr>
        <w:spacing w:beforeLines="60" w:before="144" w:afterLines="60" w:after="144"/>
        <w:rPr>
          <w:szCs w:val="22"/>
          <w:lang w:eastAsia="en-AU"/>
        </w:rPr>
      </w:pPr>
      <w:r w:rsidRPr="004E0346">
        <w:rPr>
          <w:szCs w:val="22"/>
          <w:lang w:eastAsia="en-AU"/>
        </w:rPr>
        <w:t>Delivering this commitment requires a coordinated and collaborative effort between and within the ACT Government, the sector and our community. Taking an open view of contemporary, best practice approaches will support the ACT to establish a more effective and efficient service network.</w:t>
      </w:r>
    </w:p>
    <w:p w14:paraId="0059FBBD" w14:textId="77777777" w:rsidR="004E0346" w:rsidRPr="004E0346" w:rsidRDefault="004E0346" w:rsidP="004E0346">
      <w:pPr>
        <w:spacing w:beforeLines="60" w:before="144" w:afterLines="60" w:after="144"/>
        <w:rPr>
          <w:szCs w:val="22"/>
          <w:lang w:eastAsia="en-AU"/>
        </w:rPr>
      </w:pPr>
      <w:r w:rsidRPr="004E0346">
        <w:rPr>
          <w:szCs w:val="22"/>
          <w:lang w:eastAsia="en-AU"/>
        </w:rPr>
        <w:t xml:space="preserve">the role of the CFN will include identifying existing services and gaps in the service system, which will support building pathways to support, service quality, and service capability.  </w:t>
      </w:r>
    </w:p>
    <w:p w14:paraId="171B41BA" w14:textId="77777777" w:rsidR="004E0346" w:rsidRPr="004E0346" w:rsidRDefault="004E0346" w:rsidP="004E0346">
      <w:pPr>
        <w:spacing w:beforeLines="60" w:before="144" w:afterLines="60" w:after="144"/>
        <w:rPr>
          <w:szCs w:val="22"/>
          <w:lang w:eastAsia="en-AU"/>
        </w:rPr>
      </w:pPr>
      <w:r w:rsidRPr="004E0346">
        <w:rPr>
          <w:szCs w:val="22"/>
          <w:lang w:eastAsia="en-AU"/>
        </w:rPr>
        <w:t>The implementation of the CFN will be iterative and gradual.  Taking a try, test and learn approach to implementation.</w:t>
      </w:r>
    </w:p>
    <w:p w14:paraId="0BB53BAA" w14:textId="074C6136" w:rsidR="004E0346" w:rsidRPr="004E0346" w:rsidRDefault="004E0346" w:rsidP="004E0346">
      <w:pPr>
        <w:pStyle w:val="Heading2"/>
      </w:pPr>
      <w:bookmarkStart w:id="27" w:name="_Toc149920358"/>
      <w:bookmarkStart w:id="28" w:name="_Toc150416684"/>
      <w:bookmarkStart w:id="29" w:name="_Toc150422156"/>
      <w:bookmarkStart w:id="30" w:name="_Toc152683323"/>
      <w:r w:rsidRPr="004E0346">
        <w:t>Best Start Strategy</w:t>
      </w:r>
      <w:bookmarkEnd w:id="27"/>
      <w:bookmarkEnd w:id="28"/>
      <w:bookmarkEnd w:id="29"/>
      <w:bookmarkEnd w:id="30"/>
      <w:r w:rsidRPr="004E0346">
        <w:t xml:space="preserve"> </w:t>
      </w:r>
    </w:p>
    <w:p w14:paraId="42BEA85A" w14:textId="77777777" w:rsidR="004E0346" w:rsidRPr="004E0346" w:rsidRDefault="004E0346" w:rsidP="004E0346">
      <w:pPr>
        <w:spacing w:beforeLines="60" w:before="144" w:afterLines="60" w:after="144"/>
        <w:rPr>
          <w:szCs w:val="22"/>
          <w:lang w:eastAsia="en-AU"/>
        </w:rPr>
      </w:pPr>
      <w:r w:rsidRPr="004E0346">
        <w:rPr>
          <w:szCs w:val="22"/>
          <w:lang w:eastAsia="en-AU"/>
        </w:rPr>
        <w:t xml:space="preserve">Best Start aims to improve outcomes for Canberra’s children by establishing a supportive environment in the critical developmental time between conception and a child’s second birthday. Best Start is inclusive of all families raising and caring for children, including Aboriginal and Torres Strait Islander families. Best Start aims to support families with diverse needs and experiences to have every opportunity to give their child the best start in life. A consultation process was undertaken with people with lived experience to inform what needed to be included in the Strategy, the goals to aim for and what actions should be included in the Best Start Action Plan. </w:t>
      </w:r>
    </w:p>
    <w:p w14:paraId="274D6E8D" w14:textId="7BB4C294" w:rsidR="004E0346" w:rsidRPr="004E0346" w:rsidRDefault="004E0346" w:rsidP="004E0346">
      <w:pPr>
        <w:pStyle w:val="Heading2"/>
      </w:pPr>
      <w:bookmarkStart w:id="31" w:name="_Toc149920359"/>
      <w:bookmarkStart w:id="32" w:name="_Toc150416685"/>
      <w:bookmarkStart w:id="33" w:name="_Toc150422157"/>
      <w:bookmarkStart w:id="34" w:name="_Toc152683324"/>
      <w:r w:rsidRPr="004E0346">
        <w:t>Broader reforms that impact children, young people and families</w:t>
      </w:r>
      <w:bookmarkEnd w:id="31"/>
      <w:bookmarkEnd w:id="32"/>
      <w:bookmarkEnd w:id="33"/>
      <w:bookmarkEnd w:id="34"/>
    </w:p>
    <w:p w14:paraId="6096EBD1" w14:textId="77777777" w:rsidR="004E0346" w:rsidRPr="004E0346" w:rsidRDefault="004E0346" w:rsidP="004E0346">
      <w:pPr>
        <w:spacing w:beforeLines="60" w:before="144" w:afterLines="60" w:after="144"/>
        <w:rPr>
          <w:szCs w:val="22"/>
          <w:lang w:eastAsia="en-AU"/>
        </w:rPr>
      </w:pPr>
      <w:r w:rsidRPr="004E0346">
        <w:rPr>
          <w:szCs w:val="22"/>
          <w:lang w:eastAsia="en-AU"/>
        </w:rPr>
        <w:t xml:space="preserve">In addition to the above reforms, the Child, Youth, and Family Services space in the ACT intersects with a broad range of other reforms and priorities that shape the landscape of support for diverse communities. Service design for Child, Youth, and Family must </w:t>
      </w:r>
      <w:proofErr w:type="gramStart"/>
      <w:r w:rsidRPr="004E0346">
        <w:rPr>
          <w:szCs w:val="22"/>
          <w:lang w:eastAsia="en-AU"/>
        </w:rPr>
        <w:t>take into account</w:t>
      </w:r>
      <w:proofErr w:type="gramEnd"/>
      <w:r w:rsidRPr="004E0346">
        <w:rPr>
          <w:szCs w:val="22"/>
          <w:lang w:eastAsia="en-AU"/>
        </w:rPr>
        <w:t xml:space="preserve"> several key initiatives, each with its unique objectives, and collectively working towards enhancing the well-being of children, young people, and families.</w:t>
      </w:r>
    </w:p>
    <w:p w14:paraId="18E18D8A" w14:textId="77777777" w:rsidR="004E0346" w:rsidRPr="004E0346" w:rsidRDefault="004E0346" w:rsidP="00295EC4">
      <w:pPr>
        <w:pStyle w:val="Heading3"/>
      </w:pPr>
      <w:r w:rsidRPr="004E0346">
        <w:t>Aboriginal and Torres Strait Islander Policy and Reform:</w:t>
      </w:r>
    </w:p>
    <w:p w14:paraId="1FFFAE18" w14:textId="77777777" w:rsidR="004E0346" w:rsidRPr="004E0346" w:rsidRDefault="004E0346" w:rsidP="004E0346">
      <w:pPr>
        <w:spacing w:beforeLines="60" w:before="144" w:afterLines="60" w:after="144"/>
        <w:rPr>
          <w:szCs w:val="22"/>
          <w:lang w:eastAsia="en-AU"/>
        </w:rPr>
      </w:pPr>
      <w:r w:rsidRPr="004E0346">
        <w:rPr>
          <w:szCs w:val="22"/>
          <w:lang w:eastAsia="en-AU"/>
        </w:rPr>
        <w:t>The ACT Aboriginal and Torres Strait Islander Agreement 2019-2028 encompasses objectives like ensuring safety for Aboriginal and Torres Strait Islander children and young people, preserving cultural integrity, and fostering an inclusive community. These reforms stress the importance of cultural sensitivity and recognition.</w:t>
      </w:r>
    </w:p>
    <w:p w14:paraId="2EC682B8" w14:textId="77777777" w:rsidR="004E0346" w:rsidRPr="004E0346" w:rsidRDefault="004E0346" w:rsidP="004E0346">
      <w:pPr>
        <w:spacing w:beforeLines="60" w:before="144" w:afterLines="60" w:after="144"/>
        <w:rPr>
          <w:szCs w:val="22"/>
          <w:lang w:eastAsia="en-AU"/>
        </w:rPr>
      </w:pPr>
      <w:r w:rsidRPr="004E0346">
        <w:rPr>
          <w:szCs w:val="22"/>
          <w:lang w:eastAsia="en-AU"/>
        </w:rPr>
        <w:t xml:space="preserve">The National Agreement on Closing the Gap has been built around four Priority Reforms that have been directly informed by Aboriginal and Torres Strait Islander people. These reforms are central to the way we as government we need to work with Aboriginal and Torres Strait Islander people and communities. The four Priority Reforms are: </w:t>
      </w:r>
    </w:p>
    <w:p w14:paraId="1091A8EF" w14:textId="77777777" w:rsidR="004E0346" w:rsidRPr="004E0346" w:rsidRDefault="004E0346" w:rsidP="004E0346">
      <w:pPr>
        <w:pStyle w:val="bullet10"/>
        <w:spacing w:before="30" w:after="30"/>
      </w:pPr>
      <w:r w:rsidRPr="00060E17">
        <w:t>Formal Partnerships and Shared Decision Making</w:t>
      </w:r>
    </w:p>
    <w:p w14:paraId="3F0A955E" w14:textId="77777777" w:rsidR="004E0346" w:rsidRDefault="004E0346" w:rsidP="004E0346">
      <w:pPr>
        <w:pStyle w:val="bullet10"/>
        <w:spacing w:before="30" w:after="30"/>
      </w:pPr>
      <w:r w:rsidRPr="00060E17">
        <w:t xml:space="preserve">Building the Community-Controlled Sector </w:t>
      </w:r>
    </w:p>
    <w:p w14:paraId="14110800" w14:textId="77777777" w:rsidR="004E0346" w:rsidRDefault="004E0346" w:rsidP="004E0346">
      <w:pPr>
        <w:pStyle w:val="bullet10"/>
        <w:spacing w:before="30" w:after="30"/>
      </w:pPr>
      <w:r w:rsidRPr="00060E17">
        <w:t>Transforming Government Organisation</w:t>
      </w:r>
      <w:r>
        <w:t>s</w:t>
      </w:r>
    </w:p>
    <w:p w14:paraId="6C6C9B19" w14:textId="77777777" w:rsidR="004E0346" w:rsidRPr="00A460E3" w:rsidRDefault="004E0346" w:rsidP="004E0346">
      <w:pPr>
        <w:pStyle w:val="bullet10"/>
        <w:spacing w:before="30" w:after="30"/>
      </w:pPr>
      <w:r>
        <w:t>Shared Access to Data and Information at a Regional Level</w:t>
      </w:r>
      <w:r w:rsidRPr="004E0346">
        <w:t xml:space="preserve"> </w:t>
      </w:r>
    </w:p>
    <w:p w14:paraId="1D8709A4" w14:textId="77777777" w:rsidR="004E0346" w:rsidRPr="00060E17" w:rsidRDefault="004E0346" w:rsidP="00295EC4">
      <w:pPr>
        <w:pStyle w:val="Heading3"/>
      </w:pPr>
      <w:r w:rsidRPr="004E0346">
        <w:t>Early Childhood and Education Policy and Reform:</w:t>
      </w:r>
    </w:p>
    <w:p w14:paraId="6089A048" w14:textId="77777777" w:rsidR="004E0346" w:rsidRPr="004E0346" w:rsidRDefault="004E0346" w:rsidP="004E0346">
      <w:pPr>
        <w:spacing w:beforeLines="60" w:before="144" w:afterLines="60" w:after="144"/>
        <w:rPr>
          <w:szCs w:val="22"/>
          <w:lang w:eastAsia="en-AU"/>
        </w:rPr>
      </w:pPr>
      <w:r w:rsidRPr="004E0346">
        <w:rPr>
          <w:szCs w:val="22"/>
          <w:lang w:eastAsia="en-AU"/>
        </w:rPr>
        <w:t>The Set up for Success: An Early Childhood Strategy for the ACT outlines plans to expand transition processes, develop a measurement framework for early childhood development, and enhance multi-agency support services for very young children. The Future of Education Strategy further promotes strong partnerships between schools, community agencies, and families, with a focus on early intervention.</w:t>
      </w:r>
    </w:p>
    <w:p w14:paraId="1AD6E3D8" w14:textId="77777777" w:rsidR="004E0346" w:rsidRPr="004E0346" w:rsidRDefault="004E0346" w:rsidP="00295EC4">
      <w:pPr>
        <w:pStyle w:val="Heading3"/>
      </w:pPr>
      <w:r w:rsidRPr="004E0346">
        <w:t>LGBTQIA+ Policy and Reform:</w:t>
      </w:r>
    </w:p>
    <w:p w14:paraId="40EF8858" w14:textId="77777777" w:rsidR="004E0346" w:rsidRPr="004E0346" w:rsidRDefault="004E0346" w:rsidP="004E0346">
      <w:pPr>
        <w:spacing w:beforeLines="60" w:before="144" w:afterLines="60" w:after="144"/>
        <w:rPr>
          <w:szCs w:val="22"/>
          <w:lang w:eastAsia="en-AU"/>
        </w:rPr>
      </w:pPr>
      <w:r w:rsidRPr="004E0346">
        <w:rPr>
          <w:szCs w:val="22"/>
          <w:lang w:eastAsia="en-AU"/>
        </w:rPr>
        <w:t>The Capital of Equality Strategy aims to foster understanding, improve community support, and ensure equal rights for LGBTQI+ individuals. Inclusive data collection plays a vital role in this reform agenda.</w:t>
      </w:r>
    </w:p>
    <w:p w14:paraId="404E7E9F" w14:textId="77777777" w:rsidR="004E0346" w:rsidRPr="004E0346" w:rsidRDefault="004E0346" w:rsidP="00295EC4">
      <w:pPr>
        <w:pStyle w:val="Heading3"/>
      </w:pPr>
      <w:r w:rsidRPr="004E0346">
        <w:t>Culturally and Linguistically Diverse/Multicultural Policy and Reform:</w:t>
      </w:r>
    </w:p>
    <w:p w14:paraId="1E5C6DC2" w14:textId="77777777" w:rsidR="004E0346" w:rsidRPr="004E0346" w:rsidRDefault="004E0346" w:rsidP="004E0346">
      <w:pPr>
        <w:spacing w:beforeLines="60" w:before="144" w:afterLines="60" w:after="144"/>
        <w:rPr>
          <w:szCs w:val="22"/>
          <w:lang w:eastAsia="en-AU"/>
        </w:rPr>
      </w:pPr>
      <w:r w:rsidRPr="004E0346">
        <w:rPr>
          <w:szCs w:val="22"/>
          <w:lang w:eastAsia="en-AU"/>
        </w:rPr>
        <w:t>ACT as a welcoming city emphasises diversity and inclusion, with a commitment to breaking down barriers and fostering respectful, fair, and sustainable communities. The Multicultural Recognition Act highlights the importance of mutual respect and freedom to express cultural and religious identity.</w:t>
      </w:r>
    </w:p>
    <w:p w14:paraId="5AEB76B4" w14:textId="77777777" w:rsidR="004E0346" w:rsidRPr="004E0346" w:rsidRDefault="004E0346" w:rsidP="00295EC4">
      <w:pPr>
        <w:pStyle w:val="Heading3"/>
      </w:pPr>
      <w:r w:rsidRPr="004E0346">
        <w:t>Housing and Homelessness Policy and Reform:</w:t>
      </w:r>
    </w:p>
    <w:p w14:paraId="1635BF52" w14:textId="77777777" w:rsidR="004E0346" w:rsidRPr="004E0346" w:rsidRDefault="004E0346" w:rsidP="004E0346">
      <w:pPr>
        <w:spacing w:beforeLines="60" w:before="144" w:afterLines="60" w:after="144"/>
        <w:rPr>
          <w:szCs w:val="22"/>
          <w:lang w:eastAsia="en-AU"/>
        </w:rPr>
      </w:pPr>
      <w:r w:rsidRPr="004E0346">
        <w:rPr>
          <w:szCs w:val="22"/>
          <w:lang w:eastAsia="en-AU"/>
        </w:rPr>
        <w:t>The ACT Housing Strategy prioritises early intervention and intergenerational impact reduction, targeting support for young people, especially those escaping domestic violence. An integrated and coordinated human services system is central to this reform.</w:t>
      </w:r>
    </w:p>
    <w:p w14:paraId="26F95DCB" w14:textId="77777777" w:rsidR="004E0346" w:rsidRPr="004E0346" w:rsidRDefault="004E0346" w:rsidP="00295EC4">
      <w:pPr>
        <w:pStyle w:val="Heading3"/>
      </w:pPr>
      <w:r w:rsidRPr="004E0346">
        <w:t>Disability Policy and Reform:</w:t>
      </w:r>
    </w:p>
    <w:p w14:paraId="479006A5" w14:textId="77777777" w:rsidR="004E0346" w:rsidRPr="004E0346" w:rsidRDefault="004E0346" w:rsidP="004E0346">
      <w:pPr>
        <w:spacing w:beforeLines="60" w:before="144" w:afterLines="60" w:after="144"/>
        <w:rPr>
          <w:szCs w:val="22"/>
          <w:lang w:eastAsia="en-AU"/>
        </w:rPr>
      </w:pPr>
      <w:r w:rsidRPr="004E0346">
        <w:rPr>
          <w:szCs w:val="22"/>
          <w:lang w:eastAsia="en-AU"/>
        </w:rPr>
        <w:t xml:space="preserve">The ACT government is developing a new </w:t>
      </w:r>
      <w:proofErr w:type="gramStart"/>
      <w:r w:rsidRPr="004E0346">
        <w:rPr>
          <w:szCs w:val="22"/>
          <w:lang w:eastAsia="en-AU"/>
        </w:rPr>
        <w:t>10 year</w:t>
      </w:r>
      <w:proofErr w:type="gramEnd"/>
      <w:r w:rsidRPr="004E0346">
        <w:rPr>
          <w:szCs w:val="22"/>
          <w:lang w:eastAsia="en-AU"/>
        </w:rPr>
        <w:t xml:space="preserve"> ACT Disability Strategy to create a more welcoming and accessible community to improve the lives of the 80,000 Canberrans with disability. The ACT Disability Strategy will consolidate the ACT’s commitment to Australia’s Disability Strategy 2021–2031 and create actions and outcomes in our local community. Across the ACT Government there are a range of commitments being progressed to create better outcomes for people with disability and their families. These commitments include the development of an Inclusive Education Strategy, a Disability Health Strategy a Disability Employment Strategy and the second action plan for the Disability Justice Strategy 2019–2029. The ACT Disability Strategy will align these initiatives under a holistic framework and develop systemic actions across government.</w:t>
      </w:r>
    </w:p>
    <w:p w14:paraId="7B5BAFDF" w14:textId="77777777" w:rsidR="004E0346" w:rsidRPr="004E0346" w:rsidRDefault="004E0346" w:rsidP="004E0346">
      <w:pPr>
        <w:spacing w:beforeLines="60" w:before="144" w:afterLines="60" w:after="144"/>
        <w:rPr>
          <w:szCs w:val="22"/>
          <w:lang w:eastAsia="en-AU"/>
        </w:rPr>
      </w:pPr>
      <w:r w:rsidRPr="004E0346">
        <w:rPr>
          <w:szCs w:val="22"/>
          <w:lang w:eastAsia="en-AU"/>
        </w:rPr>
        <w:t xml:space="preserve">In September 2023 the Royal Commission into Violence, Abuse, Neglect and Exploitation of People with Disability final report was released. The ACT Government has committed to working with the disability community and all levels of government, in all sectors, to develop an ACT Government response to this Report in which the recommendations will be examined in the context of the ACT. </w:t>
      </w:r>
    </w:p>
    <w:p w14:paraId="0776E63E" w14:textId="77777777" w:rsidR="004E0346" w:rsidRPr="004E0346" w:rsidRDefault="004E0346" w:rsidP="004E0346">
      <w:pPr>
        <w:spacing w:beforeLines="60" w:before="144" w:afterLines="60" w:after="144"/>
        <w:rPr>
          <w:szCs w:val="22"/>
          <w:lang w:eastAsia="en-AU"/>
        </w:rPr>
      </w:pPr>
      <w:r w:rsidRPr="004E0346">
        <w:rPr>
          <w:szCs w:val="22"/>
          <w:lang w:eastAsia="en-AU"/>
        </w:rPr>
        <w:t>The Federal Minister for the National Disability Insurance Scheme announced a review of the National Disability Insurance Scheme (NDIS) in October 2022. The NDIS Review will look at the design, operations and sustainability of the NDIS. It will also look at ways to make the market and workforce more responsive, supportive and sustainable.</w:t>
      </w:r>
    </w:p>
    <w:p w14:paraId="7DF9031E" w14:textId="4E899A43" w:rsidR="004E0346" w:rsidRDefault="004E0346">
      <w:pPr>
        <w:spacing w:before="0" w:after="160" w:line="259" w:lineRule="auto"/>
        <w:rPr>
          <w:rFonts w:ascii="Arial" w:hAnsi="Arial"/>
          <w:b/>
          <w:color w:val="7030A0"/>
          <w:kern w:val="28"/>
          <w:sz w:val="44"/>
        </w:rPr>
      </w:pPr>
      <w:r>
        <w:rPr>
          <w:rFonts w:ascii="Arial" w:hAnsi="Arial"/>
          <w:b/>
          <w:color w:val="7030A0"/>
          <w:kern w:val="28"/>
          <w:sz w:val="44"/>
        </w:rPr>
        <w:br w:type="page"/>
      </w:r>
    </w:p>
    <w:p w14:paraId="0FEFE3D2" w14:textId="167C00ED" w:rsidR="004E0346" w:rsidRDefault="004E0346" w:rsidP="004E0346">
      <w:pPr>
        <w:spacing w:before="0" w:after="160" w:line="259" w:lineRule="auto"/>
        <w:rPr>
          <w:rFonts w:ascii="Arial" w:hAnsi="Arial"/>
          <w:b/>
          <w:color w:val="7030A0"/>
          <w:kern w:val="28"/>
          <w:sz w:val="44"/>
        </w:rPr>
      </w:pPr>
      <w:r w:rsidRPr="004E0346">
        <w:rPr>
          <w:rFonts w:ascii="Arial" w:hAnsi="Arial"/>
          <w:b/>
          <w:color w:val="7030A0"/>
          <w:kern w:val="28"/>
          <w:sz w:val="44"/>
        </w:rPr>
        <w:t>4.</w:t>
      </w:r>
      <w:r w:rsidRPr="004E0346">
        <w:rPr>
          <w:rFonts w:ascii="Arial" w:hAnsi="Arial"/>
          <w:b/>
          <w:color w:val="7030A0"/>
          <w:kern w:val="28"/>
          <w:sz w:val="44"/>
        </w:rPr>
        <w:tab/>
        <w:t>Insight and engagement summary</w:t>
      </w:r>
    </w:p>
    <w:p w14:paraId="7CC40996" w14:textId="0B0F1020" w:rsidR="004E0346" w:rsidRDefault="004E0346" w:rsidP="004E0346">
      <w:pPr>
        <w:pStyle w:val="Heading2"/>
      </w:pPr>
      <w:bookmarkStart w:id="35" w:name="_Toc149920363"/>
      <w:bookmarkStart w:id="36" w:name="_Toc150416689"/>
      <w:bookmarkStart w:id="37" w:name="_Toc150422232"/>
      <w:bookmarkStart w:id="38" w:name="_Toc152683326"/>
      <w:r>
        <w:t>Engagement Activities</w:t>
      </w:r>
      <w:bookmarkEnd w:id="35"/>
      <w:bookmarkEnd w:id="36"/>
      <w:bookmarkEnd w:id="37"/>
      <w:bookmarkEnd w:id="38"/>
      <w:r>
        <w:t xml:space="preserve"> </w:t>
      </w:r>
    </w:p>
    <w:p w14:paraId="07B0C8B1" w14:textId="77777777" w:rsidR="004E0346" w:rsidRPr="004E0346" w:rsidRDefault="004E0346" w:rsidP="004E0346">
      <w:pPr>
        <w:spacing w:beforeLines="60" w:before="144" w:afterLines="60" w:after="144"/>
        <w:rPr>
          <w:szCs w:val="22"/>
          <w:lang w:eastAsia="en-AU"/>
        </w:rPr>
      </w:pPr>
      <w:r w:rsidRPr="004E0346">
        <w:rPr>
          <w:szCs w:val="22"/>
          <w:lang w:eastAsia="en-AU"/>
        </w:rPr>
        <w:t xml:space="preserve">Together, we are reforming statutory and non-statutory services to improve the wellbeing of children, young people, and their families. Engagement activities with stakeholders across the child, youth and family support system has provided key insights and understanding that will inform how we can prioritise better outcomes for children, young people and families. </w:t>
      </w:r>
    </w:p>
    <w:p w14:paraId="240FD1E5" w14:textId="77777777" w:rsidR="004E0346" w:rsidRPr="004E0346" w:rsidRDefault="004E0346" w:rsidP="00295EC4">
      <w:pPr>
        <w:pStyle w:val="Heading3"/>
      </w:pPr>
      <w:r w:rsidRPr="004E0346">
        <w:t>Next Steps Focus Groups</w:t>
      </w:r>
    </w:p>
    <w:p w14:paraId="0DF3FC63" w14:textId="77777777" w:rsidR="004E0346" w:rsidRDefault="004E0346" w:rsidP="004E0346">
      <w:r w:rsidRPr="004E0346">
        <w:rPr>
          <w:szCs w:val="22"/>
          <w:lang w:eastAsia="en-AU"/>
        </w:rPr>
        <w:t xml:space="preserve">CSD’s Next Steps Strategy and Implementation Branch hosted 14 focus groups from April to June 2023 to engage internal and external stakeholders and seek feedback and advice on the New Service System. Over 200 experts from the government and non-government sectors, as well as people with lived experience, contributed to these focus groups, and an additional 7 </w:t>
      </w:r>
      <w:r w:rsidRPr="004E0346">
        <w:rPr>
          <w:lang w:eastAsia="en-AU"/>
        </w:rPr>
        <w:t>r</w:t>
      </w:r>
      <w:r w:rsidRPr="004E0346">
        <w:rPr>
          <w:szCs w:val="22"/>
          <w:lang w:eastAsia="en-AU"/>
        </w:rPr>
        <w:t>esponses with detailed written submissions using the</w:t>
      </w:r>
      <w:r w:rsidRPr="00462808">
        <w:t xml:space="preserve"> </w:t>
      </w:r>
      <w:hyperlink r:id="rId19" w:history="1">
        <w:r w:rsidRPr="00462808">
          <w:rPr>
            <w:rStyle w:val="Hyperlink"/>
          </w:rPr>
          <w:t xml:space="preserve">Next Steps for Our Kids 2022 – 2030 </w:t>
        </w:r>
        <w:proofErr w:type="spellStart"/>
        <w:r w:rsidRPr="00462808">
          <w:rPr>
            <w:rStyle w:val="Hyperlink"/>
          </w:rPr>
          <w:t>YourSay</w:t>
        </w:r>
        <w:proofErr w:type="spellEnd"/>
      </w:hyperlink>
      <w:r>
        <w:t xml:space="preserve"> </w:t>
      </w:r>
      <w:r w:rsidRPr="004E0346">
        <w:rPr>
          <w:szCs w:val="22"/>
          <w:lang w:eastAsia="en-AU"/>
        </w:rPr>
        <w:t>page. Representatives from the following agencies and organisations participated in the Next Steps focus groups:</w:t>
      </w:r>
    </w:p>
    <w:p w14:paraId="64260C4C" w14:textId="77777777" w:rsidR="004E0346" w:rsidRDefault="004E0346" w:rsidP="004E0346">
      <w:pPr>
        <w:pStyle w:val="bullet10"/>
        <w:spacing w:before="30" w:after="30"/>
      </w:pPr>
      <w:r w:rsidRPr="0074010F">
        <w:t>Aboriginal and Torres Strait Islander Lived Experience</w:t>
      </w:r>
    </w:p>
    <w:p w14:paraId="22B2B181" w14:textId="77777777" w:rsidR="004E0346" w:rsidRDefault="004E0346" w:rsidP="004E0346">
      <w:pPr>
        <w:pStyle w:val="bullet10"/>
        <w:spacing w:before="30" w:after="30"/>
      </w:pPr>
      <w:r>
        <w:t>ACT Government Children Youth and Families Leadership Group</w:t>
      </w:r>
    </w:p>
    <w:p w14:paraId="3C5058F0" w14:textId="77777777" w:rsidR="004E0346" w:rsidRPr="0074010F" w:rsidRDefault="004E0346" w:rsidP="004E0346">
      <w:pPr>
        <w:pStyle w:val="bullet10"/>
        <w:spacing w:before="30" w:after="30"/>
      </w:pPr>
      <w:r>
        <w:t>ACT Government Children Youth and Families Staff</w:t>
      </w:r>
    </w:p>
    <w:p w14:paraId="7170B611" w14:textId="77777777" w:rsidR="004E0346" w:rsidRPr="0074010F" w:rsidRDefault="004E0346" w:rsidP="004E0346">
      <w:pPr>
        <w:pStyle w:val="bullet10"/>
        <w:spacing w:before="30" w:after="30"/>
      </w:pPr>
      <w:r w:rsidRPr="0074010F">
        <w:t>ACT Together</w:t>
      </w:r>
    </w:p>
    <w:p w14:paraId="0C05A3F0" w14:textId="77777777" w:rsidR="004E0346" w:rsidRPr="0074010F" w:rsidRDefault="004E0346" w:rsidP="004E0346">
      <w:pPr>
        <w:pStyle w:val="bullet10"/>
        <w:spacing w:before="30" w:after="30"/>
      </w:pPr>
      <w:r w:rsidRPr="0074010F">
        <w:t>Anglicare NSW South, NSW West and ACT</w:t>
      </w:r>
    </w:p>
    <w:p w14:paraId="4F6EE81B" w14:textId="77777777" w:rsidR="004E0346" w:rsidRPr="0074010F" w:rsidRDefault="004E0346" w:rsidP="004E0346">
      <w:pPr>
        <w:pStyle w:val="bullet10"/>
        <w:spacing w:before="30" w:after="30"/>
      </w:pPr>
      <w:r w:rsidRPr="0074010F">
        <w:t>Australian Childhood Foundation</w:t>
      </w:r>
    </w:p>
    <w:p w14:paraId="6CCB3D4E" w14:textId="77777777" w:rsidR="004E0346" w:rsidRPr="0074010F" w:rsidRDefault="004E0346" w:rsidP="004E0346">
      <w:pPr>
        <w:pStyle w:val="bullet10"/>
        <w:spacing w:before="30" w:after="30"/>
      </w:pPr>
      <w:r w:rsidRPr="0074010F">
        <w:t>Australian Childhood Trauma Group</w:t>
      </w:r>
    </w:p>
    <w:p w14:paraId="4BFBCFF2" w14:textId="77777777" w:rsidR="004E0346" w:rsidRPr="0074010F" w:rsidRDefault="004E0346" w:rsidP="004E0346">
      <w:pPr>
        <w:pStyle w:val="bullet10"/>
        <w:spacing w:before="30" w:after="30"/>
      </w:pPr>
      <w:r w:rsidRPr="0074010F">
        <w:t>Australian Red Cross</w:t>
      </w:r>
    </w:p>
    <w:p w14:paraId="16656570" w14:textId="77777777" w:rsidR="004E0346" w:rsidRDefault="004E0346" w:rsidP="004E0346">
      <w:pPr>
        <w:pStyle w:val="bullet10"/>
        <w:spacing w:before="30" w:after="30"/>
      </w:pPr>
      <w:r w:rsidRPr="0074010F">
        <w:t>Barnardos Australia</w:t>
      </w:r>
    </w:p>
    <w:p w14:paraId="4AF12A17" w14:textId="77777777" w:rsidR="004E0346" w:rsidRPr="0074010F" w:rsidRDefault="004E0346" w:rsidP="004E0346">
      <w:pPr>
        <w:pStyle w:val="bullet10"/>
        <w:spacing w:before="30" w:after="30"/>
      </w:pPr>
      <w:r w:rsidRPr="001A384B">
        <w:t>The Benevolent Society</w:t>
      </w:r>
    </w:p>
    <w:p w14:paraId="20E89B3C" w14:textId="77777777" w:rsidR="004E0346" w:rsidRPr="0074010F" w:rsidRDefault="004E0346" w:rsidP="004E0346">
      <w:pPr>
        <w:pStyle w:val="bullet10"/>
        <w:spacing w:before="30" w:after="30"/>
      </w:pPr>
      <w:r w:rsidRPr="0074010F">
        <w:t>Capital Region Community Services</w:t>
      </w:r>
    </w:p>
    <w:p w14:paraId="16980F56" w14:textId="77777777" w:rsidR="004E0346" w:rsidRPr="00732DA2" w:rsidRDefault="004E0346" w:rsidP="004E0346">
      <w:pPr>
        <w:pStyle w:val="bullet10"/>
        <w:spacing w:before="30" w:after="30"/>
      </w:pPr>
      <w:r w:rsidRPr="00732DA2">
        <w:t>CatholicCare</w:t>
      </w:r>
    </w:p>
    <w:p w14:paraId="6291151B" w14:textId="77777777" w:rsidR="004E0346" w:rsidRPr="00732DA2" w:rsidRDefault="004E0346" w:rsidP="004E0346">
      <w:pPr>
        <w:pStyle w:val="bullet10"/>
        <w:spacing w:before="30" w:after="30"/>
      </w:pPr>
      <w:r w:rsidRPr="00732DA2">
        <w:t>Carers (Living / Lived Experience)</w:t>
      </w:r>
    </w:p>
    <w:p w14:paraId="72E395DB" w14:textId="77777777" w:rsidR="004E0346" w:rsidRPr="00732DA2" w:rsidRDefault="004E0346" w:rsidP="004E0346">
      <w:pPr>
        <w:pStyle w:val="bullet10"/>
        <w:spacing w:before="30" w:after="30"/>
      </w:pPr>
      <w:r w:rsidRPr="00732DA2">
        <w:t>Carers ACT</w:t>
      </w:r>
    </w:p>
    <w:p w14:paraId="1FF8E5BA" w14:textId="77777777" w:rsidR="004E0346" w:rsidRPr="00732DA2" w:rsidRDefault="004E0346" w:rsidP="004E0346">
      <w:pPr>
        <w:pStyle w:val="bullet10"/>
        <w:spacing w:before="30" w:after="30"/>
      </w:pPr>
      <w:r w:rsidRPr="00732DA2">
        <w:t xml:space="preserve">Children Australia Inc (trading as </w:t>
      </w:r>
      <w:proofErr w:type="spellStart"/>
      <w:r w:rsidRPr="00732DA2">
        <w:t>O</w:t>
      </w:r>
      <w:r>
        <w:t>z</w:t>
      </w:r>
      <w:r w:rsidRPr="00732DA2">
        <w:t>Child</w:t>
      </w:r>
      <w:proofErr w:type="spellEnd"/>
      <w:r w:rsidRPr="00732DA2">
        <w:t>)</w:t>
      </w:r>
    </w:p>
    <w:p w14:paraId="2A91CB17" w14:textId="77777777" w:rsidR="004E0346" w:rsidRPr="00732DA2" w:rsidRDefault="004E0346" w:rsidP="004E0346">
      <w:pPr>
        <w:pStyle w:val="bullet10"/>
        <w:spacing w:before="30" w:after="30"/>
      </w:pPr>
      <w:r w:rsidRPr="00732DA2">
        <w:t>Families ACT</w:t>
      </w:r>
    </w:p>
    <w:p w14:paraId="362905E0" w14:textId="77777777" w:rsidR="004E0346" w:rsidRDefault="004E0346" w:rsidP="004E0346">
      <w:pPr>
        <w:pStyle w:val="bullet10"/>
        <w:spacing w:before="30" w:after="30"/>
      </w:pPr>
      <w:r w:rsidRPr="00732DA2">
        <w:t>Focus ACT Ltd</w:t>
      </w:r>
    </w:p>
    <w:p w14:paraId="5ED33804" w14:textId="77777777" w:rsidR="004E0346" w:rsidRPr="00732DA2" w:rsidRDefault="004E0346" w:rsidP="004E0346">
      <w:pPr>
        <w:pStyle w:val="bullet10"/>
        <w:spacing w:before="30" w:after="30"/>
      </w:pPr>
      <w:proofErr w:type="spellStart"/>
      <w:r>
        <w:t>Karinya</w:t>
      </w:r>
      <w:proofErr w:type="spellEnd"/>
      <w:r>
        <w:t xml:space="preserve"> House for Mother and Babies</w:t>
      </w:r>
    </w:p>
    <w:p w14:paraId="6818E2E4" w14:textId="77777777" w:rsidR="004E0346" w:rsidRPr="00732DA2" w:rsidRDefault="004E0346" w:rsidP="004E0346">
      <w:pPr>
        <w:pStyle w:val="bullet10"/>
        <w:spacing w:before="30" w:after="30"/>
      </w:pPr>
      <w:r w:rsidRPr="00732DA2">
        <w:t>Key Assets – The Children’s Service Provider Australia) Limited</w:t>
      </w:r>
    </w:p>
    <w:p w14:paraId="1DC5452F" w14:textId="77777777" w:rsidR="004E0346" w:rsidRPr="00732DA2" w:rsidRDefault="004E0346" w:rsidP="004E0346">
      <w:pPr>
        <w:pStyle w:val="bullet10"/>
        <w:spacing w:before="30" w:after="30"/>
      </w:pPr>
      <w:r w:rsidRPr="00732DA2">
        <w:t>Life Without Barriers</w:t>
      </w:r>
    </w:p>
    <w:p w14:paraId="33FBD552" w14:textId="77777777" w:rsidR="004E0346" w:rsidRDefault="004E0346" w:rsidP="004E0346">
      <w:pPr>
        <w:pStyle w:val="bullet10"/>
        <w:spacing w:before="30" w:after="30"/>
      </w:pPr>
      <w:r w:rsidRPr="001A384B">
        <w:t>NAIDOC</w:t>
      </w:r>
    </w:p>
    <w:p w14:paraId="5F337BEF" w14:textId="77777777" w:rsidR="004E0346" w:rsidRPr="001A384B" w:rsidRDefault="004E0346" w:rsidP="004E0346">
      <w:pPr>
        <w:pStyle w:val="bullet10"/>
        <w:spacing w:before="30" w:after="30"/>
      </w:pPr>
      <w:r w:rsidRPr="001A384B">
        <w:t>Relationships Australia</w:t>
      </w:r>
    </w:p>
    <w:p w14:paraId="55267529" w14:textId="77777777" w:rsidR="004E0346" w:rsidRPr="001A384B" w:rsidRDefault="004E0346" w:rsidP="004E0346">
      <w:pPr>
        <w:pStyle w:val="bullet10"/>
        <w:spacing w:before="30" w:after="30"/>
      </w:pPr>
      <w:r>
        <w:t>Settlement Services International</w:t>
      </w:r>
    </w:p>
    <w:p w14:paraId="3F6990F8" w14:textId="77777777" w:rsidR="004E0346" w:rsidRPr="001A384B" w:rsidRDefault="004E0346" w:rsidP="004E0346">
      <w:pPr>
        <w:pStyle w:val="bullet10"/>
        <w:spacing w:before="30" w:after="30"/>
      </w:pPr>
      <w:r w:rsidRPr="001A384B">
        <w:t>Uniting NSW</w:t>
      </w:r>
      <w:r>
        <w:t xml:space="preserve"> and </w:t>
      </w:r>
      <w:r w:rsidRPr="001A384B">
        <w:t>ACT</w:t>
      </w:r>
    </w:p>
    <w:p w14:paraId="4FEB4339" w14:textId="77777777" w:rsidR="004E0346" w:rsidRDefault="004E0346" w:rsidP="004E0346">
      <w:pPr>
        <w:pStyle w:val="bullet10"/>
        <w:spacing w:before="30" w:after="30"/>
      </w:pPr>
      <w:r w:rsidRPr="001A384B">
        <w:t>Woden Community Service</w:t>
      </w:r>
    </w:p>
    <w:p w14:paraId="0F7EC657" w14:textId="77777777" w:rsidR="004E0346" w:rsidRPr="001A384B" w:rsidRDefault="004E0346" w:rsidP="004E0346">
      <w:pPr>
        <w:pStyle w:val="bullet10"/>
        <w:spacing w:before="30" w:after="30"/>
      </w:pPr>
      <w:r>
        <w:t>Women’s Legal Centre ACT</w:t>
      </w:r>
    </w:p>
    <w:p w14:paraId="0D8BA8E9" w14:textId="77777777" w:rsidR="004E0346" w:rsidRPr="001A384B" w:rsidRDefault="004E0346" w:rsidP="004E0346">
      <w:pPr>
        <w:pStyle w:val="bullet10"/>
        <w:spacing w:before="30" w:after="30"/>
      </w:pPr>
      <w:proofErr w:type="spellStart"/>
      <w:r w:rsidRPr="001A384B">
        <w:t>Yerrabi</w:t>
      </w:r>
      <w:proofErr w:type="spellEnd"/>
      <w:r w:rsidRPr="001A384B">
        <w:t xml:space="preserve"> </w:t>
      </w:r>
      <w:proofErr w:type="spellStart"/>
      <w:r w:rsidRPr="001A384B">
        <w:t>Yurwang</w:t>
      </w:r>
      <w:proofErr w:type="spellEnd"/>
      <w:r w:rsidRPr="001A384B">
        <w:t xml:space="preserve"> Child and Family Aboriginal Corporation</w:t>
      </w:r>
    </w:p>
    <w:p w14:paraId="41DBBA0D" w14:textId="77777777" w:rsidR="004E0346" w:rsidRPr="001A384B" w:rsidRDefault="004E0346" w:rsidP="004E0346">
      <w:pPr>
        <w:pStyle w:val="bullet10"/>
        <w:spacing w:before="30" w:after="30"/>
      </w:pPr>
      <w:r w:rsidRPr="001A384B">
        <w:t>Youth Coalition of the ACT</w:t>
      </w:r>
    </w:p>
    <w:p w14:paraId="257D6289" w14:textId="77777777" w:rsidR="004E0346" w:rsidRPr="00A57AD0" w:rsidRDefault="004E0346" w:rsidP="004E0346">
      <w:pPr>
        <w:pStyle w:val="bullet10"/>
        <w:spacing w:before="30" w:after="30"/>
      </w:pPr>
      <w:r>
        <w:t>Z</w:t>
      </w:r>
      <w:r w:rsidRPr="001A384B">
        <w:t>est Care Australia</w:t>
      </w:r>
    </w:p>
    <w:p w14:paraId="5639E521" w14:textId="77777777" w:rsidR="004E0346" w:rsidRPr="004E0346" w:rsidRDefault="004E0346" w:rsidP="00295EC4">
      <w:pPr>
        <w:pStyle w:val="Heading3"/>
      </w:pPr>
      <w:r w:rsidRPr="004E0346">
        <w:t>CYFSP Commissioning</w:t>
      </w:r>
    </w:p>
    <w:p w14:paraId="06180825" w14:textId="77777777" w:rsidR="004E0346" w:rsidRPr="004E0346" w:rsidRDefault="004E0346" w:rsidP="004E0346">
      <w:pPr>
        <w:spacing w:beforeLines="60" w:before="144" w:afterLines="60" w:after="144"/>
        <w:rPr>
          <w:szCs w:val="22"/>
          <w:lang w:eastAsia="en-AU"/>
        </w:rPr>
      </w:pPr>
      <w:r w:rsidRPr="004E0346">
        <w:rPr>
          <w:szCs w:val="22"/>
          <w:lang w:eastAsia="en-AU"/>
        </w:rPr>
        <w:t>Commissioning for the Child and Youth Family Support Program (CYFSP) commenced in mid-2022 with the release of the CYFSP Discovery Paper. Recognising the need for a deliberate and targeted engagement approach due to the amount of concurrent commissioning processes, the CYFSP Directors group recommended the establishment of an Engagement and Collaboration Working Group. This group brought together government and community partners to design the CYFSP Engagement and Collaboration Plan, guiding the activities, sequence, and stakeholders involved.</w:t>
      </w:r>
    </w:p>
    <w:p w14:paraId="62FD2F28" w14:textId="77777777" w:rsidR="004E0346" w:rsidRPr="004E0346" w:rsidRDefault="004E0346" w:rsidP="004E0346">
      <w:pPr>
        <w:spacing w:beforeLines="60" w:before="144" w:afterLines="60" w:after="144"/>
        <w:rPr>
          <w:szCs w:val="22"/>
          <w:lang w:eastAsia="en-AU"/>
        </w:rPr>
      </w:pPr>
      <w:r w:rsidRPr="004E0346">
        <w:rPr>
          <w:szCs w:val="22"/>
          <w:lang w:eastAsia="en-AU"/>
        </w:rPr>
        <w:t>During the strategise and design phases of the CYFSP commissioning process, CSD engaged 348 stakeholders across ten activities, including nine face-to-face activities and three online surveys. These participants represented diverse backgrounds, including individuals with lived experience, community organisation representatives, and government officials.</w:t>
      </w:r>
    </w:p>
    <w:tbl>
      <w:tblPr>
        <w:tblStyle w:val="TableGrid"/>
        <w:tblW w:w="0" w:type="auto"/>
        <w:tblLook w:val="04A0" w:firstRow="1" w:lastRow="0" w:firstColumn="1" w:lastColumn="0" w:noHBand="0" w:noVBand="1"/>
      </w:tblPr>
      <w:tblGrid>
        <w:gridCol w:w="3186"/>
        <w:gridCol w:w="3186"/>
        <w:gridCol w:w="3186"/>
      </w:tblGrid>
      <w:tr w:rsidR="00295EC4" w14:paraId="7FA62C4A" w14:textId="77777777" w:rsidTr="00295EC4">
        <w:trPr>
          <w:trHeight w:val="426"/>
        </w:trPr>
        <w:tc>
          <w:tcPr>
            <w:tcW w:w="3186" w:type="dxa"/>
            <w:shd w:val="clear" w:color="auto" w:fill="7030A0"/>
          </w:tcPr>
          <w:p w14:paraId="260708D2" w14:textId="77777777" w:rsidR="004E0346" w:rsidRPr="00295EC4" w:rsidRDefault="004E0346" w:rsidP="00295EC4">
            <w:pPr>
              <w:jc w:val="center"/>
              <w:rPr>
                <w:b/>
                <w:bCs/>
                <w:color w:val="FFFFFF" w:themeColor="background1"/>
              </w:rPr>
            </w:pPr>
            <w:r w:rsidRPr="00295EC4">
              <w:rPr>
                <w:b/>
                <w:bCs/>
                <w:color w:val="FFFFFF" w:themeColor="background1"/>
              </w:rPr>
              <w:t>Stakeholder Group</w:t>
            </w:r>
          </w:p>
        </w:tc>
        <w:tc>
          <w:tcPr>
            <w:tcW w:w="3186" w:type="dxa"/>
            <w:shd w:val="clear" w:color="auto" w:fill="7030A0"/>
          </w:tcPr>
          <w:p w14:paraId="76EA1A5B" w14:textId="6519A321" w:rsidR="004E0346" w:rsidRPr="00295EC4" w:rsidRDefault="004E0346" w:rsidP="00295EC4">
            <w:pPr>
              <w:jc w:val="center"/>
              <w:rPr>
                <w:b/>
                <w:bCs/>
                <w:color w:val="FFFFFF" w:themeColor="background1"/>
              </w:rPr>
            </w:pPr>
            <w:r w:rsidRPr="00295EC4">
              <w:rPr>
                <w:b/>
                <w:bCs/>
                <w:color w:val="FFFFFF" w:themeColor="background1"/>
              </w:rPr>
              <w:t>Face to Face Activity</w:t>
            </w:r>
          </w:p>
        </w:tc>
        <w:tc>
          <w:tcPr>
            <w:tcW w:w="3186" w:type="dxa"/>
            <w:shd w:val="clear" w:color="auto" w:fill="7030A0"/>
          </w:tcPr>
          <w:p w14:paraId="0E020C7F" w14:textId="2394163C" w:rsidR="004E0346" w:rsidRPr="00295EC4" w:rsidRDefault="004E0346" w:rsidP="00295EC4">
            <w:pPr>
              <w:jc w:val="center"/>
              <w:rPr>
                <w:b/>
                <w:bCs/>
                <w:color w:val="FFFFFF" w:themeColor="background1"/>
              </w:rPr>
            </w:pPr>
            <w:r w:rsidRPr="00295EC4">
              <w:rPr>
                <w:b/>
                <w:bCs/>
                <w:color w:val="FFFFFF" w:themeColor="background1"/>
              </w:rPr>
              <w:t>Survey</w:t>
            </w:r>
          </w:p>
        </w:tc>
      </w:tr>
      <w:tr w:rsidR="004E0346" w14:paraId="2682C680" w14:textId="77777777" w:rsidTr="00295EC4">
        <w:trPr>
          <w:trHeight w:val="609"/>
        </w:trPr>
        <w:tc>
          <w:tcPr>
            <w:tcW w:w="3186" w:type="dxa"/>
          </w:tcPr>
          <w:p w14:paraId="24FE1004" w14:textId="77777777" w:rsidR="004E0346" w:rsidRDefault="004E0346" w:rsidP="00A505A7">
            <w:r>
              <w:t xml:space="preserve">People with Lived experience </w:t>
            </w:r>
          </w:p>
        </w:tc>
        <w:tc>
          <w:tcPr>
            <w:tcW w:w="3186" w:type="dxa"/>
          </w:tcPr>
          <w:p w14:paraId="41B92A1E" w14:textId="77777777" w:rsidR="004E0346" w:rsidRDefault="004E0346" w:rsidP="00295EC4">
            <w:pPr>
              <w:jc w:val="center"/>
            </w:pPr>
            <w:r>
              <w:t>8</w:t>
            </w:r>
          </w:p>
        </w:tc>
        <w:tc>
          <w:tcPr>
            <w:tcW w:w="3186" w:type="dxa"/>
          </w:tcPr>
          <w:p w14:paraId="7791915E" w14:textId="77777777" w:rsidR="004E0346" w:rsidRDefault="004E0346" w:rsidP="00295EC4">
            <w:pPr>
              <w:jc w:val="center"/>
            </w:pPr>
            <w:r>
              <w:t>69</w:t>
            </w:r>
          </w:p>
        </w:tc>
      </w:tr>
      <w:tr w:rsidR="004E0346" w14:paraId="4F9EBDE1" w14:textId="77777777" w:rsidTr="00295EC4">
        <w:trPr>
          <w:trHeight w:val="618"/>
        </w:trPr>
        <w:tc>
          <w:tcPr>
            <w:tcW w:w="3186" w:type="dxa"/>
          </w:tcPr>
          <w:p w14:paraId="0205E004" w14:textId="77777777" w:rsidR="004E0346" w:rsidRDefault="004E0346" w:rsidP="00A505A7">
            <w:r>
              <w:t xml:space="preserve">Community Partner Representative </w:t>
            </w:r>
          </w:p>
        </w:tc>
        <w:tc>
          <w:tcPr>
            <w:tcW w:w="3186" w:type="dxa"/>
          </w:tcPr>
          <w:p w14:paraId="366F9FD1" w14:textId="77777777" w:rsidR="004E0346" w:rsidRDefault="004E0346" w:rsidP="00295EC4">
            <w:pPr>
              <w:jc w:val="center"/>
            </w:pPr>
            <w:r>
              <w:t>127</w:t>
            </w:r>
          </w:p>
        </w:tc>
        <w:tc>
          <w:tcPr>
            <w:tcW w:w="3186" w:type="dxa"/>
          </w:tcPr>
          <w:p w14:paraId="7352EEC4" w14:textId="77777777" w:rsidR="004E0346" w:rsidRDefault="004E0346" w:rsidP="00295EC4">
            <w:pPr>
              <w:jc w:val="center"/>
            </w:pPr>
            <w:r>
              <w:t>58</w:t>
            </w:r>
          </w:p>
        </w:tc>
      </w:tr>
      <w:tr w:rsidR="004E0346" w14:paraId="0BE186F2" w14:textId="77777777" w:rsidTr="00295EC4">
        <w:trPr>
          <w:trHeight w:val="609"/>
        </w:trPr>
        <w:tc>
          <w:tcPr>
            <w:tcW w:w="3186" w:type="dxa"/>
          </w:tcPr>
          <w:p w14:paraId="17E73124" w14:textId="77777777" w:rsidR="004E0346" w:rsidRDefault="004E0346" w:rsidP="00A505A7">
            <w:r>
              <w:t xml:space="preserve">Government Representative </w:t>
            </w:r>
          </w:p>
        </w:tc>
        <w:tc>
          <w:tcPr>
            <w:tcW w:w="3186" w:type="dxa"/>
          </w:tcPr>
          <w:p w14:paraId="1B54E1BC" w14:textId="77777777" w:rsidR="004E0346" w:rsidRDefault="004E0346" w:rsidP="00295EC4">
            <w:pPr>
              <w:jc w:val="center"/>
            </w:pPr>
            <w:r>
              <w:t>61</w:t>
            </w:r>
          </w:p>
        </w:tc>
        <w:tc>
          <w:tcPr>
            <w:tcW w:w="3186" w:type="dxa"/>
          </w:tcPr>
          <w:p w14:paraId="2264B0DB" w14:textId="77777777" w:rsidR="004E0346" w:rsidRDefault="004E0346" w:rsidP="00295EC4">
            <w:pPr>
              <w:jc w:val="center"/>
            </w:pPr>
            <w:r>
              <w:t>21</w:t>
            </w:r>
          </w:p>
        </w:tc>
      </w:tr>
      <w:tr w:rsidR="004E0346" w14:paraId="37448B3C" w14:textId="77777777" w:rsidTr="00295EC4">
        <w:trPr>
          <w:trHeight w:val="618"/>
        </w:trPr>
        <w:tc>
          <w:tcPr>
            <w:tcW w:w="3186" w:type="dxa"/>
          </w:tcPr>
          <w:p w14:paraId="6602AD08" w14:textId="77777777" w:rsidR="004E0346" w:rsidRDefault="004E0346" w:rsidP="00A505A7">
            <w:r>
              <w:t>Other (including Private Sector)</w:t>
            </w:r>
          </w:p>
        </w:tc>
        <w:tc>
          <w:tcPr>
            <w:tcW w:w="3186" w:type="dxa"/>
          </w:tcPr>
          <w:p w14:paraId="0FB4F1D0" w14:textId="77777777" w:rsidR="004E0346" w:rsidRDefault="004E0346" w:rsidP="00295EC4">
            <w:pPr>
              <w:jc w:val="center"/>
            </w:pPr>
            <w:r>
              <w:t>0</w:t>
            </w:r>
          </w:p>
        </w:tc>
        <w:tc>
          <w:tcPr>
            <w:tcW w:w="3186" w:type="dxa"/>
          </w:tcPr>
          <w:p w14:paraId="2BAD6D3D" w14:textId="77777777" w:rsidR="004E0346" w:rsidRDefault="004E0346" w:rsidP="00295EC4">
            <w:pPr>
              <w:jc w:val="center"/>
            </w:pPr>
            <w:r>
              <w:t>4</w:t>
            </w:r>
          </w:p>
        </w:tc>
      </w:tr>
    </w:tbl>
    <w:p w14:paraId="65FB2B0A" w14:textId="77777777" w:rsidR="004E0346" w:rsidRDefault="004E0346" w:rsidP="004E0346">
      <w:r w:rsidRPr="00295EC4">
        <w:rPr>
          <w:szCs w:val="22"/>
          <w:lang w:eastAsia="en-AU"/>
        </w:rPr>
        <w:t>The engagement activates undertaken to date in this process are available</w:t>
      </w:r>
      <w:r w:rsidRPr="0048644E">
        <w:t xml:space="preserve"> </w:t>
      </w:r>
      <w:hyperlink r:id="rId20" w:history="1">
        <w:r w:rsidRPr="0048644E">
          <w:rPr>
            <w:rStyle w:val="Hyperlink"/>
          </w:rPr>
          <w:t>here</w:t>
        </w:r>
      </w:hyperlink>
      <w:r w:rsidRPr="0048644E">
        <w:t xml:space="preserve"> </w:t>
      </w:r>
      <w:r w:rsidRPr="00295EC4">
        <w:rPr>
          <w:szCs w:val="22"/>
          <w:lang w:eastAsia="en-AU"/>
        </w:rPr>
        <w:t>and provide a detailed look at the activities undertaken.</w:t>
      </w:r>
      <w:r w:rsidRPr="0048644E">
        <w:t xml:space="preserve"> </w:t>
      </w:r>
    </w:p>
    <w:p w14:paraId="6FAEFEC3" w14:textId="77777777" w:rsidR="004E0346" w:rsidRPr="00295EC4" w:rsidRDefault="004E0346" w:rsidP="00295EC4">
      <w:pPr>
        <w:pStyle w:val="Heading3"/>
      </w:pPr>
      <w:r w:rsidRPr="00295EC4">
        <w:t xml:space="preserve">MACR </w:t>
      </w:r>
    </w:p>
    <w:p w14:paraId="277080C4" w14:textId="77777777" w:rsidR="004E0346" w:rsidRPr="00295EC4" w:rsidRDefault="004E0346" w:rsidP="00295EC4">
      <w:pPr>
        <w:spacing w:beforeLines="60" w:before="144" w:afterLines="60" w:after="144"/>
        <w:rPr>
          <w:szCs w:val="22"/>
          <w:lang w:eastAsia="en-AU"/>
        </w:rPr>
      </w:pPr>
      <w:r w:rsidRPr="00295EC4">
        <w:rPr>
          <w:szCs w:val="22"/>
          <w:lang w:eastAsia="en-AU"/>
        </w:rPr>
        <w:t xml:space="preserve">Consultations on raising the minimum age of criminal responsibility have been ongoing for </w:t>
      </w:r>
      <w:proofErr w:type="gramStart"/>
      <w:r w:rsidRPr="00295EC4">
        <w:rPr>
          <w:szCs w:val="22"/>
          <w:lang w:eastAsia="en-AU"/>
        </w:rPr>
        <w:t>a number of</w:t>
      </w:r>
      <w:proofErr w:type="gramEnd"/>
      <w:r w:rsidRPr="00295EC4">
        <w:rPr>
          <w:szCs w:val="22"/>
          <w:lang w:eastAsia="en-AU"/>
        </w:rPr>
        <w:t xml:space="preserve"> years. A position paper released in November 2022 reflected the feedback heard through earlier consultations and submissions and outlined how this reform would be implemented, key policy decisions already taken and what elements required further consultation. </w:t>
      </w:r>
    </w:p>
    <w:p w14:paraId="2208B7D8" w14:textId="77777777" w:rsidR="004E0346" w:rsidRPr="00295EC4" w:rsidRDefault="004E0346" w:rsidP="00295EC4">
      <w:pPr>
        <w:spacing w:beforeLines="60" w:before="144" w:afterLines="60" w:after="144"/>
        <w:rPr>
          <w:szCs w:val="22"/>
          <w:lang w:eastAsia="en-AU"/>
        </w:rPr>
      </w:pPr>
      <w:r w:rsidRPr="00295EC4">
        <w:rPr>
          <w:szCs w:val="22"/>
          <w:lang w:eastAsia="en-AU"/>
        </w:rPr>
        <w:t>In addition, the ACT Government commissioned an independent review led by Emeritus Professor Morag McArthur in 2021. The review's</w:t>
      </w:r>
      <w:r w:rsidRPr="00A460E3">
        <w:rPr>
          <w:rFonts w:asciiTheme="minorHAnsi" w:hAnsiTheme="minorHAnsi" w:cstheme="minorHAnsi"/>
          <w:color w:val="313131"/>
          <w:sz w:val="21"/>
          <w:szCs w:val="21"/>
        </w:rPr>
        <w:t> </w:t>
      </w:r>
      <w:hyperlink r:id="rId21" w:history="1">
        <w:r w:rsidRPr="00A460E3">
          <w:rPr>
            <w:rStyle w:val="Hyperlink"/>
            <w:rFonts w:asciiTheme="minorHAnsi" w:hAnsiTheme="minorHAnsi" w:cstheme="minorHAnsi"/>
            <w:b/>
            <w:bCs/>
            <w:color w:val="097BBC"/>
            <w:sz w:val="21"/>
            <w:szCs w:val="21"/>
          </w:rPr>
          <w:t>Final Report</w:t>
        </w:r>
      </w:hyperlink>
      <w:r w:rsidRPr="00A460E3">
        <w:rPr>
          <w:rFonts w:asciiTheme="minorHAnsi" w:hAnsiTheme="minorHAnsi" w:cstheme="minorHAnsi"/>
          <w:color w:val="313131"/>
          <w:sz w:val="21"/>
          <w:szCs w:val="21"/>
        </w:rPr>
        <w:t> </w:t>
      </w:r>
      <w:r w:rsidRPr="00295EC4">
        <w:rPr>
          <w:szCs w:val="22"/>
          <w:lang w:eastAsia="en-AU"/>
        </w:rPr>
        <w:t xml:space="preserve">identified service system changes to support children and young people when the minimum age is raised. </w:t>
      </w:r>
      <w:proofErr w:type="gramStart"/>
      <w:r w:rsidRPr="00295EC4">
        <w:rPr>
          <w:szCs w:val="22"/>
          <w:lang w:eastAsia="en-AU"/>
        </w:rPr>
        <w:t>All of</w:t>
      </w:r>
      <w:proofErr w:type="gramEnd"/>
      <w:r w:rsidRPr="00295EC4">
        <w:rPr>
          <w:szCs w:val="22"/>
          <w:lang w:eastAsia="en-AU"/>
        </w:rPr>
        <w:t xml:space="preserve"> this work directly contributed to the introduction of the amendment bill to the ACT Legislative Assembly in May 2023 and the ongoing service design work to support implementation. </w:t>
      </w:r>
    </w:p>
    <w:p w14:paraId="4381AEBD" w14:textId="77777777" w:rsidR="004E0346" w:rsidRPr="00295EC4" w:rsidRDefault="004E0346" w:rsidP="00295EC4">
      <w:pPr>
        <w:spacing w:beforeLines="60" w:before="144" w:afterLines="60" w:after="144"/>
        <w:rPr>
          <w:szCs w:val="22"/>
          <w:lang w:eastAsia="en-AU"/>
        </w:rPr>
      </w:pPr>
      <w:r w:rsidRPr="00295EC4">
        <w:rPr>
          <w:szCs w:val="22"/>
          <w:lang w:eastAsia="en-AU"/>
        </w:rPr>
        <w:t xml:space="preserve">In response to the proposed legislated amendments, CSD hosted two workshops in July and August 2023 to provide an opportunity to collectively inform how the human services system might support the implementation of the alternative service response. This includes the effective operation of the Therapeutic Support Panel, whose remit is to provide a multi-disciplinary approach to addressing harmful behaviours for children and young people as a diversion path from youth justice. Over 50 organisations, both government and non-government attended across the two workshops and considered two discrete processes relating to the alternative service response to raising the minimum age of criminal responsibility – that is the referral to the Therapeutic Support Panel, and the interaction with the broader support system to whom the panel may refer. </w:t>
      </w:r>
    </w:p>
    <w:p w14:paraId="61195742" w14:textId="77777777" w:rsidR="004E0346" w:rsidRPr="00C26C7C" w:rsidRDefault="004E0346" w:rsidP="00295EC4">
      <w:pPr>
        <w:spacing w:beforeLines="60" w:before="144" w:afterLines="60" w:after="144"/>
      </w:pPr>
      <w:r w:rsidRPr="00295EC4">
        <w:rPr>
          <w:szCs w:val="22"/>
          <w:lang w:eastAsia="en-AU"/>
        </w:rPr>
        <w:t>A full report of the workshops’ findings can be found</w:t>
      </w:r>
      <w:r>
        <w:t xml:space="preserve"> </w:t>
      </w:r>
      <w:hyperlink r:id="rId22" w:history="1">
        <w:r w:rsidRPr="0052396C">
          <w:rPr>
            <w:rStyle w:val="Hyperlink"/>
          </w:rPr>
          <w:t>here.</w:t>
        </w:r>
      </w:hyperlink>
    </w:p>
    <w:p w14:paraId="24356D93" w14:textId="77777777" w:rsidR="004E0346" w:rsidRDefault="004E0346" w:rsidP="004E0346">
      <w:pPr>
        <w:pStyle w:val="Heading2"/>
      </w:pPr>
      <w:bookmarkStart w:id="39" w:name="_Toc146706613"/>
      <w:bookmarkStart w:id="40" w:name="_Toc146706614"/>
      <w:bookmarkStart w:id="41" w:name="_Toc146706615"/>
      <w:bookmarkStart w:id="42" w:name="_Toc146706616"/>
      <w:bookmarkStart w:id="43" w:name="_Toc146706617"/>
      <w:bookmarkStart w:id="44" w:name="_Toc146706618"/>
      <w:bookmarkStart w:id="45" w:name="_Toc146706619"/>
      <w:bookmarkStart w:id="46" w:name="_Toc146706620"/>
      <w:bookmarkStart w:id="47" w:name="_Toc146706621"/>
      <w:bookmarkStart w:id="48" w:name="_Toc146706622"/>
      <w:bookmarkStart w:id="49" w:name="_Toc146706623"/>
      <w:bookmarkStart w:id="50" w:name="_Toc146706624"/>
      <w:bookmarkStart w:id="51" w:name="_Toc146706625"/>
      <w:bookmarkStart w:id="52" w:name="_Toc146706626"/>
      <w:bookmarkStart w:id="53" w:name="_Toc146706627"/>
      <w:bookmarkStart w:id="54" w:name="_Toc146706628"/>
      <w:bookmarkStart w:id="55" w:name="_Toc146706629"/>
      <w:bookmarkStart w:id="56" w:name="_Toc146706630"/>
      <w:bookmarkStart w:id="57" w:name="_Toc146706631"/>
      <w:bookmarkStart w:id="58" w:name="_Toc146706632"/>
      <w:bookmarkStart w:id="59" w:name="_Toc146706633"/>
      <w:bookmarkStart w:id="60" w:name="_Toc146706634"/>
      <w:bookmarkStart w:id="61" w:name="_Toc146706635"/>
      <w:bookmarkStart w:id="62" w:name="_Toc146706636"/>
      <w:bookmarkStart w:id="63" w:name="_Toc146706637"/>
      <w:bookmarkStart w:id="64" w:name="_Toc146706638"/>
      <w:bookmarkStart w:id="65" w:name="_Toc146706639"/>
      <w:bookmarkStart w:id="66" w:name="_Toc146706640"/>
      <w:bookmarkStart w:id="67" w:name="_Toc146706641"/>
      <w:bookmarkStart w:id="68" w:name="_Toc146706642"/>
      <w:bookmarkStart w:id="69" w:name="_Toc146706643"/>
      <w:bookmarkStart w:id="70" w:name="_Toc149920364"/>
      <w:bookmarkStart w:id="71" w:name="_Toc150416690"/>
      <w:bookmarkStart w:id="72" w:name="_Toc150422233"/>
      <w:bookmarkStart w:id="73" w:name="_Toc152683327"/>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BD293D">
        <w:t>What we have heard</w:t>
      </w:r>
      <w:bookmarkEnd w:id="70"/>
      <w:bookmarkEnd w:id="71"/>
      <w:bookmarkEnd w:id="72"/>
      <w:bookmarkEnd w:id="73"/>
      <w:r>
        <w:t xml:space="preserve"> </w:t>
      </w:r>
    </w:p>
    <w:p w14:paraId="30B957C7" w14:textId="77777777" w:rsidR="004E0346" w:rsidRPr="00295EC4" w:rsidRDefault="004E0346" w:rsidP="00295EC4">
      <w:pPr>
        <w:pStyle w:val="Heading3"/>
      </w:pPr>
      <w:bookmarkStart w:id="74" w:name="_Toc149920365"/>
      <w:bookmarkStart w:id="75" w:name="_Toc150416691"/>
      <w:bookmarkStart w:id="76" w:name="_Toc150422234"/>
      <w:bookmarkStart w:id="77" w:name="_Toc152683328"/>
      <w:r w:rsidRPr="00295EC4">
        <w:t>Understanding the sector landscape</w:t>
      </w:r>
      <w:bookmarkEnd w:id="74"/>
      <w:bookmarkEnd w:id="75"/>
      <w:bookmarkEnd w:id="76"/>
      <w:bookmarkEnd w:id="77"/>
    </w:p>
    <w:p w14:paraId="516929AF" w14:textId="77777777" w:rsidR="004E0346" w:rsidRPr="00295EC4" w:rsidRDefault="004E0346" w:rsidP="00295EC4">
      <w:pPr>
        <w:spacing w:beforeLines="60" w:before="144" w:afterLines="60" w:after="144"/>
        <w:rPr>
          <w:szCs w:val="22"/>
          <w:lang w:eastAsia="en-AU"/>
        </w:rPr>
      </w:pPr>
      <w:r w:rsidRPr="00295EC4">
        <w:rPr>
          <w:szCs w:val="22"/>
          <w:lang w:eastAsia="en-AU"/>
        </w:rPr>
        <w:t>The Commissioning of services for children, young people and families has identified the opportunity to better ensure that there is an integrated spectrum of support available to children, young people and families through greater connection. Consistent with the Next Steps for our Kids (Next Steps</w:t>
      </w:r>
      <w:proofErr w:type="gramStart"/>
      <w:r w:rsidRPr="00295EC4">
        <w:rPr>
          <w:szCs w:val="22"/>
          <w:lang w:eastAsia="en-AU"/>
        </w:rPr>
        <w:t>) ,</w:t>
      </w:r>
      <w:proofErr w:type="gramEnd"/>
      <w:r w:rsidRPr="00295EC4">
        <w:rPr>
          <w:szCs w:val="22"/>
          <w:lang w:eastAsia="en-AU"/>
        </w:rPr>
        <w:t xml:space="preserve"> there needs to be a greater shift to focus on preventing children entering the statutory system.</w:t>
      </w:r>
    </w:p>
    <w:p w14:paraId="4A7107D9" w14:textId="77777777" w:rsidR="004E0346" w:rsidRPr="00295EC4" w:rsidRDefault="004E0346" w:rsidP="00295EC4">
      <w:pPr>
        <w:spacing w:beforeLines="60" w:before="144" w:afterLines="60" w:after="144"/>
        <w:rPr>
          <w:szCs w:val="22"/>
          <w:lang w:eastAsia="en-AU"/>
        </w:rPr>
      </w:pPr>
      <w:r w:rsidRPr="00295EC4">
        <w:rPr>
          <w:szCs w:val="22"/>
          <w:lang w:eastAsia="en-AU"/>
        </w:rPr>
        <w:t xml:space="preserve">Commissioning to date indicates there is already a spectrum of support activity occurring but that the interface between those and the statutory system is not always ideal. How the spectrum of support could look is included below. </w:t>
      </w:r>
    </w:p>
    <w:p w14:paraId="6D46F189" w14:textId="77777777" w:rsidR="004E0346" w:rsidRDefault="004E0346" w:rsidP="004E0346">
      <w:pPr>
        <w:pStyle w:val="Heading2"/>
      </w:pPr>
      <w:bookmarkStart w:id="78" w:name="_Toc150416692"/>
      <w:bookmarkStart w:id="79" w:name="_Toc150422235"/>
      <w:bookmarkStart w:id="80" w:name="_Toc152683329"/>
      <w:r>
        <w:t>Support Spectrum – Prioritising Need</w:t>
      </w:r>
      <w:bookmarkEnd w:id="78"/>
      <w:bookmarkEnd w:id="79"/>
      <w:bookmarkEnd w:id="80"/>
      <w:r>
        <w:t xml:space="preserve"> </w:t>
      </w:r>
    </w:p>
    <w:p w14:paraId="55AD0F93" w14:textId="77777777" w:rsidR="004E0346" w:rsidRPr="00295EC4" w:rsidRDefault="004E0346" w:rsidP="00295EC4">
      <w:pPr>
        <w:spacing w:beforeLines="60" w:before="144" w:afterLines="60" w:after="144"/>
        <w:rPr>
          <w:szCs w:val="22"/>
          <w:lang w:eastAsia="en-AU"/>
        </w:rPr>
      </w:pPr>
      <w:r w:rsidRPr="00295EC4">
        <w:rPr>
          <w:noProof/>
          <w:szCs w:val="22"/>
          <w:lang w:eastAsia="en-AU"/>
        </w:rPr>
        <w:drawing>
          <wp:anchor distT="0" distB="0" distL="114300" distR="114300" simplePos="0" relativeHeight="251664384" behindDoc="0" locked="0" layoutInCell="1" allowOverlap="1" wp14:anchorId="60D1B273" wp14:editId="1B744CA4">
            <wp:simplePos x="0" y="0"/>
            <wp:positionH relativeFrom="column">
              <wp:posOffset>4445</wp:posOffset>
            </wp:positionH>
            <wp:positionV relativeFrom="paragraph">
              <wp:posOffset>74930</wp:posOffset>
            </wp:positionV>
            <wp:extent cx="4860290" cy="2480310"/>
            <wp:effectExtent l="0" t="0" r="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860290" cy="2480310"/>
                    </a:xfrm>
                    <a:prstGeom prst="rect">
                      <a:avLst/>
                    </a:prstGeom>
                  </pic:spPr>
                </pic:pic>
              </a:graphicData>
            </a:graphic>
          </wp:anchor>
        </w:drawing>
      </w:r>
      <w:r w:rsidRPr="00295EC4">
        <w:rPr>
          <w:szCs w:val="22"/>
          <w:lang w:eastAsia="en-AU"/>
        </w:rPr>
        <w:t xml:space="preserve">The Support Spectrum is characterised by three segments – Preventative Support, Targeted Support and Diversionary Support – that can be further broken down across eight zones.  Together they represent the full range of supports and services that work towards the shared outcomes of keeping children, young people and families safe and supporting them to achieve their potential. The types of supports and services reflected across this spectrum are defined as follows: </w:t>
      </w:r>
    </w:p>
    <w:tbl>
      <w:tblPr>
        <w:tblStyle w:val="TableGrid"/>
        <w:tblW w:w="9000" w:type="dxa"/>
        <w:tblLook w:val="04A0" w:firstRow="1" w:lastRow="0" w:firstColumn="1" w:lastColumn="0" w:noHBand="0" w:noVBand="1"/>
      </w:tblPr>
      <w:tblGrid>
        <w:gridCol w:w="1442"/>
        <w:gridCol w:w="7558"/>
      </w:tblGrid>
      <w:tr w:rsidR="004E0346" w14:paraId="6231F11E" w14:textId="77777777" w:rsidTr="00295EC4">
        <w:trPr>
          <w:trHeight w:val="19"/>
        </w:trPr>
        <w:tc>
          <w:tcPr>
            <w:tcW w:w="9000" w:type="dxa"/>
            <w:gridSpan w:val="2"/>
            <w:shd w:val="clear" w:color="auto" w:fill="7030A0"/>
          </w:tcPr>
          <w:p w14:paraId="6B3B6F83" w14:textId="77777777" w:rsidR="004E0346" w:rsidRPr="00295EC4" w:rsidRDefault="004E0346" w:rsidP="00A505A7">
            <w:pPr>
              <w:spacing w:after="160" w:line="259" w:lineRule="auto"/>
              <w:jc w:val="center"/>
              <w:rPr>
                <w:b/>
                <w:bCs/>
              </w:rPr>
            </w:pPr>
            <w:r w:rsidRPr="00295EC4">
              <w:rPr>
                <w:b/>
                <w:bCs/>
                <w:color w:val="FFFFFF" w:themeColor="background1"/>
              </w:rPr>
              <w:t>Preventative Support</w:t>
            </w:r>
          </w:p>
        </w:tc>
      </w:tr>
      <w:tr w:rsidR="004E0346" w14:paraId="4AA81569" w14:textId="77777777" w:rsidTr="00295EC4">
        <w:trPr>
          <w:trHeight w:val="93"/>
        </w:trPr>
        <w:tc>
          <w:tcPr>
            <w:tcW w:w="1442" w:type="dxa"/>
          </w:tcPr>
          <w:p w14:paraId="30FC07E8" w14:textId="77777777" w:rsidR="004E0346" w:rsidRDefault="004E0346" w:rsidP="00A505A7">
            <w:pPr>
              <w:spacing w:after="160" w:line="259" w:lineRule="auto"/>
            </w:pPr>
            <w:r>
              <w:t>Universal</w:t>
            </w:r>
          </w:p>
        </w:tc>
        <w:tc>
          <w:tcPr>
            <w:tcW w:w="7558" w:type="dxa"/>
          </w:tcPr>
          <w:p w14:paraId="4FC81A5C" w14:textId="77777777" w:rsidR="004E0346" w:rsidRDefault="004E0346" w:rsidP="00A505A7">
            <w:pPr>
              <w:spacing w:after="160" w:line="259" w:lineRule="auto"/>
            </w:pPr>
            <w:r w:rsidRPr="0079610D">
              <w:t>Foundational supports for all children, young people and families regardless of their level of need. Universal supports build on existing strengths and promote positive outcomes, and typically includes general education, health services, community activities, and public resources available to everyone. This type of support recognises the inherent strengths and capabilities of individuals and families. Universal supports are offered to the entire population and do not require an assessment or referral</w:t>
            </w:r>
            <w:r>
              <w:t>.</w:t>
            </w:r>
          </w:p>
        </w:tc>
      </w:tr>
      <w:tr w:rsidR="004E0346" w14:paraId="4CE39E50" w14:textId="77777777" w:rsidTr="00295EC4">
        <w:trPr>
          <w:trHeight w:val="50"/>
        </w:trPr>
        <w:tc>
          <w:tcPr>
            <w:tcW w:w="1442" w:type="dxa"/>
          </w:tcPr>
          <w:p w14:paraId="2D4A3CC1" w14:textId="77777777" w:rsidR="004E0346" w:rsidRDefault="004E0346" w:rsidP="00A505A7">
            <w:pPr>
              <w:spacing w:after="160" w:line="259" w:lineRule="auto"/>
            </w:pPr>
            <w:r>
              <w:t>Selective</w:t>
            </w:r>
          </w:p>
        </w:tc>
        <w:tc>
          <w:tcPr>
            <w:tcW w:w="7558" w:type="dxa"/>
          </w:tcPr>
          <w:p w14:paraId="14098943" w14:textId="77777777" w:rsidR="004E0346" w:rsidRDefault="004E0346" w:rsidP="00A505A7">
            <w:pPr>
              <w:spacing w:after="160" w:line="259" w:lineRule="auto"/>
            </w:pPr>
            <w:r w:rsidRPr="0079610D">
              <w:t>This level of support is provided to a targeted group of children, young people and families who are identified as being at higher risk of requiring additional support. This type of support includes targeted programs and services that focus on specific issues known to impact cohorts or priority population groups.</w:t>
            </w:r>
          </w:p>
        </w:tc>
      </w:tr>
      <w:tr w:rsidR="004E0346" w14:paraId="6D7C0C18" w14:textId="77777777" w:rsidTr="00295EC4">
        <w:trPr>
          <w:trHeight w:val="6"/>
        </w:trPr>
        <w:tc>
          <w:tcPr>
            <w:tcW w:w="1442" w:type="dxa"/>
          </w:tcPr>
          <w:p w14:paraId="533D4E22" w14:textId="77777777" w:rsidR="004E0346" w:rsidRDefault="004E0346" w:rsidP="00A505A7">
            <w:pPr>
              <w:spacing w:after="160" w:line="259" w:lineRule="auto"/>
            </w:pPr>
            <w:r>
              <w:t>Indicated</w:t>
            </w:r>
          </w:p>
        </w:tc>
        <w:tc>
          <w:tcPr>
            <w:tcW w:w="7558" w:type="dxa"/>
          </w:tcPr>
          <w:p w14:paraId="71EB5DD8" w14:textId="77777777" w:rsidR="004E0346" w:rsidRDefault="004E0346" w:rsidP="00A505A7">
            <w:pPr>
              <w:spacing w:after="160" w:line="259" w:lineRule="auto"/>
            </w:pPr>
            <w:r w:rsidRPr="0079610D">
              <w:t>This level of support is provided to children, young people and families who are showing early signs of challenges or risks and aims to prevent further escalation of these issues. Indicated support includes targeted interventions and programs that are designed to address specific problems and prevent them from worsening, such as family counselling or mentoring. </w:t>
            </w:r>
          </w:p>
        </w:tc>
      </w:tr>
      <w:tr w:rsidR="004E0346" w14:paraId="65B8571A" w14:textId="77777777" w:rsidTr="00295EC4">
        <w:trPr>
          <w:trHeight w:val="6"/>
        </w:trPr>
        <w:tc>
          <w:tcPr>
            <w:tcW w:w="9000" w:type="dxa"/>
            <w:gridSpan w:val="2"/>
            <w:shd w:val="clear" w:color="auto" w:fill="7030A0"/>
          </w:tcPr>
          <w:p w14:paraId="4AE8F2D3" w14:textId="77777777" w:rsidR="004E0346" w:rsidRPr="00295EC4" w:rsidRDefault="004E0346" w:rsidP="00A505A7">
            <w:pPr>
              <w:keepNext/>
              <w:spacing w:after="160" w:line="259" w:lineRule="auto"/>
              <w:jc w:val="center"/>
              <w:rPr>
                <w:b/>
                <w:bCs/>
              </w:rPr>
            </w:pPr>
            <w:r w:rsidRPr="00295EC4">
              <w:rPr>
                <w:b/>
                <w:bCs/>
                <w:color w:val="FFFFFF" w:themeColor="background1"/>
              </w:rPr>
              <w:t>Targeted Support</w:t>
            </w:r>
          </w:p>
        </w:tc>
      </w:tr>
      <w:tr w:rsidR="004E0346" w14:paraId="0043F952" w14:textId="77777777" w:rsidTr="00295EC4">
        <w:trPr>
          <w:trHeight w:val="6"/>
        </w:trPr>
        <w:tc>
          <w:tcPr>
            <w:tcW w:w="1442" w:type="dxa"/>
          </w:tcPr>
          <w:p w14:paraId="6BF2611A" w14:textId="77777777" w:rsidR="004E0346" w:rsidRDefault="004E0346" w:rsidP="00A505A7">
            <w:pPr>
              <w:spacing w:after="160" w:line="259" w:lineRule="auto"/>
            </w:pPr>
            <w:r>
              <w:t xml:space="preserve">Specialist Services  </w:t>
            </w:r>
          </w:p>
        </w:tc>
        <w:tc>
          <w:tcPr>
            <w:tcW w:w="7558" w:type="dxa"/>
          </w:tcPr>
          <w:p w14:paraId="4C84086C" w14:textId="77777777" w:rsidR="004E0346" w:rsidRDefault="004E0346" w:rsidP="00A505A7">
            <w:pPr>
              <w:spacing w:after="160" w:line="259" w:lineRule="auto"/>
            </w:pPr>
            <w:r w:rsidRPr="0079610D">
              <w:t>This level of support is provided to children, young people, and families who require more intensive and specialised interventions due to complex needs or circumstances. Specialist support includes intake, assessment, case management and referrals to specific programs or services that focus on building on individual and family strengths, such as skill-building or peer support groups</w:t>
            </w:r>
          </w:p>
        </w:tc>
      </w:tr>
      <w:tr w:rsidR="004E0346" w14:paraId="52965BC4" w14:textId="77777777" w:rsidTr="00295EC4">
        <w:trPr>
          <w:trHeight w:val="6"/>
        </w:trPr>
        <w:tc>
          <w:tcPr>
            <w:tcW w:w="9000" w:type="dxa"/>
            <w:gridSpan w:val="2"/>
            <w:shd w:val="clear" w:color="auto" w:fill="7030A0"/>
          </w:tcPr>
          <w:p w14:paraId="4AC06959" w14:textId="77777777" w:rsidR="004E0346" w:rsidRPr="00295EC4" w:rsidRDefault="004E0346" w:rsidP="00A505A7">
            <w:pPr>
              <w:spacing w:after="160" w:line="259" w:lineRule="auto"/>
              <w:jc w:val="center"/>
              <w:rPr>
                <w:b/>
                <w:bCs/>
              </w:rPr>
            </w:pPr>
            <w:r w:rsidRPr="00295EC4">
              <w:rPr>
                <w:b/>
                <w:bCs/>
                <w:color w:val="FFFFFF" w:themeColor="background1"/>
              </w:rPr>
              <w:t>Diversionary Support</w:t>
            </w:r>
          </w:p>
        </w:tc>
      </w:tr>
      <w:tr w:rsidR="004E0346" w14:paraId="7FF64262" w14:textId="77777777" w:rsidTr="00295EC4">
        <w:trPr>
          <w:trHeight w:val="6"/>
        </w:trPr>
        <w:tc>
          <w:tcPr>
            <w:tcW w:w="1442" w:type="dxa"/>
          </w:tcPr>
          <w:p w14:paraId="6D4B4DA9" w14:textId="77777777" w:rsidR="004E0346" w:rsidRDefault="004E0346" w:rsidP="00A505A7">
            <w:pPr>
              <w:spacing w:after="160" w:line="259" w:lineRule="auto"/>
            </w:pPr>
            <w:r>
              <w:t xml:space="preserve">Targeted </w:t>
            </w:r>
          </w:p>
        </w:tc>
        <w:tc>
          <w:tcPr>
            <w:tcW w:w="7558" w:type="dxa"/>
          </w:tcPr>
          <w:p w14:paraId="7CEF35F7" w14:textId="77777777" w:rsidR="004E0346" w:rsidRDefault="004E0346" w:rsidP="00A505A7">
            <w:pPr>
              <w:spacing w:after="160" w:line="259" w:lineRule="auto"/>
            </w:pPr>
            <w:r w:rsidRPr="0079610D">
              <w:t>This level of support is provided to children, young people and families who require more individualised support to address specific issues or challenges. Targeted support includes therapeutic support programs, such as counselling or therapy, that are tailored to meet the unique needs of the individual or family. </w:t>
            </w:r>
          </w:p>
        </w:tc>
      </w:tr>
      <w:tr w:rsidR="004E0346" w14:paraId="3EFAEF23" w14:textId="77777777" w:rsidTr="00295EC4">
        <w:trPr>
          <w:trHeight w:val="6"/>
        </w:trPr>
        <w:tc>
          <w:tcPr>
            <w:tcW w:w="1442" w:type="dxa"/>
          </w:tcPr>
          <w:p w14:paraId="255D9AF8" w14:textId="77777777" w:rsidR="004E0346" w:rsidRDefault="004E0346" w:rsidP="00A505A7">
            <w:pPr>
              <w:spacing w:after="160" w:line="259" w:lineRule="auto"/>
            </w:pPr>
            <w:r>
              <w:t xml:space="preserve">Intensive Support </w:t>
            </w:r>
          </w:p>
        </w:tc>
        <w:tc>
          <w:tcPr>
            <w:tcW w:w="7558" w:type="dxa"/>
          </w:tcPr>
          <w:p w14:paraId="130EEF31" w14:textId="77777777" w:rsidR="004E0346" w:rsidRDefault="004E0346" w:rsidP="00A505A7">
            <w:pPr>
              <w:spacing w:after="160" w:line="259" w:lineRule="auto"/>
            </w:pPr>
            <w:r w:rsidRPr="0079610D">
              <w:t>This level of support is provided to children, young people and families who require highly specialised and intensive interventions due to highly complex and high-risk situations</w:t>
            </w:r>
            <w:r>
              <w:t xml:space="preserve"> or risk of statutory system engagement</w:t>
            </w:r>
            <w:r w:rsidRPr="0079610D">
              <w:t>. Intensive support includes wrap-around services, which involve a team of professionals working collaboratively to provide comprehensive and coordinated support to the individual or family.</w:t>
            </w:r>
          </w:p>
        </w:tc>
      </w:tr>
      <w:tr w:rsidR="004E0346" w14:paraId="7D52889B" w14:textId="77777777" w:rsidTr="00295EC4">
        <w:trPr>
          <w:trHeight w:val="92"/>
        </w:trPr>
        <w:tc>
          <w:tcPr>
            <w:tcW w:w="1442" w:type="dxa"/>
          </w:tcPr>
          <w:p w14:paraId="3BB4DE5E" w14:textId="77777777" w:rsidR="004E0346" w:rsidRDefault="004E0346" w:rsidP="00A505A7">
            <w:pPr>
              <w:spacing w:after="160" w:line="259" w:lineRule="auto"/>
            </w:pPr>
            <w:r>
              <w:t xml:space="preserve">Statutory Engagement </w:t>
            </w:r>
          </w:p>
        </w:tc>
        <w:tc>
          <w:tcPr>
            <w:tcW w:w="7558" w:type="dxa"/>
          </w:tcPr>
          <w:p w14:paraId="24C38F05" w14:textId="77777777" w:rsidR="004E0346" w:rsidRDefault="004E0346" w:rsidP="00A505A7">
            <w:pPr>
              <w:spacing w:after="160" w:line="259" w:lineRule="auto"/>
            </w:pPr>
            <w:r w:rsidRPr="0079610D">
              <w:t xml:space="preserve">This level of engagement includes those provided by child protection, youth justice and court ordered interventions. Statutory </w:t>
            </w:r>
            <w:r>
              <w:t>e</w:t>
            </w:r>
            <w:r w:rsidRPr="0079610D">
              <w:t xml:space="preserve">ngagement with child protection primarily occurs </w:t>
            </w:r>
            <w:proofErr w:type="gramStart"/>
            <w:r w:rsidRPr="0079610D">
              <w:t>as a result of</w:t>
            </w:r>
            <w:proofErr w:type="gramEnd"/>
            <w:r w:rsidRPr="0079610D">
              <w:t xml:space="preserve"> information received relating to safety and wellbeing concerns for children and young people related to </w:t>
            </w:r>
            <w:r>
              <w:t>risk of significant harm</w:t>
            </w:r>
            <w:r w:rsidRPr="0079610D">
              <w:t>. Engagement with youth Justice Services occurs if a young person is detained in custody or is subject to bail conditions, pre-sentencing requirements or community-based orders.</w:t>
            </w:r>
          </w:p>
        </w:tc>
      </w:tr>
    </w:tbl>
    <w:p w14:paraId="23FAAEB0" w14:textId="77777777" w:rsidR="004E0346" w:rsidRPr="00295EC4" w:rsidRDefault="004E0346" w:rsidP="00295EC4">
      <w:pPr>
        <w:spacing w:beforeLines="60" w:before="144" w:afterLines="60" w:after="144"/>
        <w:rPr>
          <w:szCs w:val="22"/>
          <w:lang w:eastAsia="en-AU"/>
        </w:rPr>
      </w:pPr>
      <w:r w:rsidRPr="00295EC4">
        <w:rPr>
          <w:szCs w:val="22"/>
          <w:lang w:eastAsia="en-AU"/>
        </w:rPr>
        <w:t xml:space="preserve">Services may be Preventative, Targeted or Diversionary or they may sit across more than one segment or zone. Additionally, services in the child, youth and family support system may have funding that comes from a range of sources to </w:t>
      </w:r>
      <w:proofErr w:type="gramStart"/>
      <w:r w:rsidRPr="00295EC4">
        <w:rPr>
          <w:szCs w:val="22"/>
          <w:lang w:eastAsia="en-AU"/>
        </w:rPr>
        <w:t>make a contribution</w:t>
      </w:r>
      <w:proofErr w:type="gramEnd"/>
      <w:r w:rsidRPr="00295EC4">
        <w:rPr>
          <w:szCs w:val="22"/>
          <w:lang w:eastAsia="en-AU"/>
        </w:rPr>
        <w:t xml:space="preserve"> to a comprehensive service system. Each funding source will have its own priorities and areas of responsibility within the support system that will influence the target population, types of services and outcomes to be achieved. The priority for services funded through CSD to support children, young people and families is to ensure children and young people in the ACT are safe, strong, connected and living their best life. </w:t>
      </w:r>
    </w:p>
    <w:p w14:paraId="630C4FEE" w14:textId="77777777" w:rsidR="004E0346" w:rsidRPr="004E0346" w:rsidRDefault="004E0346" w:rsidP="004E0346">
      <w:pPr>
        <w:pStyle w:val="Heading2"/>
      </w:pPr>
      <w:bookmarkStart w:id="81" w:name="_Toc149920366"/>
      <w:bookmarkStart w:id="82" w:name="_Toc150416693"/>
      <w:bookmarkStart w:id="83" w:name="_Toc150422236"/>
      <w:bookmarkStart w:id="84" w:name="_Toc152683330"/>
      <w:r w:rsidRPr="004E0346">
        <w:t>Insights</w:t>
      </w:r>
      <w:bookmarkEnd w:id="81"/>
      <w:bookmarkEnd w:id="82"/>
      <w:bookmarkEnd w:id="83"/>
      <w:bookmarkEnd w:id="84"/>
      <w:r w:rsidRPr="004E0346">
        <w:t xml:space="preserve"> </w:t>
      </w:r>
    </w:p>
    <w:p w14:paraId="6A634DED" w14:textId="7A950F4F" w:rsidR="004E0346" w:rsidRPr="00295EC4" w:rsidRDefault="004E0346" w:rsidP="00295EC4">
      <w:pPr>
        <w:spacing w:beforeLines="60" w:before="144" w:afterLines="60" w:after="144"/>
        <w:rPr>
          <w:szCs w:val="22"/>
          <w:lang w:eastAsia="en-AU"/>
        </w:rPr>
      </w:pPr>
      <w:r w:rsidRPr="00295EC4">
        <w:rPr>
          <w:szCs w:val="22"/>
          <w:lang w:eastAsia="en-AU"/>
        </w:rPr>
        <w:t>Initially, these processes operated independently, but as Commissioning of the CYFSP, child protection, out of home care and support services and MACR engagements unfolded, a consistent and overarching theme became evident. To establish an effective and interconnected support system for children, young people, and families (Child Youth and Family Support System), the efforts undertaken within each of these processes must seamlessly align.</w:t>
      </w:r>
    </w:p>
    <w:p w14:paraId="7EB16F96" w14:textId="77777777" w:rsidR="004E0346" w:rsidRPr="00295EC4" w:rsidRDefault="004E0346" w:rsidP="00295EC4">
      <w:pPr>
        <w:spacing w:beforeLines="60" w:before="144" w:afterLines="60" w:after="144"/>
        <w:rPr>
          <w:szCs w:val="22"/>
          <w:lang w:eastAsia="en-AU"/>
        </w:rPr>
      </w:pPr>
      <w:bookmarkStart w:id="85" w:name="_Hlk145317155"/>
      <w:r w:rsidRPr="00295EC4">
        <w:rPr>
          <w:szCs w:val="22"/>
          <w:lang w:eastAsia="en-AU"/>
        </w:rPr>
        <w:t>The Next Steps strategy provides a platform on which we can do this. The development of Next Steps was guided by a set of principles to ensure the Child, youth and family support system is:</w:t>
      </w:r>
    </w:p>
    <w:p w14:paraId="7812BC4F" w14:textId="4379536B" w:rsidR="004E0346" w:rsidRPr="000423BF" w:rsidRDefault="004E0346" w:rsidP="00295EC4">
      <w:pPr>
        <w:pStyle w:val="bullet10"/>
        <w:spacing w:before="30" w:after="30"/>
      </w:pPr>
      <w:r w:rsidRPr="000423BF">
        <w:t xml:space="preserve">child, youth and family </w:t>
      </w:r>
      <w:proofErr w:type="gramStart"/>
      <w:r w:rsidRPr="000423BF">
        <w:t>centred</w:t>
      </w:r>
      <w:r w:rsidR="00035A39">
        <w:t>;</w:t>
      </w:r>
      <w:proofErr w:type="gramEnd"/>
    </w:p>
    <w:p w14:paraId="01CF156B" w14:textId="20820451" w:rsidR="004E0346" w:rsidRPr="000423BF" w:rsidRDefault="004E0346" w:rsidP="00295EC4">
      <w:pPr>
        <w:pStyle w:val="bullet10"/>
        <w:spacing w:before="30" w:after="30"/>
      </w:pPr>
      <w:r w:rsidRPr="000423BF">
        <w:t xml:space="preserve">evidence </w:t>
      </w:r>
      <w:proofErr w:type="gramStart"/>
      <w:r w:rsidRPr="000423BF">
        <w:t>led</w:t>
      </w:r>
      <w:r w:rsidR="00035A39">
        <w:t>;</w:t>
      </w:r>
      <w:proofErr w:type="gramEnd"/>
    </w:p>
    <w:p w14:paraId="007560F3" w14:textId="2615C2A5" w:rsidR="004E0346" w:rsidRPr="000423BF" w:rsidRDefault="004E0346" w:rsidP="00295EC4">
      <w:pPr>
        <w:pStyle w:val="bullet10"/>
        <w:spacing w:before="30" w:after="30"/>
      </w:pPr>
      <w:proofErr w:type="gramStart"/>
      <w:r w:rsidRPr="000423BF">
        <w:t>restorative</w:t>
      </w:r>
      <w:r w:rsidR="00035A39">
        <w:t>;</w:t>
      </w:r>
      <w:proofErr w:type="gramEnd"/>
    </w:p>
    <w:p w14:paraId="3214EACD" w14:textId="2BD90D8F" w:rsidR="004E0346" w:rsidRPr="000423BF" w:rsidRDefault="004E0346" w:rsidP="00295EC4">
      <w:pPr>
        <w:pStyle w:val="bullet10"/>
        <w:spacing w:before="30" w:after="30"/>
      </w:pPr>
      <w:r w:rsidRPr="000423BF">
        <w:t xml:space="preserve">dignity </w:t>
      </w:r>
      <w:proofErr w:type="gramStart"/>
      <w:r w:rsidRPr="000423BF">
        <w:t>driven</w:t>
      </w:r>
      <w:r w:rsidR="00035A39">
        <w:t>;</w:t>
      </w:r>
      <w:proofErr w:type="gramEnd"/>
    </w:p>
    <w:p w14:paraId="67807E80" w14:textId="40E9E3B7" w:rsidR="004E0346" w:rsidRPr="000423BF" w:rsidRDefault="004E0346" w:rsidP="00295EC4">
      <w:pPr>
        <w:pStyle w:val="bullet10"/>
        <w:spacing w:before="30" w:after="30"/>
      </w:pPr>
      <w:r w:rsidRPr="000423BF">
        <w:t xml:space="preserve">trauma </w:t>
      </w:r>
      <w:proofErr w:type="gramStart"/>
      <w:r w:rsidRPr="000423BF">
        <w:t>responsive</w:t>
      </w:r>
      <w:r w:rsidR="00035A39">
        <w:t>;</w:t>
      </w:r>
      <w:proofErr w:type="gramEnd"/>
      <w:r w:rsidRPr="000423BF">
        <w:t xml:space="preserve"> </w:t>
      </w:r>
    </w:p>
    <w:p w14:paraId="4781DEDC" w14:textId="67D1C93B" w:rsidR="004E0346" w:rsidRPr="000423BF" w:rsidRDefault="004E0346" w:rsidP="00295EC4">
      <w:pPr>
        <w:pStyle w:val="bullet10"/>
        <w:spacing w:before="30" w:after="30"/>
      </w:pPr>
      <w:r w:rsidRPr="000423BF">
        <w:t xml:space="preserve">culturally </w:t>
      </w:r>
      <w:proofErr w:type="gramStart"/>
      <w:r w:rsidRPr="000423BF">
        <w:t>safe</w:t>
      </w:r>
      <w:r w:rsidR="00035A39">
        <w:t>;</w:t>
      </w:r>
      <w:proofErr w:type="gramEnd"/>
      <w:r w:rsidRPr="000423BF">
        <w:t xml:space="preserve"> </w:t>
      </w:r>
    </w:p>
    <w:p w14:paraId="5C4F84B9" w14:textId="77777777" w:rsidR="004E0346" w:rsidRPr="000423BF" w:rsidRDefault="004E0346" w:rsidP="00295EC4">
      <w:pPr>
        <w:pStyle w:val="bullet10"/>
        <w:spacing w:before="30" w:after="30"/>
      </w:pPr>
      <w:r w:rsidRPr="000423BF">
        <w:t xml:space="preserve">disability informed; and </w:t>
      </w:r>
    </w:p>
    <w:p w14:paraId="71A38F23" w14:textId="7621CFE5" w:rsidR="004E0346" w:rsidRPr="000423BF" w:rsidRDefault="004E0346" w:rsidP="00295EC4">
      <w:pPr>
        <w:pStyle w:val="bullet10"/>
        <w:spacing w:before="30" w:after="30"/>
      </w:pPr>
      <w:r w:rsidRPr="000423BF">
        <w:t>accountable</w:t>
      </w:r>
      <w:r w:rsidR="00035A39">
        <w:t>.</w:t>
      </w:r>
    </w:p>
    <w:bookmarkEnd w:id="85"/>
    <w:p w14:paraId="2AB71B11" w14:textId="77777777" w:rsidR="004E0346" w:rsidRDefault="004E0346" w:rsidP="004E0346">
      <w:pPr>
        <w:spacing w:after="160" w:line="259" w:lineRule="auto"/>
      </w:pPr>
      <w:r w:rsidRPr="009965CF">
        <w:t xml:space="preserve">It's clear from the insights from </w:t>
      </w:r>
      <w:r>
        <w:t xml:space="preserve">across </w:t>
      </w:r>
      <w:r w:rsidRPr="009965CF">
        <w:t xml:space="preserve">engagement </w:t>
      </w:r>
      <w:r>
        <w:t>activities</w:t>
      </w:r>
      <w:r w:rsidRPr="009965CF">
        <w:t xml:space="preserve"> that stakeholders share several key insights that align with the guiding principles of the </w:t>
      </w:r>
      <w:r>
        <w:t>N</w:t>
      </w:r>
      <w:r w:rsidRPr="009965CF">
        <w:t xml:space="preserve">ext </w:t>
      </w:r>
      <w:r>
        <w:t>S</w:t>
      </w:r>
      <w:r w:rsidRPr="009965CF">
        <w:t xml:space="preserve">teps </w:t>
      </w:r>
      <w:r>
        <w:t>S</w:t>
      </w:r>
      <w:r w:rsidRPr="009965CF">
        <w:t>trategy</w:t>
      </w:r>
      <w:r>
        <w:t>.</w:t>
      </w:r>
    </w:p>
    <w:p w14:paraId="4D961DA3" w14:textId="77777777" w:rsidR="004E0346" w:rsidRPr="00295EC4" w:rsidRDefault="004E0346" w:rsidP="00295EC4">
      <w:pPr>
        <w:pStyle w:val="Heading3"/>
      </w:pPr>
      <w:r w:rsidRPr="00295EC4">
        <w:t>Child, Youth, and Family-Centred:</w:t>
      </w:r>
    </w:p>
    <w:p w14:paraId="12FBD47A" w14:textId="77777777" w:rsidR="004E0346" w:rsidRDefault="004E0346" w:rsidP="00295EC4">
      <w:pPr>
        <w:pStyle w:val="bullet10"/>
        <w:spacing w:before="30" w:after="30"/>
      </w:pPr>
      <w:r>
        <w:t>Stakeholders emphasise the importance of tailoring services to meet the unique needs of children, young people, and families.</w:t>
      </w:r>
    </w:p>
    <w:p w14:paraId="62131320" w14:textId="77777777" w:rsidR="004E0346" w:rsidRDefault="004E0346" w:rsidP="00295EC4">
      <w:pPr>
        <w:pStyle w:val="bullet10"/>
        <w:spacing w:before="30" w:after="30"/>
      </w:pPr>
      <w:r>
        <w:t>They highlight the involvement of families as active participants in decision-making and promoting their strengths.</w:t>
      </w:r>
    </w:p>
    <w:p w14:paraId="46E3555E" w14:textId="77777777" w:rsidR="00295EC4" w:rsidRDefault="004E0346" w:rsidP="004E0346">
      <w:pPr>
        <w:spacing w:after="160" w:line="259" w:lineRule="auto"/>
      </w:pPr>
      <w:r w:rsidRPr="00C63C2F">
        <w:t xml:space="preserve">Stakeholders </w:t>
      </w:r>
      <w:r>
        <w:t>highlighted the need</w:t>
      </w:r>
      <w:r w:rsidRPr="00C63C2F">
        <w:t xml:space="preserve"> for a human service system that seamlessly connects </w:t>
      </w:r>
      <w:r>
        <w:t xml:space="preserve">including across </w:t>
      </w:r>
      <w:r w:rsidRPr="00C63C2F">
        <w:t>Education, Health, and Justice. This interconnectedness is crucial for fostering a</w:t>
      </w:r>
      <w:r>
        <w:t>n aligned</w:t>
      </w:r>
      <w:r w:rsidRPr="00C63C2F">
        <w:t xml:space="preserve"> and integrated approach </w:t>
      </w:r>
      <w:r>
        <w:t>ensuring</w:t>
      </w:r>
      <w:r w:rsidRPr="00C63C2F">
        <w:t xml:space="preserve"> the delivery of a well-balanced mix of services. This collaborative framework becomes especially vital </w:t>
      </w:r>
      <w:r>
        <w:t xml:space="preserve">for </w:t>
      </w:r>
      <w:r w:rsidRPr="00C63C2F">
        <w:t xml:space="preserve">Child, Youth, and Family </w:t>
      </w:r>
      <w:r>
        <w:t>with complex or intersectional needs.</w:t>
      </w:r>
    </w:p>
    <w:p w14:paraId="10D1A56B" w14:textId="1A4ED5C9" w:rsidR="004E0346" w:rsidRPr="00295EC4" w:rsidRDefault="004E0346" w:rsidP="00295EC4">
      <w:pPr>
        <w:pStyle w:val="Heading3"/>
      </w:pPr>
      <w:r w:rsidRPr="00295EC4">
        <w:t>Evidence-Led:</w:t>
      </w:r>
    </w:p>
    <w:p w14:paraId="55C3B7D6" w14:textId="77777777" w:rsidR="004E0346" w:rsidRDefault="004E0346" w:rsidP="00295EC4">
      <w:pPr>
        <w:pStyle w:val="bullet10"/>
        <w:spacing w:before="30" w:after="30"/>
      </w:pPr>
      <w:r>
        <w:t xml:space="preserve">Stakeholders emphasised the necessity for a greater shift towards programs grounded in robust evidence. This will enable the </w:t>
      </w:r>
      <w:r w:rsidRPr="004968A6">
        <w:t>Child Youth and Family S</w:t>
      </w:r>
      <w:r>
        <w:t xml:space="preserve">upport </w:t>
      </w:r>
      <w:r w:rsidRPr="004968A6">
        <w:t>System</w:t>
      </w:r>
      <w:r w:rsidRPr="004968A6" w:rsidDel="004968A6">
        <w:t xml:space="preserve"> </w:t>
      </w:r>
      <w:r>
        <w:t xml:space="preserve">to demonstrate the effectiveness of their proposed models, drawing from established research and best practices. It is imperative that they can illustrate how their approach aligns with the existing body of evidence. </w:t>
      </w:r>
    </w:p>
    <w:p w14:paraId="50706EE6" w14:textId="77777777" w:rsidR="004E0346" w:rsidRDefault="004E0346" w:rsidP="00295EC4">
      <w:pPr>
        <w:pStyle w:val="bullet10"/>
        <w:spacing w:before="30" w:after="30"/>
      </w:pPr>
      <w:r>
        <w:t>The insights from engagement activities underscore the importance of an outcomes-focused approach, where the impact of services on clients' wellbeing is measurable and evidence-driven. This commitment reflects a dedication to evidence-based practices and evaluation.</w:t>
      </w:r>
    </w:p>
    <w:p w14:paraId="045B4573" w14:textId="77777777" w:rsidR="004E0346" w:rsidRDefault="004E0346" w:rsidP="00295EC4">
      <w:pPr>
        <w:pStyle w:val="bullet10"/>
        <w:spacing w:before="30" w:after="30"/>
      </w:pPr>
      <w:r>
        <w:t xml:space="preserve">Insights included widespread support for harnessing data to inform the outcomes of the </w:t>
      </w:r>
      <w:r w:rsidRPr="004968A6">
        <w:t>Child Youth and Family Service System</w:t>
      </w:r>
      <w:r>
        <w:t>. This highlights a collective aspiration to integrate data-driven decision-making and evidence-based strategies for continual improvement and effective resource allocation.</w:t>
      </w:r>
    </w:p>
    <w:p w14:paraId="3C8402BA" w14:textId="77777777" w:rsidR="004E0346" w:rsidRPr="00295EC4" w:rsidRDefault="004E0346" w:rsidP="00295EC4">
      <w:pPr>
        <w:pStyle w:val="Heading3"/>
      </w:pPr>
      <w:r w:rsidRPr="00295EC4">
        <w:t>Restorative:</w:t>
      </w:r>
    </w:p>
    <w:p w14:paraId="2F696B05" w14:textId="77777777" w:rsidR="004E0346" w:rsidRDefault="004E0346" w:rsidP="00295EC4">
      <w:pPr>
        <w:pStyle w:val="bullet10"/>
        <w:spacing w:before="30" w:after="30"/>
      </w:pPr>
      <w:r>
        <w:t xml:space="preserve">Stakeholders highlighted the importance of restoration services, aiming to provide support from the moment a child </w:t>
      </w:r>
      <w:proofErr w:type="gramStart"/>
      <w:r>
        <w:t>comes into contact with</w:t>
      </w:r>
      <w:proofErr w:type="gramEnd"/>
      <w:r>
        <w:t xml:space="preserve"> the statutory system and avoiding re-telling their story, aligning with a restorative approach.</w:t>
      </w:r>
    </w:p>
    <w:p w14:paraId="7A3B634C" w14:textId="77777777" w:rsidR="004E0346" w:rsidRDefault="004E0346" w:rsidP="00295EC4">
      <w:pPr>
        <w:pStyle w:val="Heading3"/>
      </w:pPr>
      <w:r w:rsidRPr="00295EC4">
        <w:t>Dignity-Driven</w:t>
      </w:r>
      <w:r>
        <w:t>:</w:t>
      </w:r>
    </w:p>
    <w:p w14:paraId="535D5B8F" w14:textId="77777777" w:rsidR="004E0346" w:rsidRDefault="004E0346" w:rsidP="00295EC4">
      <w:pPr>
        <w:pStyle w:val="bullet10"/>
        <w:spacing w:before="30" w:after="30"/>
      </w:pPr>
      <w:r>
        <w:t>insights share across processes had an emphasis on flexibility, collaboration, and involving families in decision-making, promoting a dignity-driven approach by respecting and valuing the dignity of clients.</w:t>
      </w:r>
    </w:p>
    <w:p w14:paraId="3F8E6E04" w14:textId="77777777" w:rsidR="004E0346" w:rsidRPr="00295EC4" w:rsidRDefault="004E0346" w:rsidP="00295EC4">
      <w:pPr>
        <w:pStyle w:val="Heading3"/>
      </w:pPr>
      <w:r w:rsidRPr="00295EC4">
        <w:t>Trauma-Responsive:</w:t>
      </w:r>
    </w:p>
    <w:p w14:paraId="561F6CF6" w14:textId="77777777" w:rsidR="004E0346" w:rsidRDefault="004E0346" w:rsidP="00295EC4">
      <w:pPr>
        <w:pStyle w:val="bullet10"/>
        <w:spacing w:before="30" w:after="30"/>
      </w:pPr>
      <w:r>
        <w:t>Stakeholders across processes shared a focus on mental health, trauma-informed care, and the holistic approach to client well-being indicates a commitment to being trauma-responsive.</w:t>
      </w:r>
    </w:p>
    <w:p w14:paraId="0EA40D96" w14:textId="77777777" w:rsidR="004E0346" w:rsidRPr="00295EC4" w:rsidRDefault="004E0346" w:rsidP="00295EC4">
      <w:pPr>
        <w:pStyle w:val="Heading3"/>
      </w:pPr>
      <w:r w:rsidRPr="00295EC4">
        <w:t>Culturally Safe:</w:t>
      </w:r>
    </w:p>
    <w:p w14:paraId="46A9DC67" w14:textId="77777777" w:rsidR="004E0346" w:rsidRDefault="004E0346" w:rsidP="00295EC4">
      <w:pPr>
        <w:pStyle w:val="bullet10"/>
        <w:spacing w:before="30" w:after="30"/>
      </w:pPr>
      <w:r>
        <w:t>Stakeholders highlighted the need to ensure the child, youth and family support system is an environment where individuals in all their diversity feel respected, valued and safe.</w:t>
      </w:r>
    </w:p>
    <w:p w14:paraId="7D793BFF" w14:textId="77777777" w:rsidR="004E0346" w:rsidRDefault="004E0346" w:rsidP="00295EC4">
      <w:pPr>
        <w:pStyle w:val="bullet10"/>
        <w:spacing w:before="30" w:after="30"/>
      </w:pPr>
      <w:r>
        <w:t xml:space="preserve">Stakeholders emphasised the importance of self-determination for Aboriginal and Torres Strait Islander children, young people and families. </w:t>
      </w:r>
    </w:p>
    <w:p w14:paraId="2EFFAB03" w14:textId="77777777" w:rsidR="004E0346" w:rsidRPr="00295EC4" w:rsidRDefault="004E0346" w:rsidP="00295EC4">
      <w:pPr>
        <w:pStyle w:val="Heading3"/>
      </w:pPr>
      <w:r w:rsidRPr="00295EC4">
        <w:t>Disability-Informed:</w:t>
      </w:r>
    </w:p>
    <w:p w14:paraId="215051DB" w14:textId="77777777" w:rsidR="004E0346" w:rsidRDefault="004E0346" w:rsidP="00295EC4">
      <w:pPr>
        <w:pStyle w:val="bullet10"/>
        <w:spacing w:before="30" w:after="30"/>
      </w:pPr>
      <w:r>
        <w:t xml:space="preserve">Stakeholders emphasised the </w:t>
      </w:r>
      <w:r w:rsidRPr="00924622">
        <w:t>importance of recogni</w:t>
      </w:r>
      <w:r>
        <w:t>s</w:t>
      </w:r>
      <w:r w:rsidRPr="00924622">
        <w:t>ing and respecting the diverse needs and experiences of individuals with disabilities.</w:t>
      </w:r>
    </w:p>
    <w:p w14:paraId="21610824" w14:textId="77777777" w:rsidR="004E0346" w:rsidRDefault="004E0346" w:rsidP="00295EC4">
      <w:pPr>
        <w:pStyle w:val="bullet10"/>
        <w:spacing w:before="30" w:after="30"/>
      </w:pPr>
      <w:r>
        <w:t xml:space="preserve">Stakeholders emphasised the need for flexibility and tailored support included the requirement for services to meet diverse needs including those of people with a disability. </w:t>
      </w:r>
    </w:p>
    <w:p w14:paraId="22820ECB" w14:textId="77777777" w:rsidR="004E0346" w:rsidRDefault="004E0346" w:rsidP="00295EC4">
      <w:pPr>
        <w:pStyle w:val="Heading3"/>
      </w:pPr>
      <w:r w:rsidRPr="00295EC4">
        <w:t>Accountable:</w:t>
      </w:r>
    </w:p>
    <w:p w14:paraId="727E40AF" w14:textId="77777777" w:rsidR="004E0346" w:rsidRDefault="004E0346" w:rsidP="00295EC4">
      <w:pPr>
        <w:pStyle w:val="bullet10"/>
        <w:spacing w:before="30" w:after="30"/>
      </w:pPr>
      <w:r>
        <w:t>A System-Wide Performance Management Framework (PMF) was supported though engagement activities, emphasising transparency and accountability.</w:t>
      </w:r>
    </w:p>
    <w:p w14:paraId="70846997" w14:textId="77777777" w:rsidR="004E0346" w:rsidRDefault="004E0346" w:rsidP="00295EC4">
      <w:pPr>
        <w:pStyle w:val="bullet10"/>
        <w:spacing w:before="30" w:after="30"/>
      </w:pPr>
      <w:r>
        <w:t xml:space="preserve">A strong theme across commissioning processes is the need for government to hold services accountable to the requirements set out in contracts and for contracts to be clearer regarding what is required of services. </w:t>
      </w:r>
    </w:p>
    <w:p w14:paraId="22D3B4FA" w14:textId="77777777" w:rsidR="004E0346" w:rsidRPr="00295EC4" w:rsidRDefault="004E0346" w:rsidP="00295EC4">
      <w:pPr>
        <w:spacing w:beforeLines="60" w:before="144" w:afterLines="60" w:after="144"/>
        <w:rPr>
          <w:szCs w:val="22"/>
          <w:lang w:eastAsia="en-AU"/>
        </w:rPr>
      </w:pPr>
      <w:r w:rsidRPr="00295EC4">
        <w:rPr>
          <w:szCs w:val="22"/>
          <w:lang w:eastAsia="en-AU"/>
        </w:rPr>
        <w:t>Additional insights highlight the importance of collaboration, effective communication, and the need for clear roles and responsibilities between government and non-government stakeholders, which are essential for accountability and coordinated service delivery.</w:t>
      </w:r>
    </w:p>
    <w:p w14:paraId="54CDF886" w14:textId="2CBAA980" w:rsidR="00295EC4" w:rsidRDefault="00295EC4">
      <w:pPr>
        <w:spacing w:before="0" w:after="160" w:line="259" w:lineRule="auto"/>
        <w:rPr>
          <w:rFonts w:ascii="Arial" w:hAnsi="Arial"/>
          <w:b/>
          <w:color w:val="7030A0"/>
          <w:kern w:val="28"/>
          <w:sz w:val="44"/>
        </w:rPr>
      </w:pPr>
      <w:r>
        <w:rPr>
          <w:rFonts w:ascii="Arial" w:hAnsi="Arial"/>
          <w:b/>
          <w:color w:val="7030A0"/>
          <w:kern w:val="28"/>
          <w:sz w:val="44"/>
        </w:rPr>
        <w:br w:type="page"/>
      </w:r>
    </w:p>
    <w:p w14:paraId="10055212" w14:textId="41B500F0" w:rsidR="004E0346" w:rsidRDefault="00295EC4" w:rsidP="00295EC4">
      <w:pPr>
        <w:spacing w:before="0" w:after="160" w:line="259" w:lineRule="auto"/>
        <w:ind w:left="426" w:hanging="568"/>
        <w:rPr>
          <w:rFonts w:ascii="Arial" w:hAnsi="Arial"/>
          <w:b/>
          <w:color w:val="7030A0"/>
          <w:kern w:val="28"/>
          <w:sz w:val="44"/>
        </w:rPr>
      </w:pPr>
      <w:r w:rsidRPr="00295EC4">
        <w:rPr>
          <w:rFonts w:ascii="Arial" w:hAnsi="Arial"/>
          <w:b/>
          <w:color w:val="7030A0"/>
          <w:kern w:val="28"/>
          <w:sz w:val="44"/>
        </w:rPr>
        <w:t>5.</w:t>
      </w:r>
      <w:r w:rsidRPr="00295EC4">
        <w:rPr>
          <w:rFonts w:ascii="Arial" w:hAnsi="Arial"/>
          <w:b/>
          <w:color w:val="7030A0"/>
          <w:kern w:val="28"/>
          <w:sz w:val="44"/>
        </w:rPr>
        <w:tab/>
        <w:t>The future child, youth and families support system</w:t>
      </w:r>
    </w:p>
    <w:p w14:paraId="7FDC3621" w14:textId="77777777" w:rsidR="00295EC4" w:rsidRPr="00A57AD0" w:rsidRDefault="00295EC4" w:rsidP="00295EC4">
      <w:pPr>
        <w:pStyle w:val="Heading2"/>
      </w:pPr>
      <w:bookmarkStart w:id="86" w:name="_Toc149920404"/>
      <w:bookmarkStart w:id="87" w:name="_Toc150416728"/>
      <w:bookmarkStart w:id="88" w:name="_Toc150422238"/>
      <w:bookmarkStart w:id="89" w:name="_Toc152683332"/>
      <w:r w:rsidRPr="00BD293D">
        <w:t>Bringing the statutory and non-statutory CYFS programs together</w:t>
      </w:r>
      <w:bookmarkEnd w:id="86"/>
      <w:bookmarkEnd w:id="87"/>
      <w:bookmarkEnd w:id="88"/>
      <w:bookmarkEnd w:id="89"/>
      <w:r w:rsidRPr="00BD293D">
        <w:t xml:space="preserve"> </w:t>
      </w:r>
    </w:p>
    <w:p w14:paraId="15F48D18" w14:textId="77777777" w:rsidR="00774460" w:rsidRDefault="00774460" w:rsidP="00774460">
      <w:pPr>
        <w:spacing w:beforeLines="60" w:before="144" w:afterLines="60" w:after="144"/>
        <w:rPr>
          <w:szCs w:val="22"/>
          <w:lang w:eastAsia="en-AU"/>
        </w:rPr>
      </w:pPr>
      <w:r>
        <w:rPr>
          <w:color w:val="7030A0"/>
          <w:sz w:val="26"/>
        </w:rPr>
        <w:t xml:space="preserve">Reform within Government: </w:t>
      </w:r>
      <w:r>
        <w:rPr>
          <w:szCs w:val="22"/>
          <w:lang w:eastAsia="en-AU"/>
        </w:rPr>
        <w:t>It’s not just the community sector that is reforming to achieve better outcomes for children, young people and families, the statutory system</w:t>
      </w:r>
      <w:r w:rsidRPr="00295EC4">
        <w:rPr>
          <w:szCs w:val="22"/>
          <w:lang w:eastAsia="en-AU"/>
        </w:rPr>
        <w:t xml:space="preserve"> </w:t>
      </w:r>
      <w:r>
        <w:rPr>
          <w:szCs w:val="22"/>
          <w:lang w:eastAsia="en-AU"/>
        </w:rPr>
        <w:t xml:space="preserve">within government is evolving to better service the community; this includes moving further towards early support and diversion and away from “Child Protection” intervention; a greater focus on working with families and being “agents of change”; a new systems approach to practice, decision making, governance and continuous improvements; and clearly defined accountabilities and performance reporting system for key priorities and compliance requirements. </w:t>
      </w:r>
    </w:p>
    <w:p w14:paraId="7FF596A1" w14:textId="40C9B402" w:rsidR="00774460" w:rsidRDefault="00774460" w:rsidP="00774460">
      <w:pPr>
        <w:spacing w:beforeLines="60" w:before="144" w:afterLines="60" w:after="144"/>
        <w:rPr>
          <w:szCs w:val="22"/>
          <w:lang w:eastAsia="en-AU"/>
        </w:rPr>
      </w:pPr>
      <w:r>
        <w:rPr>
          <w:szCs w:val="22"/>
          <w:lang w:eastAsia="en-AU"/>
        </w:rPr>
        <w:t>Practice changes within the government statutory system will prioriti</w:t>
      </w:r>
      <w:r w:rsidR="00035289">
        <w:rPr>
          <w:szCs w:val="22"/>
          <w:lang w:eastAsia="en-AU"/>
        </w:rPr>
        <w:t>s</w:t>
      </w:r>
      <w:r>
        <w:rPr>
          <w:szCs w:val="22"/>
          <w:lang w:eastAsia="en-AU"/>
        </w:rPr>
        <w:t xml:space="preserve">e: </w:t>
      </w:r>
    </w:p>
    <w:p w14:paraId="0BA09DCC" w14:textId="77777777" w:rsidR="00774460" w:rsidRPr="00774460" w:rsidRDefault="00774460" w:rsidP="00774460">
      <w:pPr>
        <w:pStyle w:val="bullet10"/>
        <w:spacing w:before="30" w:after="30"/>
      </w:pPr>
      <w:r w:rsidRPr="00774460">
        <w:t>Working with families</w:t>
      </w:r>
    </w:p>
    <w:p w14:paraId="2BD23F9A" w14:textId="77777777" w:rsidR="00774460" w:rsidRPr="00774460" w:rsidRDefault="00774460" w:rsidP="00774460">
      <w:pPr>
        <w:pStyle w:val="bullet10"/>
        <w:spacing w:before="30" w:after="30"/>
      </w:pPr>
      <w:r w:rsidRPr="00774460">
        <w:t xml:space="preserve">Cultural proficiency, with strong partnerships in the ACCO sector </w:t>
      </w:r>
    </w:p>
    <w:p w14:paraId="3BDEBC08" w14:textId="77777777" w:rsidR="00774460" w:rsidRPr="00774460" w:rsidRDefault="00774460" w:rsidP="00774460">
      <w:pPr>
        <w:pStyle w:val="bullet10"/>
        <w:spacing w:before="30" w:after="30"/>
      </w:pPr>
      <w:r w:rsidRPr="00774460">
        <w:t xml:space="preserve">Creating an authorising environment for case works to be supported to make decisions. </w:t>
      </w:r>
    </w:p>
    <w:p w14:paraId="6AE04483" w14:textId="77777777" w:rsidR="00774460" w:rsidRPr="00774460" w:rsidRDefault="00774460" w:rsidP="00774460">
      <w:pPr>
        <w:pStyle w:val="bullet10"/>
        <w:spacing w:before="30" w:after="30"/>
      </w:pPr>
      <w:r w:rsidRPr="00774460">
        <w:t xml:space="preserve">Embedding tools and resources to support consistent and improved decision making. </w:t>
      </w:r>
    </w:p>
    <w:p w14:paraId="38B14BFA" w14:textId="77777777" w:rsidR="00774460" w:rsidRPr="00774460" w:rsidRDefault="00774460" w:rsidP="00774460">
      <w:pPr>
        <w:pStyle w:val="bullet10"/>
        <w:spacing w:before="30" w:after="30"/>
      </w:pPr>
      <w:r w:rsidRPr="00774460">
        <w:t xml:space="preserve">The establishment of a practice framework to ensure role clarity and mandate. </w:t>
      </w:r>
    </w:p>
    <w:p w14:paraId="1A4D00BB" w14:textId="63C7B623" w:rsidR="00774460" w:rsidRPr="00774460" w:rsidRDefault="00774460" w:rsidP="007D412F">
      <w:pPr>
        <w:pStyle w:val="bullet10"/>
        <w:spacing w:before="30" w:after="30"/>
      </w:pPr>
      <w:r w:rsidRPr="00774460">
        <w:t xml:space="preserve">Being driven by evidence under the Next Steps for Our Kids Strategy. </w:t>
      </w:r>
    </w:p>
    <w:p w14:paraId="3E158A59" w14:textId="2F6394B7" w:rsidR="00295EC4" w:rsidRPr="00295EC4" w:rsidRDefault="00295EC4" w:rsidP="00295EC4">
      <w:pPr>
        <w:spacing w:beforeLines="60" w:before="144" w:afterLines="60" w:after="144"/>
        <w:rPr>
          <w:szCs w:val="22"/>
          <w:lang w:eastAsia="en-AU"/>
        </w:rPr>
      </w:pPr>
      <w:r w:rsidRPr="00295EC4">
        <w:rPr>
          <w:color w:val="7030A0"/>
          <w:sz w:val="26"/>
        </w:rPr>
        <w:t>Shared Objectives:</w:t>
      </w:r>
      <w:r w:rsidRPr="00295EC4">
        <w:rPr>
          <w:szCs w:val="22"/>
          <w:lang w:eastAsia="en-AU"/>
        </w:rPr>
        <w:t xml:space="preserve"> the CYFSP, MACR and OOHC and Child Protection reform agenda share common objectives of promoting the safety, well-being, and positive outcomes of children, young people, and families. Aligning these under the Next Steps reform agenda ensures that our combined efforts are directed towards achieving these shared goals, creating synergy and cohesion in the service delivery.</w:t>
      </w:r>
    </w:p>
    <w:p w14:paraId="5B6943A2" w14:textId="77777777" w:rsidR="00295EC4" w:rsidRPr="00295EC4" w:rsidRDefault="00295EC4" w:rsidP="00295EC4">
      <w:pPr>
        <w:spacing w:beforeLines="60" w:before="144" w:afterLines="60" w:after="144"/>
        <w:rPr>
          <w:szCs w:val="22"/>
          <w:lang w:eastAsia="en-AU"/>
        </w:rPr>
      </w:pPr>
      <w:r w:rsidRPr="00295EC4">
        <w:rPr>
          <w:color w:val="7030A0"/>
          <w:sz w:val="26"/>
        </w:rPr>
        <w:t>Integrated and Collaborative Approach:</w:t>
      </w:r>
      <w:r w:rsidRPr="00295EC4">
        <w:rPr>
          <w:szCs w:val="22"/>
          <w:lang w:eastAsia="en-AU"/>
        </w:rPr>
        <w:t xml:space="preserve"> The CYFSP emphasises an integrated and collaborative service model, while the Next Steps reform agenda emphasises a joined-up system of child, youth, and family services. Aligning the CYFSP with this approach fosters collaboration and coordination among service providers, enabling seamless support for vulnerable children, young people, and families.</w:t>
      </w:r>
    </w:p>
    <w:p w14:paraId="70548CBE" w14:textId="77777777" w:rsidR="00295EC4" w:rsidRPr="00295EC4" w:rsidRDefault="00295EC4" w:rsidP="00295EC4">
      <w:pPr>
        <w:spacing w:beforeLines="60" w:before="144" w:afterLines="60" w:after="144"/>
        <w:rPr>
          <w:szCs w:val="22"/>
          <w:lang w:eastAsia="en-AU"/>
        </w:rPr>
      </w:pPr>
      <w:r w:rsidRPr="007A6EC4">
        <w:rPr>
          <w:color w:val="7030A0"/>
          <w:sz w:val="26"/>
        </w:rPr>
        <w:t>Early and Proactive Support:</w:t>
      </w:r>
      <w:r w:rsidRPr="00295EC4">
        <w:rPr>
          <w:szCs w:val="22"/>
          <w:lang w:eastAsia="en-AU"/>
        </w:rPr>
        <w:t xml:space="preserve"> The CYFSP focuses on early and proactive support for vulnerable children and young people through strengths-based and solution-focused interventions. This aligns with the Next Steps reform agenda's aim to divert children and young people from the tertiary system and prevent their entry into out-of-home care. By aligning the CYFSP with this principle, the program can effectively contribute to reducing entries into the care and protection system. The principle of early and proactive support is also aligned with the Sustaining Families Services Package being procured under Next Steps. Sustaining Families packages will provide a combination of support pathways from early assistance to supporting children and families with emerging needs and vulnerabilities through to targeted and specialist support to provide more intensive supports for families with complex needs so children can remain safely in the family home or be returned safely.</w:t>
      </w:r>
    </w:p>
    <w:p w14:paraId="76A84EA1" w14:textId="77777777" w:rsidR="00295EC4" w:rsidRPr="00295EC4" w:rsidRDefault="00295EC4" w:rsidP="00295EC4">
      <w:pPr>
        <w:spacing w:beforeLines="60" w:before="144" w:afterLines="60" w:after="144"/>
        <w:rPr>
          <w:szCs w:val="22"/>
          <w:lang w:eastAsia="en-AU"/>
        </w:rPr>
      </w:pPr>
      <w:r w:rsidRPr="007A6EC4">
        <w:rPr>
          <w:color w:val="7030A0"/>
          <w:sz w:val="26"/>
        </w:rPr>
        <w:t>Partnership and Engagement:</w:t>
      </w:r>
      <w:r w:rsidRPr="00295EC4">
        <w:rPr>
          <w:szCs w:val="22"/>
          <w:lang w:eastAsia="en-AU"/>
        </w:rPr>
        <w:t xml:space="preserve"> There is a clear emphasis on working in partnership with children, young people, families, communities, and other key stakeholders across the human service system. Aligning work across the Child, Youth and Family support system with this principle ensures that service delivery is child-centred, family-focused, and responsive to the unique needs and aspirations of service users. It promotes active engagement, participation, and shared decision-making, leading to better outcomes.</w:t>
      </w:r>
    </w:p>
    <w:p w14:paraId="31DD6F33" w14:textId="77777777" w:rsidR="00295EC4" w:rsidRPr="00295EC4" w:rsidRDefault="00295EC4" w:rsidP="00295EC4">
      <w:pPr>
        <w:spacing w:beforeLines="60" w:before="144" w:afterLines="60" w:after="144"/>
        <w:rPr>
          <w:szCs w:val="22"/>
          <w:lang w:eastAsia="en-AU"/>
        </w:rPr>
      </w:pPr>
      <w:r w:rsidRPr="007A6EC4">
        <w:rPr>
          <w:color w:val="7030A0"/>
          <w:sz w:val="26"/>
        </w:rPr>
        <w:t>Evidence-Based and Responsive Services:</w:t>
      </w:r>
      <w:r w:rsidRPr="00295EC4">
        <w:rPr>
          <w:szCs w:val="22"/>
          <w:lang w:eastAsia="en-AU"/>
        </w:rPr>
        <w:t xml:space="preserve"> </w:t>
      </w:r>
      <w:bookmarkStart w:id="90" w:name="_Hlk150347460"/>
      <w:r w:rsidRPr="00295EC4">
        <w:rPr>
          <w:szCs w:val="22"/>
          <w:lang w:eastAsia="en-AU"/>
        </w:rPr>
        <w:t xml:space="preserve">The Child, Youth and Family support system </w:t>
      </w:r>
      <w:bookmarkEnd w:id="90"/>
      <w:r w:rsidRPr="00295EC4">
        <w:rPr>
          <w:szCs w:val="22"/>
          <w:lang w:eastAsia="en-AU"/>
        </w:rPr>
        <w:t>needs to provide evidence-based, accountable, and responsive services for children, young people, and families. This aligns with the Next Steps reform agenda's focus on evidence-led practices and services that adapt to emerging needs and trends. By aligning with this principle, we can enhance its effectiveness, adaptability and responsiveness to needs and gaps, and ensure relevance in addressing the evolving challenges faced by vulnerable children and families.</w:t>
      </w:r>
    </w:p>
    <w:p w14:paraId="16FFC2FC" w14:textId="77777777" w:rsidR="00295EC4" w:rsidRPr="00295EC4" w:rsidRDefault="00295EC4" w:rsidP="00295EC4">
      <w:pPr>
        <w:spacing w:beforeLines="60" w:before="144" w:afterLines="60" w:after="144"/>
        <w:rPr>
          <w:szCs w:val="22"/>
          <w:lang w:eastAsia="en-AU"/>
        </w:rPr>
      </w:pPr>
      <w:r w:rsidRPr="007A6EC4">
        <w:rPr>
          <w:color w:val="7030A0"/>
          <w:sz w:val="26"/>
        </w:rPr>
        <w:t>Seamless Service Delivery:</w:t>
      </w:r>
      <w:r w:rsidRPr="00295EC4">
        <w:rPr>
          <w:szCs w:val="22"/>
          <w:lang w:eastAsia="en-AU"/>
        </w:rPr>
        <w:t xml:space="preserve"> The CYFSP supports the concept of a "no wrong door" approach, which aims to connect individuals with the services they require as soon as possible. This aligns with the Next Steps reform agenda's goal of ensuring a continuum of support and seamless transitions for children and young people in the child protection system. By aligning the CYFSP with this concept, the program can contribute to a more efficient and accessible service delivery system.</w:t>
      </w:r>
    </w:p>
    <w:p w14:paraId="6CE7EDA6" w14:textId="77777777" w:rsidR="00295EC4" w:rsidRPr="00295EC4" w:rsidRDefault="00295EC4" w:rsidP="00295EC4">
      <w:pPr>
        <w:spacing w:beforeLines="60" w:before="144" w:afterLines="60" w:after="144"/>
        <w:rPr>
          <w:szCs w:val="22"/>
          <w:lang w:eastAsia="en-AU"/>
        </w:rPr>
      </w:pPr>
      <w:r w:rsidRPr="007A6EC4">
        <w:rPr>
          <w:color w:val="7030A0"/>
          <w:sz w:val="26"/>
        </w:rPr>
        <w:t>Shared capability/capacity building across the sector:</w:t>
      </w:r>
      <w:r w:rsidRPr="00295EC4">
        <w:rPr>
          <w:szCs w:val="22"/>
          <w:lang w:eastAsia="en-AU"/>
        </w:rPr>
        <w:t xml:space="preserve"> Workforce Capability and capacity building and the use of Common Language, tools and training has been a key common theme across the Commissioning of the Child, Youth and Family support system and will need to continue to be a key consideration in the development and implementation of service design and delivery and how we work to support sector sustainability.</w:t>
      </w:r>
    </w:p>
    <w:p w14:paraId="1894EAAD" w14:textId="77777777" w:rsidR="00295EC4" w:rsidRPr="00133404" w:rsidRDefault="00295EC4" w:rsidP="00295EC4">
      <w:pPr>
        <w:pStyle w:val="Heading2"/>
      </w:pPr>
      <w:bookmarkStart w:id="91" w:name="_Toc150416729"/>
      <w:bookmarkStart w:id="92" w:name="_Toc150422239"/>
      <w:bookmarkStart w:id="93" w:name="_Toc152683333"/>
      <w:r>
        <w:t>Implications for future child protection, out of home care and support packages</w:t>
      </w:r>
      <w:bookmarkEnd w:id="91"/>
      <w:bookmarkEnd w:id="92"/>
      <w:bookmarkEnd w:id="93"/>
      <w:r>
        <w:t xml:space="preserve">  </w:t>
      </w:r>
    </w:p>
    <w:p w14:paraId="23FB9B95" w14:textId="77777777" w:rsidR="00295EC4" w:rsidRPr="007A6EC4" w:rsidRDefault="00295EC4" w:rsidP="007A6EC4">
      <w:pPr>
        <w:spacing w:beforeLines="60" w:before="144" w:afterLines="60" w:after="144"/>
        <w:rPr>
          <w:szCs w:val="22"/>
          <w:lang w:eastAsia="en-AU"/>
        </w:rPr>
      </w:pPr>
      <w:r w:rsidRPr="007A6EC4">
        <w:rPr>
          <w:szCs w:val="22"/>
          <w:lang w:eastAsia="en-AU"/>
        </w:rPr>
        <w:t xml:space="preserve">Commissioning through Next Steps for the future child protection, out of home care and support packages has led to CSD seeking a new approach to how we work with the community sector to achieve better outcomes for children and families. This new service system will deliver diverse and inclusive services to children, young people, families and carers, including Aboriginal and Torres Strait Islander people, people with disability, people from culturally and linguistically diverse backgrounds and LGBTIQA+ people. </w:t>
      </w:r>
    </w:p>
    <w:p w14:paraId="068C6778" w14:textId="77777777" w:rsidR="00295EC4" w:rsidRPr="007A6EC4" w:rsidRDefault="00295EC4" w:rsidP="007A6EC4">
      <w:pPr>
        <w:spacing w:beforeLines="60" w:before="144" w:afterLines="60" w:after="144"/>
        <w:rPr>
          <w:szCs w:val="22"/>
          <w:lang w:eastAsia="en-AU"/>
        </w:rPr>
      </w:pPr>
      <w:r w:rsidRPr="007A6EC4">
        <w:rPr>
          <w:szCs w:val="22"/>
          <w:lang w:eastAsia="en-AU"/>
        </w:rPr>
        <w:t xml:space="preserve">This includes expanding services beyond the statutory care system to provide more prevention and early support, strengthening families and helping more children and young people remain safe at home. </w:t>
      </w:r>
    </w:p>
    <w:p w14:paraId="536A0CE2" w14:textId="77777777" w:rsidR="00295EC4" w:rsidRPr="007A6EC4" w:rsidRDefault="00295EC4" w:rsidP="007A6EC4">
      <w:pPr>
        <w:spacing w:beforeLines="60" w:before="144" w:afterLines="60" w:after="144"/>
        <w:rPr>
          <w:szCs w:val="22"/>
          <w:lang w:eastAsia="en-AU"/>
        </w:rPr>
      </w:pPr>
      <w:r w:rsidRPr="007A6EC4">
        <w:rPr>
          <w:szCs w:val="22"/>
          <w:lang w:eastAsia="en-AU"/>
        </w:rPr>
        <w:t>This will be done through the establishment of a panel of providers to deliver a range of culturally safe services for children, young people, families and carers – including services for sustaining families, kinship care, foster care, after care and targeted supports (alternate care, supported contact and transport arrangements).</w:t>
      </w:r>
    </w:p>
    <w:p w14:paraId="267D0CF9" w14:textId="77777777" w:rsidR="00295EC4" w:rsidRPr="007A6EC4" w:rsidRDefault="00295EC4" w:rsidP="007A6EC4">
      <w:pPr>
        <w:spacing w:beforeLines="60" w:before="144" w:afterLines="60" w:after="144"/>
        <w:rPr>
          <w:szCs w:val="22"/>
          <w:lang w:eastAsia="en-AU"/>
        </w:rPr>
      </w:pPr>
      <w:r w:rsidRPr="007A6EC4">
        <w:rPr>
          <w:szCs w:val="22"/>
          <w:lang w:eastAsia="en-AU"/>
        </w:rPr>
        <w:t>In addition, the vision of Next Steps will be implemented through a 4 year action plan, which will be the road map that outlines what we will do and what success looks like in achieving Next Steps vision for a child-centred and family focused child protection system which can demonstrate an integration of earlier family support, prevention, child protection, out of home care and youth justice and seeks to strengthen families who interact with this system.</w:t>
      </w:r>
    </w:p>
    <w:p w14:paraId="26678240" w14:textId="77777777" w:rsidR="00295EC4" w:rsidRPr="007A6EC4" w:rsidRDefault="00295EC4" w:rsidP="007A6EC4">
      <w:pPr>
        <w:spacing w:beforeLines="60" w:before="144" w:afterLines="60" w:after="144"/>
        <w:rPr>
          <w:szCs w:val="22"/>
          <w:lang w:eastAsia="en-AU"/>
        </w:rPr>
      </w:pPr>
      <w:r w:rsidRPr="007A6EC4">
        <w:rPr>
          <w:szCs w:val="22"/>
          <w:lang w:eastAsia="en-AU"/>
        </w:rPr>
        <w:t>Based on the feedback gathered during Next Steps Focus Groups for the Next Steps Service System, the following features, among others, were deemed important for future child protection and out of home care services.</w:t>
      </w:r>
    </w:p>
    <w:p w14:paraId="6BFCAA43" w14:textId="77777777" w:rsidR="00295EC4" w:rsidRDefault="00295EC4" w:rsidP="007A6EC4">
      <w:pPr>
        <w:pStyle w:val="bullet10"/>
        <w:spacing w:before="30" w:after="30"/>
      </w:pPr>
      <w:r w:rsidRPr="007A6EC4">
        <w:rPr>
          <w:color w:val="7030A0"/>
          <w:sz w:val="26"/>
        </w:rPr>
        <w:t>Continuous care:</w:t>
      </w:r>
      <w:r>
        <w:t xml:space="preserve"> stakeholders emphasised the importance of building the continuum of care introduced under A Step Up for Our Kids and delivering seamless supports ranging from early intervention through to out of home care, restoration and after care supports. Stakeholders supported closer integration between service providers and CSD to reduce gaps and duplications in service delivery and reduce the need for children, young people and families to re-tell their stories.</w:t>
      </w:r>
    </w:p>
    <w:p w14:paraId="571CC473" w14:textId="77777777" w:rsidR="00295EC4" w:rsidRDefault="00295EC4" w:rsidP="007A6EC4">
      <w:pPr>
        <w:pStyle w:val="bullet10"/>
        <w:spacing w:before="30" w:after="30"/>
      </w:pPr>
      <w:r w:rsidRPr="007A6EC4">
        <w:rPr>
          <w:color w:val="7030A0"/>
          <w:sz w:val="26"/>
        </w:rPr>
        <w:t>Aboriginal and Torres Strait Islander self-determination:</w:t>
      </w:r>
      <w:r>
        <w:t xml:space="preserve"> there was broad agreement on the value of a service system that prioritises self-determination and reduces the overrepresentation of Aboriginal and Torres Strait Islander children and young people in out of home care. There were several suggestions for implementing self-determination in the Next Steps Service System, such as giving all Aboriginal and Torres Strait Islander children, young people, and families the option to work with an ACCO rather than CYPS and embedding the Aboriginal and Torres Strait Islander Child Placement Principles.</w:t>
      </w:r>
    </w:p>
    <w:p w14:paraId="05A95037" w14:textId="77777777" w:rsidR="00295EC4" w:rsidRDefault="00295EC4" w:rsidP="007A6EC4">
      <w:pPr>
        <w:pStyle w:val="bullet10"/>
        <w:spacing w:before="30" w:after="30"/>
      </w:pPr>
      <w:r w:rsidRPr="007A6EC4">
        <w:rPr>
          <w:color w:val="7030A0"/>
          <w:sz w:val="26"/>
        </w:rPr>
        <w:t>Collaboration and joint work:</w:t>
      </w:r>
      <w:r>
        <w:t xml:space="preserve"> most stakeholder highlighted the need to improve the way the government and non-government sectors work together. Effective collaboration was seen by many as a prerequisite for delivering continuous care, and in ensuring all stakeholders feel respected and valued.</w:t>
      </w:r>
    </w:p>
    <w:p w14:paraId="4B76F8B0" w14:textId="77777777" w:rsidR="00295EC4" w:rsidRDefault="00295EC4" w:rsidP="007A6EC4">
      <w:pPr>
        <w:pStyle w:val="bullet10"/>
        <w:spacing w:before="30" w:after="30"/>
      </w:pPr>
      <w:r w:rsidRPr="007A6EC4">
        <w:rPr>
          <w:color w:val="7030A0"/>
          <w:sz w:val="26"/>
        </w:rPr>
        <w:t>Data and evidence:</w:t>
      </w:r>
      <w:r>
        <w:t xml:space="preserve"> there was widespread support for greater and more effective uses of data in the Next Steps Service System, including measuring the impact of services and progress towards outcomes. There were also calls for improvements in how CSD and non-government organisations collect and share data on services and services users.</w:t>
      </w:r>
    </w:p>
    <w:p w14:paraId="2E2F664F" w14:textId="77777777" w:rsidR="00295EC4" w:rsidRDefault="00295EC4" w:rsidP="007A6EC4">
      <w:pPr>
        <w:pStyle w:val="bullet10"/>
        <w:spacing w:before="30" w:after="30"/>
      </w:pPr>
      <w:r w:rsidRPr="007A6EC4">
        <w:rPr>
          <w:color w:val="7030A0"/>
          <w:sz w:val="26"/>
        </w:rPr>
        <w:t>Improving outcomes for children, young people, and families:</w:t>
      </w:r>
      <w:r>
        <w:t xml:space="preserve"> all stakeholders supported a focus on achieving better outcomes for children, young people and families in the child protection and out of home care system. There was also broad support for the focus on permanency, safety, and wellbeing outcomes in the proposed System Wide Performance Management Framework.</w:t>
      </w:r>
    </w:p>
    <w:p w14:paraId="6B74AD87" w14:textId="77777777" w:rsidR="00295EC4" w:rsidRPr="00BD293D" w:rsidRDefault="00295EC4" w:rsidP="007A6EC4">
      <w:pPr>
        <w:pStyle w:val="bullet10"/>
        <w:spacing w:before="30" w:after="30"/>
      </w:pPr>
      <w:r w:rsidRPr="007A6EC4">
        <w:rPr>
          <w:color w:val="7030A0"/>
          <w:sz w:val="26"/>
        </w:rPr>
        <w:t>Flexible service models:</w:t>
      </w:r>
      <w:r>
        <w:t xml:space="preserve"> many stakeholders noted the importance of flexibility in the service system and acknowledged that service delivery will be most effective when service providers can adapt to the changing needs of their users. It is also important for the system to have the flexibility to respond to fluctuations in demand for various services over time.</w:t>
      </w:r>
    </w:p>
    <w:p w14:paraId="76320329" w14:textId="77777777" w:rsidR="00295EC4" w:rsidRPr="00133404" w:rsidRDefault="00295EC4" w:rsidP="00295EC4">
      <w:pPr>
        <w:pStyle w:val="Heading2"/>
      </w:pPr>
      <w:bookmarkStart w:id="94" w:name="_Toc150416730"/>
      <w:bookmarkStart w:id="95" w:name="_Toc150422240"/>
      <w:bookmarkStart w:id="96" w:name="_Toc152683334"/>
      <w:r>
        <w:t>Implications for future CYFSP</w:t>
      </w:r>
      <w:bookmarkEnd w:id="94"/>
      <w:bookmarkEnd w:id="95"/>
      <w:bookmarkEnd w:id="96"/>
      <w:r>
        <w:t xml:space="preserve"> </w:t>
      </w:r>
    </w:p>
    <w:p w14:paraId="77B0241E" w14:textId="77777777" w:rsidR="00295EC4" w:rsidRPr="007A6EC4" w:rsidRDefault="00295EC4" w:rsidP="007A6EC4">
      <w:pPr>
        <w:pStyle w:val="Heading3"/>
      </w:pPr>
      <w:r w:rsidRPr="007A6EC4">
        <w:t>Narrowing the scope of the CYFSP</w:t>
      </w:r>
    </w:p>
    <w:p w14:paraId="3B668637" w14:textId="77777777" w:rsidR="00295EC4" w:rsidRPr="007A6EC4" w:rsidRDefault="00295EC4" w:rsidP="007A6EC4">
      <w:pPr>
        <w:spacing w:beforeLines="60" w:before="144" w:afterLines="60" w:after="144"/>
        <w:rPr>
          <w:szCs w:val="22"/>
          <w:lang w:eastAsia="en-AU"/>
        </w:rPr>
      </w:pPr>
      <w:r w:rsidRPr="007A6EC4">
        <w:rPr>
          <w:szCs w:val="22"/>
          <w:lang w:eastAsia="en-AU"/>
        </w:rPr>
        <w:t xml:space="preserve">Currently the CYFSP is delivering services that support clients across the full breadth of the spectrum of support. Insights throughout the commissioning process have indicated that this is resulting in a light touch service response with resources spread too thinly to be able to meet demand. It has also led to unintended gaps particularly for higher risk, more complex clients. In addition, stakeholders have indicated that the program is not adequately resourced to be able to deliver services across the full spectrum. </w:t>
      </w:r>
    </w:p>
    <w:p w14:paraId="6737B46F" w14:textId="77777777" w:rsidR="00295EC4" w:rsidRPr="007A6EC4" w:rsidRDefault="00295EC4" w:rsidP="007A6EC4">
      <w:pPr>
        <w:spacing w:beforeLines="60" w:before="144" w:afterLines="60" w:after="144"/>
        <w:rPr>
          <w:szCs w:val="22"/>
          <w:lang w:eastAsia="en-AU"/>
        </w:rPr>
      </w:pPr>
      <w:r w:rsidRPr="007A6EC4">
        <w:rPr>
          <w:szCs w:val="22"/>
          <w:lang w:eastAsia="en-AU"/>
        </w:rPr>
        <w:t xml:space="preserve">There were converse views in relation to narrowing the scope of the CYFSP, particularly on the earlier support end of the spectrum with stakeholder expressing concern at moving the CYFSP out of the Preventative support segment would limit engagement points, the ability of services to provide flexible support and could lead to more children young people and families facing more intensive/complex challenges by the time they are able to engage with a support service. </w:t>
      </w:r>
    </w:p>
    <w:p w14:paraId="5F11F8F7" w14:textId="77777777" w:rsidR="00295EC4" w:rsidRPr="007A6EC4" w:rsidRDefault="00295EC4" w:rsidP="007A6EC4">
      <w:pPr>
        <w:spacing w:beforeLines="60" w:before="144" w:afterLines="60" w:after="144"/>
        <w:rPr>
          <w:szCs w:val="22"/>
          <w:lang w:eastAsia="en-AU"/>
        </w:rPr>
      </w:pPr>
      <w:r w:rsidRPr="007A6EC4">
        <w:rPr>
          <w:szCs w:val="22"/>
          <w:lang w:eastAsia="en-AU"/>
        </w:rPr>
        <w:t xml:space="preserve">There was however strong support for the CYFSP moving out of the Statutory and Intensive support zones with targeted therapeutic and diversionary support being the highest level of support provided by the CYFSP. This could be achieved by clarifying the circumstances in which children, young people and families engaged with the statutory system also access CYFSP supports. </w:t>
      </w:r>
    </w:p>
    <w:p w14:paraId="4F88F21F" w14:textId="77777777" w:rsidR="00295EC4" w:rsidRPr="007A6EC4" w:rsidRDefault="00295EC4" w:rsidP="007A6EC4">
      <w:pPr>
        <w:pStyle w:val="Heading3"/>
      </w:pPr>
      <w:r w:rsidRPr="007A6EC4">
        <w:t xml:space="preserve">Who the CYFSP needs to </w:t>
      </w:r>
      <w:proofErr w:type="gramStart"/>
      <w:r w:rsidRPr="007A6EC4">
        <w:t>support</w:t>
      </w:r>
      <w:proofErr w:type="gramEnd"/>
      <w:r w:rsidRPr="007A6EC4">
        <w:t xml:space="preserve"> </w:t>
      </w:r>
    </w:p>
    <w:p w14:paraId="53BD79A9" w14:textId="77777777" w:rsidR="00295EC4" w:rsidRPr="007A6EC4" w:rsidRDefault="00295EC4" w:rsidP="007A6EC4">
      <w:pPr>
        <w:spacing w:beforeLines="60" w:before="144" w:afterLines="60" w:after="144"/>
        <w:rPr>
          <w:szCs w:val="22"/>
          <w:lang w:eastAsia="en-AU"/>
        </w:rPr>
      </w:pPr>
      <w:r w:rsidRPr="007A6EC4">
        <w:rPr>
          <w:szCs w:val="22"/>
          <w:lang w:eastAsia="en-AU"/>
        </w:rPr>
        <w:t xml:space="preserve">In addition to the scope of the CYFSP we need to understand who the CYFSP should be supporting, through this commissioning process we have identified three key target cohorts aligned with the segments of the support spectrum: </w:t>
      </w:r>
    </w:p>
    <w:p w14:paraId="0B53AE21" w14:textId="40363610" w:rsidR="00295EC4" w:rsidRPr="00F32E54" w:rsidRDefault="00295EC4" w:rsidP="003B1A2C">
      <w:pPr>
        <w:pStyle w:val="bullet10"/>
        <w:spacing w:before="30" w:after="30"/>
      </w:pPr>
      <w:r w:rsidRPr="007A6EC4">
        <w:rPr>
          <w:color w:val="7030A0"/>
          <w:sz w:val="26"/>
        </w:rPr>
        <w:t>Preventative:</w:t>
      </w:r>
      <w:r w:rsidRPr="007A6EC4">
        <w:t xml:space="preserve"> </w:t>
      </w:r>
      <w:r w:rsidRPr="00A57AD0">
        <w:t>Children</w:t>
      </w:r>
      <w:r>
        <w:t>,</w:t>
      </w:r>
      <w:r w:rsidRPr="00F32E54">
        <w:t xml:space="preserve"> </w:t>
      </w:r>
      <w:r>
        <w:t>y</w:t>
      </w:r>
      <w:r w:rsidRPr="00F32E54">
        <w:t xml:space="preserve">oung </w:t>
      </w:r>
      <w:r>
        <w:t>p</w:t>
      </w:r>
      <w:r w:rsidRPr="00F32E54">
        <w:t xml:space="preserve">eople and </w:t>
      </w:r>
      <w:r>
        <w:t>f</w:t>
      </w:r>
      <w:r w:rsidRPr="00F32E54">
        <w:t xml:space="preserve">amilies who need </w:t>
      </w:r>
      <w:r>
        <w:t>preventative</w:t>
      </w:r>
      <w:r w:rsidRPr="00F32E54">
        <w:t xml:space="preserve"> support early</w:t>
      </w:r>
      <w:r>
        <w:t xml:space="preserve">, </w:t>
      </w:r>
      <w:r w:rsidRPr="00F32E54">
        <w:t>to prevent or minimise the escalation of problems. The focus here is on identifying and addressing issues at an early stage, thereby reducing the likelihood of challenges becoming more severe</w:t>
      </w:r>
      <w:r>
        <w:t>, enduring</w:t>
      </w:r>
      <w:r w:rsidRPr="00F32E54">
        <w:t xml:space="preserve"> or widespread. Enabling positive changes before the situation becomes critical or unmanageable.</w:t>
      </w:r>
    </w:p>
    <w:p w14:paraId="0C5A7F7A" w14:textId="218F8051" w:rsidR="00295EC4" w:rsidRPr="00F32E54" w:rsidRDefault="00295EC4" w:rsidP="003B1A2C">
      <w:pPr>
        <w:pStyle w:val="bullet10"/>
        <w:spacing w:before="30" w:after="30"/>
      </w:pPr>
      <w:r w:rsidRPr="007A6EC4">
        <w:rPr>
          <w:color w:val="7030A0"/>
          <w:sz w:val="26"/>
        </w:rPr>
        <w:t>Targeted:</w:t>
      </w:r>
      <w:r w:rsidRPr="007A6EC4">
        <w:t xml:space="preserve"> </w:t>
      </w:r>
      <w:r w:rsidRPr="00F32E54">
        <w:t xml:space="preserve">Children, </w:t>
      </w:r>
      <w:r>
        <w:t>y</w:t>
      </w:r>
      <w:r w:rsidRPr="00F32E54">
        <w:t xml:space="preserve">oung </w:t>
      </w:r>
      <w:r>
        <w:t>p</w:t>
      </w:r>
      <w:r w:rsidRPr="00F32E54">
        <w:t xml:space="preserve">eople and </w:t>
      </w:r>
      <w:r>
        <w:t>f</w:t>
      </w:r>
      <w:r w:rsidRPr="00F32E54">
        <w:t xml:space="preserve">amilies with identified high-risk, complex, or </w:t>
      </w:r>
      <w:r>
        <w:t>targeted</w:t>
      </w:r>
      <w:r w:rsidRPr="00F32E54">
        <w:t xml:space="preserve"> support needs. Support for this cohort is delivered with the purpose of redirecting or diverting their situation away from a negative trajectory. Through specialised and focused support, the program aims to steer this cohort towards a more positive and stable path, away from potentially harmful circumstances.</w:t>
      </w:r>
    </w:p>
    <w:p w14:paraId="06D91C67" w14:textId="77777777" w:rsidR="00295EC4" w:rsidRPr="00F32E54" w:rsidRDefault="00295EC4" w:rsidP="007A6EC4">
      <w:pPr>
        <w:pStyle w:val="bullet10"/>
        <w:spacing w:before="30" w:after="30"/>
      </w:pPr>
      <w:r w:rsidRPr="007A6EC4">
        <w:rPr>
          <w:color w:val="7030A0"/>
          <w:sz w:val="26"/>
        </w:rPr>
        <w:t>Diversionary/Step up Step down:</w:t>
      </w:r>
      <w:r w:rsidRPr="00F32E54">
        <w:t xml:space="preserve"> Children, </w:t>
      </w:r>
      <w:r>
        <w:t>y</w:t>
      </w:r>
      <w:r w:rsidRPr="00F32E54">
        <w:t xml:space="preserve">oung </w:t>
      </w:r>
      <w:r>
        <w:t>p</w:t>
      </w:r>
      <w:r w:rsidRPr="00F32E54">
        <w:t xml:space="preserve">eople and </w:t>
      </w:r>
      <w:r>
        <w:t>f</w:t>
      </w:r>
      <w:r w:rsidRPr="00F32E54">
        <w:t>amilies who have been engaged with the tertiary system, but it is identified that a tertiary response is no longer needed or suitable for their current needs. The CYFSP offers a transition or step-down approach, where Children, Young People and Families continue to receive the support they need with greater agency and self determination to define those needs. </w:t>
      </w:r>
    </w:p>
    <w:p w14:paraId="52234DEB" w14:textId="77777777" w:rsidR="00295EC4" w:rsidRPr="007A6EC4" w:rsidRDefault="00295EC4" w:rsidP="007A6EC4">
      <w:pPr>
        <w:pStyle w:val="Heading3"/>
      </w:pPr>
      <w:r w:rsidRPr="007A6EC4">
        <w:t xml:space="preserve">Future CYFSP services will also need to demonstrate the following features: </w:t>
      </w:r>
    </w:p>
    <w:p w14:paraId="2F711A8C" w14:textId="77777777" w:rsidR="00295EC4" w:rsidRPr="007A6EC4" w:rsidRDefault="00295EC4" w:rsidP="007A6EC4">
      <w:pPr>
        <w:pStyle w:val="bullet10"/>
        <w:spacing w:before="30" w:after="30"/>
      </w:pPr>
      <w:r w:rsidRPr="007A6EC4">
        <w:rPr>
          <w:color w:val="7030A0"/>
          <w:sz w:val="26"/>
        </w:rPr>
        <w:t>Child Centred and Family Focused:</w:t>
      </w:r>
      <w:r w:rsidRPr="007A6EC4">
        <w:t xml:space="preserve"> </w:t>
      </w:r>
      <w:r w:rsidRPr="00576CFC">
        <w:t>We need</w:t>
      </w:r>
      <w:r>
        <w:t xml:space="preserve"> to be</w:t>
      </w:r>
      <w:r w:rsidRPr="00576CFC">
        <w:t xml:space="preserve"> tailoring services to meet the unique needs of children, young people, and families. </w:t>
      </w:r>
      <w:r>
        <w:t>S</w:t>
      </w:r>
      <w:r w:rsidRPr="00576CFC">
        <w:t>ervices that include the voice of children, young people and families in decision making and build on their strengths to achieve positive outcomes.</w:t>
      </w:r>
      <w:r w:rsidRPr="007A6EC4">
        <w:t xml:space="preserve"> </w:t>
      </w:r>
    </w:p>
    <w:p w14:paraId="21142F19" w14:textId="77777777" w:rsidR="00295EC4" w:rsidRPr="007A6EC4" w:rsidRDefault="00295EC4" w:rsidP="007A6EC4">
      <w:pPr>
        <w:pStyle w:val="bullet10"/>
        <w:spacing w:before="30" w:after="30"/>
      </w:pPr>
      <w:r w:rsidRPr="007A6EC4">
        <w:rPr>
          <w:color w:val="7030A0"/>
          <w:sz w:val="26"/>
        </w:rPr>
        <w:t>Culturally Safe:</w:t>
      </w:r>
      <w:r w:rsidRPr="007A6EC4">
        <w:t xml:space="preserve"> </w:t>
      </w:r>
      <w:r w:rsidRPr="00576CFC">
        <w:t>The commissioning process has highlighted the need to ensure the child, youth and family s</w:t>
      </w:r>
      <w:r>
        <w:t xml:space="preserve">upport </w:t>
      </w:r>
      <w:r w:rsidRPr="00576CFC">
        <w:t>system is an environment where individuals in all their diversity feel respected, valued and safe. The CYFSP needs to ensure an equity of service accessibility and capability to support our diverse community.</w:t>
      </w:r>
      <w:r w:rsidRPr="007A6EC4">
        <w:t xml:space="preserve"> </w:t>
      </w:r>
    </w:p>
    <w:p w14:paraId="1E5F9B70" w14:textId="0A3180E0" w:rsidR="00295EC4" w:rsidRPr="00576CFC" w:rsidRDefault="00295EC4" w:rsidP="007A6EC4">
      <w:pPr>
        <w:pStyle w:val="bullet10"/>
        <w:spacing w:before="30" w:after="30"/>
      </w:pPr>
      <w:r w:rsidRPr="007A6EC4">
        <w:rPr>
          <w:color w:val="7030A0"/>
          <w:sz w:val="26"/>
        </w:rPr>
        <w:t>Integrated service models:</w:t>
      </w:r>
      <w:r w:rsidRPr="007A6EC4">
        <w:t xml:space="preserve"> </w:t>
      </w:r>
      <w:r w:rsidRPr="00576CFC">
        <w:t xml:space="preserve">Have a greater focus on </w:t>
      </w:r>
      <w:r>
        <w:t>i</w:t>
      </w:r>
      <w:r w:rsidRPr="00576CFC">
        <w:t>ntegrated services that can provide holistic and flexible support for children, young people and families</w:t>
      </w:r>
      <w:r w:rsidR="00035A39">
        <w:t>.</w:t>
      </w:r>
      <w:r w:rsidRPr="00576CFC">
        <w:t xml:space="preserve"> </w:t>
      </w:r>
    </w:p>
    <w:p w14:paraId="54DAEADB" w14:textId="2829CE71" w:rsidR="00295EC4" w:rsidRPr="007A6EC4" w:rsidRDefault="00295EC4" w:rsidP="007A6EC4">
      <w:pPr>
        <w:pStyle w:val="bullet10"/>
        <w:spacing w:before="30" w:after="30"/>
      </w:pPr>
      <w:r w:rsidRPr="007A6EC4">
        <w:rPr>
          <w:color w:val="7030A0"/>
          <w:sz w:val="26"/>
        </w:rPr>
        <w:t>priority population groups and key age groups:</w:t>
      </w:r>
      <w:r w:rsidRPr="007A6EC4">
        <w:t xml:space="preserve"> </w:t>
      </w:r>
      <w:r w:rsidRPr="00576CFC">
        <w:t>Increased</w:t>
      </w:r>
      <w:r>
        <w:t xml:space="preserve"> selective, indicated and</w:t>
      </w:r>
      <w:r w:rsidRPr="00576CFC">
        <w:t xml:space="preserve"> targeted support for priority population groups and key age groups including more targeted funding for ACCOs and children/young people in the middle </w:t>
      </w:r>
      <w:proofErr w:type="gramStart"/>
      <w:r w:rsidRPr="00576CFC">
        <w:t>years</w:t>
      </w:r>
      <w:r w:rsidRPr="007A6EC4">
        <w:t xml:space="preserve"> </w:t>
      </w:r>
      <w:r w:rsidR="00035A39">
        <w:t>.</w:t>
      </w:r>
      <w:proofErr w:type="gramEnd"/>
    </w:p>
    <w:p w14:paraId="6D70C539" w14:textId="77777777" w:rsidR="00295EC4" w:rsidRPr="007A6EC4" w:rsidRDefault="00295EC4" w:rsidP="007A6EC4">
      <w:pPr>
        <w:pStyle w:val="bullet10"/>
        <w:spacing w:before="30" w:after="30"/>
      </w:pPr>
      <w:r w:rsidRPr="007A6EC4">
        <w:rPr>
          <w:color w:val="7030A0"/>
          <w:sz w:val="26"/>
        </w:rPr>
        <w:t>strong evidence base:</w:t>
      </w:r>
      <w:r w:rsidRPr="007A6EC4">
        <w:t xml:space="preserve"> </w:t>
      </w:r>
      <w:r w:rsidRPr="00576CFC">
        <w:t>prioritise investment in service models with a higher evidence base than those which are more experiential or have lower efficacy or evidence base. Stakeholders in the CYFSP process emphasised the necessity for a greater shift towards programs grounded in robust evidence</w:t>
      </w:r>
      <w:r>
        <w:t xml:space="preserve"> and systems to ensure alignment with evidence-based models is maintained</w:t>
      </w:r>
      <w:r w:rsidRPr="00576CFC">
        <w:t>.</w:t>
      </w:r>
      <w:r w:rsidRPr="007A6EC4">
        <w:t xml:space="preserve"> </w:t>
      </w:r>
    </w:p>
    <w:p w14:paraId="1A4B0A9B" w14:textId="77777777" w:rsidR="00295EC4" w:rsidRPr="007A6EC4" w:rsidRDefault="00295EC4" w:rsidP="007A6EC4">
      <w:pPr>
        <w:pStyle w:val="bullet10"/>
        <w:spacing w:before="30" w:after="30"/>
      </w:pPr>
      <w:r w:rsidRPr="007A6EC4">
        <w:rPr>
          <w:color w:val="7030A0"/>
          <w:sz w:val="26"/>
        </w:rPr>
        <w:t>service locations and access points:</w:t>
      </w:r>
      <w:r w:rsidRPr="007A6EC4">
        <w:t xml:space="preserve"> </w:t>
      </w:r>
      <w:r w:rsidRPr="00576CFC">
        <w:t>seek to deliver a proportionate and intentional mix of service locations and access points, offering service users genuine options for outreach or engagement at locations that suit their needs. Ensuring service accessibility across the ACT based on current population data and adapting to future population changes.</w:t>
      </w:r>
      <w:r w:rsidRPr="007A6EC4">
        <w:t xml:space="preserve"> </w:t>
      </w:r>
    </w:p>
    <w:p w14:paraId="4BE28931" w14:textId="77777777" w:rsidR="00295EC4" w:rsidRPr="007A6EC4" w:rsidRDefault="00295EC4" w:rsidP="007A6EC4">
      <w:pPr>
        <w:pStyle w:val="bullet10"/>
        <w:spacing w:before="30" w:after="30"/>
      </w:pPr>
      <w:r w:rsidRPr="007A6EC4">
        <w:rPr>
          <w:color w:val="7030A0"/>
          <w:sz w:val="26"/>
        </w:rPr>
        <w:t>Data and information sharing:</w:t>
      </w:r>
      <w:r w:rsidRPr="007A6EC4">
        <w:t xml:space="preserve"> </w:t>
      </w:r>
      <w:r w:rsidRPr="00576CFC">
        <w:t>improved information sharing and data capabilities: there was strong support through this process for harnessing data to inform the outcomes of the service system. This highlights a collective aspiration to integrate data-driven decision-making and evidence-based strategies for continual improvement and effective resource allocation.</w:t>
      </w:r>
    </w:p>
    <w:p w14:paraId="4CB5EF12" w14:textId="77777777" w:rsidR="00295EC4" w:rsidRPr="007A6EC4" w:rsidRDefault="00295EC4" w:rsidP="007A6EC4">
      <w:pPr>
        <w:pStyle w:val="bullet10"/>
        <w:spacing w:before="30" w:after="30"/>
      </w:pPr>
      <w:r w:rsidRPr="007A6EC4">
        <w:rPr>
          <w:color w:val="7030A0"/>
          <w:sz w:val="26"/>
        </w:rPr>
        <w:t>Shared Accountability:</w:t>
      </w:r>
      <w:r w:rsidRPr="007A6EC4">
        <w:t xml:space="preserve"> </w:t>
      </w:r>
      <w:r w:rsidRPr="00576CFC">
        <w:t xml:space="preserve">Strengthening the role of everyone involved </w:t>
      </w:r>
      <w:r>
        <w:t xml:space="preserve">in </w:t>
      </w:r>
      <w:r w:rsidRPr="00576CFC">
        <w:t>supporting children, young people and families including Gov, NGOs, the community, parents and carers. Greater accountability through planning, engagement with risk, innovation, performance monitoring</w:t>
      </w:r>
      <w:r>
        <w:t>,</w:t>
      </w:r>
      <w:r w:rsidRPr="00576CFC">
        <w:t xml:space="preserve"> evaluation and review and clear performance expectations in funding agreements. A strong theme through this and other commissioning processes has been the need for government to do a better job holding services accountable to the requirements set out in contracts and for contracts to be clearer regarding what is required of services.</w:t>
      </w:r>
      <w:r w:rsidRPr="007A6EC4">
        <w:t xml:space="preserve"> </w:t>
      </w:r>
    </w:p>
    <w:p w14:paraId="1E5E80AF" w14:textId="2215DDD6" w:rsidR="00295EC4" w:rsidRPr="007A6EC4" w:rsidRDefault="00295EC4" w:rsidP="007A6EC4">
      <w:pPr>
        <w:pStyle w:val="bullet10"/>
        <w:spacing w:before="30" w:after="30"/>
      </w:pPr>
      <w:r w:rsidRPr="007A6EC4">
        <w:rPr>
          <w:color w:val="7030A0"/>
          <w:sz w:val="26"/>
        </w:rPr>
        <w:t>Connection:</w:t>
      </w:r>
      <w:r w:rsidRPr="007A6EC4">
        <w:t xml:space="preserve"> </w:t>
      </w:r>
      <w:r w:rsidRPr="00576CFC">
        <w:t>The commissioning process highlighted the importance of collaboration, effective communication, and the need for clear roles and responsibilities between government and non-government stakeholders, which are essential for accountability and coordinated service delivery. There was also a strong indication of the need for increased connection with broader child and family s</w:t>
      </w:r>
      <w:r>
        <w:t xml:space="preserve">upport </w:t>
      </w:r>
      <w:r w:rsidRPr="00576CFC">
        <w:t>system (across both the Government</w:t>
      </w:r>
      <w:r>
        <w:t xml:space="preserve">, </w:t>
      </w:r>
      <w:r w:rsidRPr="00576CFC">
        <w:t>NGO sector</w:t>
      </w:r>
      <w:r>
        <w:t xml:space="preserve"> and intersectional sectors including Health and Education</w:t>
      </w:r>
      <w:r w:rsidRPr="00576CFC">
        <w:t>) including the need for shared training, language, tools, practice and governance.</w:t>
      </w:r>
    </w:p>
    <w:p w14:paraId="2A7B8853" w14:textId="77777777" w:rsidR="00295EC4" w:rsidRPr="00A460E3" w:rsidRDefault="00295EC4" w:rsidP="00295EC4">
      <w:pPr>
        <w:pStyle w:val="Heading2"/>
      </w:pPr>
      <w:bookmarkStart w:id="97" w:name="_Toc150416731"/>
      <w:bookmarkStart w:id="98" w:name="_Toc150422241"/>
      <w:bookmarkStart w:id="99" w:name="_Toc152683335"/>
      <w:r w:rsidRPr="00A460E3">
        <w:t>Implications for MACR</w:t>
      </w:r>
      <w:bookmarkEnd w:id="97"/>
      <w:bookmarkEnd w:id="98"/>
      <w:bookmarkEnd w:id="99"/>
      <w:r w:rsidRPr="00A460E3">
        <w:t xml:space="preserve"> </w:t>
      </w:r>
    </w:p>
    <w:p w14:paraId="6029AE51" w14:textId="77777777" w:rsidR="00295EC4" w:rsidRPr="007A6EC4" w:rsidRDefault="00295EC4" w:rsidP="007A6EC4">
      <w:pPr>
        <w:spacing w:beforeLines="60" w:before="144" w:afterLines="60" w:after="144"/>
        <w:rPr>
          <w:szCs w:val="22"/>
          <w:lang w:eastAsia="en-AU"/>
        </w:rPr>
      </w:pPr>
      <w:r w:rsidRPr="007A6EC4">
        <w:rPr>
          <w:szCs w:val="22"/>
          <w:lang w:eastAsia="en-AU"/>
        </w:rPr>
        <w:t>Addressing the therapeutic needs of children and young people, and their families, that engage in harmful behaviour requires integration and holistic support that draws together services and supports from across sectors.</w:t>
      </w:r>
    </w:p>
    <w:p w14:paraId="3A115548" w14:textId="77777777" w:rsidR="00295EC4" w:rsidRPr="007A6EC4" w:rsidRDefault="00295EC4" w:rsidP="007A6EC4">
      <w:pPr>
        <w:spacing w:beforeLines="60" w:before="144" w:afterLines="60" w:after="144"/>
        <w:rPr>
          <w:szCs w:val="22"/>
          <w:lang w:eastAsia="en-AU"/>
        </w:rPr>
      </w:pPr>
      <w:r w:rsidRPr="007A6EC4">
        <w:rPr>
          <w:szCs w:val="22"/>
          <w:lang w:eastAsia="en-AU"/>
        </w:rPr>
        <w:t>As our approach to commissioning matures, service integration and better responses to support children, young people and their families, must be a combined objective across sectors, including mental health, drug and alcohol, and children youth and families.  This integration and cohesion across the service system will be a key driver of better short and long-term life outcomes for children, young people, and their families, engaging with the Therapeutic Support Panel.</w:t>
      </w:r>
    </w:p>
    <w:p w14:paraId="46018EA9" w14:textId="77777777" w:rsidR="00295EC4" w:rsidRPr="007A6EC4" w:rsidRDefault="00295EC4" w:rsidP="007A6EC4">
      <w:pPr>
        <w:spacing w:beforeLines="60" w:before="144" w:afterLines="60" w:after="144"/>
        <w:rPr>
          <w:szCs w:val="22"/>
          <w:lang w:eastAsia="en-AU"/>
        </w:rPr>
      </w:pPr>
      <w:r w:rsidRPr="007A6EC4">
        <w:rPr>
          <w:szCs w:val="22"/>
          <w:lang w:eastAsia="en-AU"/>
        </w:rPr>
        <w:t xml:space="preserve">The commencement of the MACR legislation in November 2023 provides for an immediate raising of the minimum age of criminal responsibility to 12, and a further raising to 14 on 1 June 2025. The stepped approach allows for both the ACT Government and the non-government sector to build evidence, understand the needs of presenting children and young people, as well as current and emerging gaps in the service system. This ongoing discovery phase will inform ongoing service and sector design, and any future government decisions around additional investment. </w:t>
      </w:r>
    </w:p>
    <w:p w14:paraId="44CACBA0" w14:textId="77777777" w:rsidR="00295EC4" w:rsidRPr="007A6EC4" w:rsidRDefault="00295EC4" w:rsidP="007A6EC4">
      <w:pPr>
        <w:spacing w:beforeLines="60" w:before="144" w:afterLines="60" w:after="144"/>
        <w:rPr>
          <w:szCs w:val="22"/>
          <w:lang w:eastAsia="en-AU"/>
        </w:rPr>
      </w:pPr>
      <w:r w:rsidRPr="007A6EC4">
        <w:rPr>
          <w:szCs w:val="22"/>
          <w:lang w:eastAsia="en-AU"/>
        </w:rPr>
        <w:t xml:space="preserve">A key function of the Therapeutic Support Panel is to provide strategic advice to Ministers and government on areas for reform and improvement within the service system </w:t>
      </w:r>
      <w:proofErr w:type="gramStart"/>
      <w:r w:rsidRPr="007A6EC4">
        <w:rPr>
          <w:szCs w:val="22"/>
          <w:lang w:eastAsia="en-AU"/>
        </w:rPr>
        <w:t>so as to</w:t>
      </w:r>
      <w:proofErr w:type="gramEnd"/>
      <w:r w:rsidRPr="007A6EC4">
        <w:rPr>
          <w:szCs w:val="22"/>
          <w:lang w:eastAsia="en-AU"/>
        </w:rPr>
        <w:t xml:space="preserve"> achieve integration and cohesive support for children and young people, and their families. w This presents an opportunity to set guiding principles and the strategic direction for future service sector reform.</w:t>
      </w:r>
    </w:p>
    <w:p w14:paraId="32F297FC" w14:textId="52586C56" w:rsidR="00295EC4" w:rsidRPr="007A6EC4" w:rsidRDefault="00295EC4" w:rsidP="007A6EC4">
      <w:pPr>
        <w:spacing w:beforeLines="60" w:before="144" w:afterLines="60" w:after="144"/>
        <w:rPr>
          <w:szCs w:val="22"/>
          <w:lang w:eastAsia="en-AU"/>
        </w:rPr>
      </w:pPr>
      <w:r w:rsidRPr="007A6EC4">
        <w:rPr>
          <w:szCs w:val="22"/>
          <w:lang w:eastAsia="en-AU"/>
        </w:rPr>
        <w:t>The insights highlighted above will underpin ongoing service and sector design work to develop the service landscape for successful MACR reform, including being child centred, family focused and culturally safe. The alternative therapeutic service response set out in MACR legislation is voluntary, and necessarily focuses on relationships of trust and successful engagement with children, young people and their families, without fear of statutory involvement.</w:t>
      </w:r>
    </w:p>
    <w:p w14:paraId="1FBD76BD" w14:textId="77777777" w:rsidR="00295EC4" w:rsidRPr="007A6EC4" w:rsidRDefault="00295EC4" w:rsidP="007A6EC4">
      <w:pPr>
        <w:spacing w:beforeLines="60" w:before="144" w:afterLines="60" w:after="144"/>
        <w:rPr>
          <w:szCs w:val="22"/>
          <w:lang w:eastAsia="en-AU"/>
        </w:rPr>
      </w:pPr>
      <w:r w:rsidRPr="007A6EC4">
        <w:rPr>
          <w:szCs w:val="22"/>
          <w:lang w:eastAsia="en-AU"/>
        </w:rPr>
        <w:t>Raising the minimum age of criminal responsibility will fundamentally change the way in which the ACT supports children, young people and their families who would previously have been engaged in a criminal justice response, by supporting children and young people to address the drivers of harmful behaviour, not punishing them for their actions.</w:t>
      </w:r>
    </w:p>
    <w:p w14:paraId="4281027B" w14:textId="77777777" w:rsidR="00295EC4" w:rsidRPr="007A6EC4" w:rsidRDefault="00295EC4" w:rsidP="007A6EC4">
      <w:pPr>
        <w:spacing w:beforeLines="60" w:before="144" w:afterLines="60" w:after="144"/>
        <w:rPr>
          <w:szCs w:val="22"/>
          <w:lang w:eastAsia="en-AU"/>
        </w:rPr>
      </w:pPr>
      <w:r w:rsidRPr="007A6EC4">
        <w:rPr>
          <w:szCs w:val="22"/>
          <w:lang w:eastAsia="en-AU"/>
        </w:rPr>
        <w:t>It is part of the suite of reforms to the children, youth and families service system, as well as other sectors across the broader human service system, and over time will guide and encourage a more integrated, therapeutic and cohesive system that supports Canberrans to lifelong wellbeing.</w:t>
      </w:r>
    </w:p>
    <w:p w14:paraId="6A491002" w14:textId="77777777" w:rsidR="00295EC4" w:rsidRDefault="00295EC4" w:rsidP="00295EC4"/>
    <w:sectPr w:rsidR="00295EC4" w:rsidSect="007A6EC4">
      <w:type w:val="continuous"/>
      <w:pgSz w:w="11907" w:h="16840" w:code="9"/>
      <w:pgMar w:top="1134" w:right="1134" w:bottom="1702" w:left="1134" w:header="567" w:footer="2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82F52" w14:textId="77777777" w:rsidR="00EE4D71" w:rsidRDefault="00EE4D71">
      <w:pPr>
        <w:spacing w:before="0" w:after="0"/>
      </w:pPr>
      <w:r>
        <w:separator/>
      </w:r>
    </w:p>
    <w:p w14:paraId="616C30B5" w14:textId="77777777" w:rsidR="00EE4D71" w:rsidRDefault="00EE4D71"/>
  </w:endnote>
  <w:endnote w:type="continuationSeparator" w:id="0">
    <w:p w14:paraId="1784A0ED" w14:textId="77777777" w:rsidR="00EE4D71" w:rsidRDefault="00EE4D71">
      <w:pPr>
        <w:spacing w:before="0" w:after="0"/>
      </w:pPr>
      <w:r>
        <w:continuationSeparator/>
      </w:r>
    </w:p>
    <w:p w14:paraId="561E54BA" w14:textId="77777777" w:rsidR="00EE4D71" w:rsidRDefault="00EE4D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Work Sans Medium">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5635842"/>
      <w:docPartObj>
        <w:docPartGallery w:val="Page Numbers (Bottom of Page)"/>
        <w:docPartUnique/>
      </w:docPartObj>
    </w:sdtPr>
    <w:sdtEndPr>
      <w:rPr>
        <w:rStyle w:val="PageNumber"/>
      </w:rPr>
    </w:sdtEndPr>
    <w:sdtContent>
      <w:p w14:paraId="6250DCA5" w14:textId="68787177" w:rsidR="000459F7" w:rsidRDefault="000459F7" w:rsidP="00B46B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A6EC4">
          <w:rPr>
            <w:rStyle w:val="PageNumber"/>
            <w:noProof/>
          </w:rPr>
          <w:t>19</w:t>
        </w:r>
        <w:r>
          <w:rPr>
            <w:rStyle w:val="PageNumber"/>
          </w:rPr>
          <w:fldChar w:fldCharType="end"/>
        </w:r>
      </w:p>
    </w:sdtContent>
  </w:sdt>
  <w:p w14:paraId="65AD0C32" w14:textId="77777777" w:rsidR="000459F7" w:rsidRDefault="000459F7" w:rsidP="00D678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138035189"/>
      <w:docPartObj>
        <w:docPartGallery w:val="Page Numbers (Bottom of Page)"/>
        <w:docPartUnique/>
      </w:docPartObj>
    </w:sdtPr>
    <w:sdtEndPr>
      <w:rPr>
        <w:rStyle w:val="PageNumber"/>
      </w:rPr>
    </w:sdtEndPr>
    <w:sdtContent>
      <w:p w14:paraId="362FA08C" w14:textId="5E0AD43D" w:rsidR="000459F7" w:rsidRPr="00A50ACF" w:rsidRDefault="000459F7" w:rsidP="004D749A">
        <w:pPr>
          <w:pStyle w:val="Footer"/>
          <w:framePr w:h="586" w:hRule="exact" w:wrap="none" w:vAnchor="text" w:hAnchor="page" w:x="5922" w:y="-193"/>
          <w:rPr>
            <w:rStyle w:val="PageNumber"/>
            <w:sz w:val="16"/>
            <w:szCs w:val="16"/>
          </w:rPr>
        </w:pPr>
        <w:r w:rsidRPr="00A50ACF">
          <w:rPr>
            <w:rStyle w:val="PageNumber"/>
            <w:sz w:val="16"/>
            <w:szCs w:val="16"/>
          </w:rPr>
          <w:fldChar w:fldCharType="begin"/>
        </w:r>
        <w:r w:rsidRPr="00A50ACF">
          <w:rPr>
            <w:rStyle w:val="PageNumber"/>
            <w:sz w:val="16"/>
            <w:szCs w:val="16"/>
          </w:rPr>
          <w:instrText xml:space="preserve"> PAGE </w:instrText>
        </w:r>
        <w:r w:rsidRPr="00A50ACF">
          <w:rPr>
            <w:rStyle w:val="PageNumber"/>
            <w:sz w:val="16"/>
            <w:szCs w:val="16"/>
          </w:rPr>
          <w:fldChar w:fldCharType="separate"/>
        </w:r>
        <w:r w:rsidRPr="00A50ACF">
          <w:rPr>
            <w:rStyle w:val="PageNumber"/>
            <w:noProof/>
            <w:sz w:val="16"/>
            <w:szCs w:val="16"/>
          </w:rPr>
          <w:t>1</w:t>
        </w:r>
        <w:r w:rsidRPr="00A50ACF">
          <w:rPr>
            <w:rStyle w:val="PageNumber"/>
            <w:sz w:val="16"/>
            <w:szCs w:val="16"/>
          </w:rPr>
          <w:fldChar w:fldCharType="end"/>
        </w:r>
      </w:p>
    </w:sdtContent>
  </w:sdt>
  <w:p w14:paraId="61C7144D" w14:textId="0E962A92" w:rsidR="000459F7" w:rsidRPr="005561B3" w:rsidRDefault="000A1179" w:rsidP="004D749A">
    <w:pPr>
      <w:pStyle w:val="Footer"/>
      <w:rPr>
        <w:b/>
      </w:rPr>
    </w:pPr>
    <w:r>
      <w:rPr>
        <w:noProof/>
      </w:rPr>
      <w:drawing>
        <wp:anchor distT="0" distB="0" distL="114300" distR="114300" simplePos="0" relativeHeight="251657216" behindDoc="1" locked="0" layoutInCell="1" allowOverlap="1" wp14:anchorId="2F866DD3" wp14:editId="2311D128">
          <wp:simplePos x="0" y="0"/>
          <wp:positionH relativeFrom="column">
            <wp:posOffset>-453390</wp:posOffset>
          </wp:positionH>
          <wp:positionV relativeFrom="paragraph">
            <wp:posOffset>-60960</wp:posOffset>
          </wp:positionV>
          <wp:extent cx="6883200" cy="252000"/>
          <wp:effectExtent l="0" t="0" r="0" b="0"/>
          <wp:wrapNone/>
          <wp:docPr id="3" name="Header WHog_B thin.png" descr="Example Foot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WHog_B thin.png" descr="Example Footer">
                    <a:extLst>
                      <a:ext uri="{C183D7F6-B498-43B3-948B-1728B52AA6E4}">
                        <adec:decorative xmlns:adec="http://schemas.microsoft.com/office/drawing/2017/decorative" val="0"/>
                      </a:ext>
                    </a:extLst>
                  </pic:cNvPr>
                  <pic:cNvPicPr/>
                </pic:nvPicPr>
                <pic:blipFill>
                  <a:blip r:embed="rId1" r:link="rId2">
                    <a:extLst>
                      <a:ext uri="{28A0092B-C50C-407E-A947-70E740481C1C}">
                        <a14:useLocalDpi xmlns:a14="http://schemas.microsoft.com/office/drawing/2010/main" val="0"/>
                      </a:ext>
                    </a:extLst>
                  </a:blip>
                  <a:stretch>
                    <a:fillRect/>
                  </a:stretch>
                </pic:blipFill>
                <pic:spPr>
                  <a:xfrm>
                    <a:off x="0" y="0"/>
                    <a:ext cx="6883200" cy="252000"/>
                  </a:xfrm>
                  <a:prstGeom prst="rect">
                    <a:avLst/>
                  </a:prstGeom>
                </pic:spPr>
              </pic:pic>
            </a:graphicData>
          </a:graphic>
          <wp14:sizeRelH relativeFrom="margin">
            <wp14:pctWidth>0</wp14:pctWidth>
          </wp14:sizeRelH>
          <wp14:sizeRelV relativeFrom="margin">
            <wp14:pctHeight>0</wp14:pctHeight>
          </wp14:sizeRelV>
        </wp:anchor>
      </w:drawing>
    </w:r>
    <w:r w:rsidR="007A6EC4">
      <w:rPr>
        <w:noProof/>
      </w:rPr>
      <w:t xml:space="preserve">Community Services Directorate </w:t>
    </w:r>
    <w:r w:rsidR="007A6EC4">
      <w:rPr>
        <w:noProof/>
      </w:rPr>
      <w:tab/>
    </w:r>
    <w:r w:rsidR="00A50ACF" w:rsidRPr="00723F5C">
      <w:rPr>
        <w:noProof/>
      </w:rPr>
      <w:t xml:space="preserve"> </w:t>
    </w:r>
    <w:r w:rsidR="00723F5C">
      <w:rPr>
        <w:noProof/>
      </w:rPr>
      <w:tab/>
    </w:r>
    <w:r w:rsidR="0062148A">
      <w:rPr>
        <w:noProof/>
      </w:rPr>
      <w:tab/>
    </w:r>
    <w:r w:rsidR="004D749A">
      <w:rPr>
        <w:noProof/>
      </w:rPr>
      <w:tab/>
    </w:r>
    <w:r w:rsidR="004D749A">
      <w:rPr>
        <w:noProof/>
      </w:rPr>
      <w:tab/>
      <w:t xml:space="preserve"> </w:t>
    </w:r>
    <w:r w:rsidR="004D749A">
      <w:rPr>
        <w:noProof/>
      </w:rPr>
      <w:tab/>
    </w:r>
    <w:r w:rsidR="004D749A">
      <w:rPr>
        <w:noProof/>
      </w:rPr>
      <w:tab/>
    </w:r>
    <w:r w:rsidR="004D749A">
      <w:rPr>
        <w:noProof/>
      </w:rPr>
      <w:tab/>
    </w:r>
    <w:r w:rsidR="004D749A">
      <w:rPr>
        <w:noProof/>
      </w:rPr>
      <w:tab/>
    </w:r>
    <w:r w:rsidR="00B46B29" w:rsidRPr="005561B3">
      <w:rPr>
        <w:b/>
      </w:rPr>
      <w:t>DOCUMENT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1C122" w14:textId="77777777" w:rsidR="00EE4D71" w:rsidRDefault="00EE4D71" w:rsidP="001723F7">
      <w:pPr>
        <w:spacing w:before="0" w:after="0"/>
      </w:pPr>
      <w:r>
        <w:separator/>
      </w:r>
    </w:p>
  </w:footnote>
  <w:footnote w:type="continuationSeparator" w:id="0">
    <w:p w14:paraId="056A0ABE" w14:textId="77777777" w:rsidR="00EE4D71" w:rsidRDefault="00EE4D71">
      <w:pPr>
        <w:spacing w:before="0" w:after="0"/>
      </w:pPr>
      <w:r>
        <w:continuationSeparator/>
      </w:r>
    </w:p>
    <w:p w14:paraId="502ADEFC" w14:textId="77777777" w:rsidR="00EE4D71" w:rsidRDefault="00EE4D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09AF" w14:textId="5FCD792B" w:rsidR="00E61BB1" w:rsidRDefault="00B01A15">
    <w:pPr>
      <w:pStyle w:val="Header"/>
    </w:pPr>
    <w:r>
      <w:rPr>
        <w:noProof/>
      </w:rPr>
      <w:pict w14:anchorId="68AE4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3571788" o:spid="_x0000_s1025" type="#_x0000_t75" alt="" style="position:absolute;margin-left:0;margin-top:0;width:491.1pt;height:694.55pt;z-index:-251658240;mso-wrap-edited:f;mso-width-percent:0;mso-height-percent:0;mso-position-horizontal:center;mso-position-horizontal-relative:margin;mso-position-vertical:center;mso-position-vertical-relative:margin;mso-width-percent:0;mso-height-percent:0" o:allowincell="f">
          <v:imagedata r:id="rId1" o:title="ACT_Gov_Templates_Report_blu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6E9E"/>
    <w:multiLevelType w:val="multilevel"/>
    <w:tmpl w:val="402E7EF2"/>
    <w:numStyleLink w:val="AppendixNumbers"/>
  </w:abstractNum>
  <w:abstractNum w:abstractNumId="1" w15:restartNumberingAfterBreak="0">
    <w:nsid w:val="0F6C678D"/>
    <w:multiLevelType w:val="multilevel"/>
    <w:tmpl w:val="57D26A18"/>
    <w:styleLink w:val="KCBullets"/>
    <w:lvl w:ilvl="0">
      <w:start w:val="1"/>
      <w:numFmt w:val="lowerLetter"/>
      <w:pStyle w:val="Bullet1"/>
      <w:lvlText w:val="(%1)"/>
      <w:lvlJc w:val="left"/>
      <w:pPr>
        <w:ind w:left="284" w:hanging="284"/>
      </w:pPr>
      <w:rPr>
        <w:rFonts w:asciiTheme="minorHAnsi" w:eastAsiaTheme="minorHAnsi" w:hAnsiTheme="minorHAnsi" w:cstheme="minorBidi"/>
        <w:color w:val="auto"/>
      </w:rPr>
    </w:lvl>
    <w:lvl w:ilvl="1">
      <w:start w:val="1"/>
      <w:numFmt w:val="bullet"/>
      <w:pStyle w:val="Bullet2"/>
      <w:lvlText w:val="–"/>
      <w:lvlJc w:val="left"/>
      <w:pPr>
        <w:ind w:left="568" w:hanging="284"/>
      </w:pPr>
      <w:rPr>
        <w:rFonts w:ascii="Arial" w:hAnsi="Arial" w:hint="default"/>
        <w:color w:val="44546A" w:themeColor="text2"/>
      </w:rPr>
    </w:lvl>
    <w:lvl w:ilvl="2">
      <w:start w:val="1"/>
      <w:numFmt w:val="bullet"/>
      <w:pStyle w:val="Bullet3"/>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C415180"/>
    <w:multiLevelType w:val="hybridMultilevel"/>
    <w:tmpl w:val="4E8EEBCA"/>
    <w:lvl w:ilvl="0" w:tplc="390A8100">
      <w:start w:val="1"/>
      <w:numFmt w:val="lowerRoman"/>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7" w15:restartNumberingAfterBreak="0">
    <w:nsid w:val="465A212B"/>
    <w:multiLevelType w:val="hybridMultilevel"/>
    <w:tmpl w:val="D924B6FE"/>
    <w:lvl w:ilvl="0" w:tplc="CEAE7970">
      <w:numFmt w:val="bullet"/>
      <w:pStyle w:val="bullet30"/>
      <w:lvlText w:val="-"/>
      <w:lvlJc w:val="left"/>
      <w:pPr>
        <w:ind w:left="1077" w:hanging="360"/>
      </w:pPr>
      <w:rPr>
        <w:rFonts w:ascii="Calibri" w:eastAsiaTheme="minorHAnsi" w:hAnsi="Calibri" w:cstheme="minorBidi"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 w15:restartNumberingAfterBreak="0">
    <w:nsid w:val="4A2C4FC2"/>
    <w:multiLevelType w:val="hybridMultilevel"/>
    <w:tmpl w:val="F5AEA3CC"/>
    <w:lvl w:ilvl="0" w:tplc="44CE0BD4">
      <w:start w:val="1"/>
      <w:numFmt w:val="lowerLetter"/>
      <w:pStyle w:val="bulletalph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0517343"/>
    <w:multiLevelType w:val="multilevel"/>
    <w:tmpl w:val="131EEC6C"/>
    <w:numStyleLink w:val="TableNumbers"/>
  </w:abstractNum>
  <w:abstractNum w:abstractNumId="10" w15:restartNumberingAfterBreak="0">
    <w:nsid w:val="50E12008"/>
    <w:multiLevelType w:val="multilevel"/>
    <w:tmpl w:val="57D26A18"/>
    <w:numStyleLink w:val="KCBullets"/>
  </w:abstractNum>
  <w:abstractNum w:abstractNumId="11"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35249AF"/>
    <w:multiLevelType w:val="multilevel"/>
    <w:tmpl w:val="402E7EF2"/>
    <w:styleLink w:val="AppendixNumbers"/>
    <w:lvl w:ilvl="0">
      <w:start w:val="1"/>
      <w:numFmt w:val="upperLetter"/>
      <w:pStyle w:val="AppendixNumbered"/>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563048B"/>
    <w:multiLevelType w:val="multilevel"/>
    <w:tmpl w:val="C284D0B0"/>
    <w:numStyleLink w:val="FigureNumbers"/>
  </w:abstractNum>
  <w:abstractNum w:abstractNumId="14" w15:restartNumberingAfterBreak="0">
    <w:nsid w:val="56DB5F4C"/>
    <w:multiLevelType w:val="multilevel"/>
    <w:tmpl w:val="D7C2A87C"/>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993"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ED9574A"/>
    <w:multiLevelType w:val="hybridMultilevel"/>
    <w:tmpl w:val="FD60DC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6F607433"/>
    <w:multiLevelType w:val="hybridMultilevel"/>
    <w:tmpl w:val="DAEC419C"/>
    <w:lvl w:ilvl="0" w:tplc="4D784E72">
      <w:start w:val="1"/>
      <w:numFmt w:val="bullet"/>
      <w:pStyle w:val="bullet10"/>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D9C1199"/>
    <w:multiLevelType w:val="multilevel"/>
    <w:tmpl w:val="903E40C8"/>
    <w:lvl w:ilvl="0">
      <w:start w:val="1"/>
      <w:numFmt w:val="bullet"/>
      <w:pStyle w:val="bullet20"/>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num w:numId="1" w16cid:durableId="979111286">
    <w:abstractNumId w:val="4"/>
  </w:num>
  <w:num w:numId="2" w16cid:durableId="624122357">
    <w:abstractNumId w:val="7"/>
  </w:num>
  <w:num w:numId="3" w16cid:durableId="1158498186">
    <w:abstractNumId w:val="16"/>
  </w:num>
  <w:num w:numId="4" w16cid:durableId="1532960818">
    <w:abstractNumId w:val="17"/>
  </w:num>
  <w:num w:numId="5" w16cid:durableId="552470070">
    <w:abstractNumId w:val="1"/>
  </w:num>
  <w:num w:numId="6" w16cid:durableId="611396820">
    <w:abstractNumId w:val="10"/>
  </w:num>
  <w:num w:numId="7" w16cid:durableId="404570024">
    <w:abstractNumId w:val="8"/>
  </w:num>
  <w:num w:numId="8" w16cid:durableId="1146051722">
    <w:abstractNumId w:val="5"/>
  </w:num>
  <w:num w:numId="9" w16cid:durableId="1911385974">
    <w:abstractNumId w:val="6"/>
  </w:num>
  <w:num w:numId="10" w16cid:durableId="146287623">
    <w:abstractNumId w:val="2"/>
  </w:num>
  <w:num w:numId="11" w16cid:durableId="456097330">
    <w:abstractNumId w:val="13"/>
  </w:num>
  <w:num w:numId="12" w16cid:durableId="1135489105">
    <w:abstractNumId w:val="12"/>
  </w:num>
  <w:num w:numId="13" w16cid:durableId="557402120">
    <w:abstractNumId w:val="3"/>
  </w:num>
  <w:num w:numId="14" w16cid:durableId="2081054892">
    <w:abstractNumId w:val="9"/>
    <w:lvlOverride w:ilvl="0">
      <w:lvl w:ilvl="0">
        <w:start w:val="1"/>
        <w:numFmt w:val="decimal"/>
        <w:pStyle w:val="TableTitle"/>
        <w:lvlText w:val="Table %1."/>
        <w:lvlJc w:val="left"/>
        <w:pPr>
          <w:ind w:left="1134" w:hanging="1134"/>
        </w:pPr>
        <w:rPr>
          <w:rFonts w:hint="default"/>
          <w:b/>
          <w:i w:val="0"/>
          <w:caps w:val="0"/>
          <w:color w:val="5B9BD5" w:themeColor="accent1"/>
        </w:rPr>
      </w:lvl>
    </w:lvlOverride>
  </w:num>
  <w:num w:numId="15" w16cid:durableId="1793204199">
    <w:abstractNumId w:val="0"/>
  </w:num>
  <w:num w:numId="16" w16cid:durableId="647906734">
    <w:abstractNumId w:val="11"/>
  </w:num>
  <w:num w:numId="17" w16cid:durableId="1632899725">
    <w:abstractNumId w:val="14"/>
  </w:num>
  <w:num w:numId="18" w16cid:durableId="2016422029">
    <w:abstractNumId w:val="15"/>
  </w:num>
  <w:num w:numId="19" w16cid:durableId="124911685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94"/>
    <w:rsid w:val="00000B02"/>
    <w:rsid w:val="00002A83"/>
    <w:rsid w:val="00002AF7"/>
    <w:rsid w:val="00002E80"/>
    <w:rsid w:val="0001033F"/>
    <w:rsid w:val="00011180"/>
    <w:rsid w:val="000148A1"/>
    <w:rsid w:val="000166E2"/>
    <w:rsid w:val="00024DB8"/>
    <w:rsid w:val="00030F0F"/>
    <w:rsid w:val="00033095"/>
    <w:rsid w:val="00033B8B"/>
    <w:rsid w:val="00034451"/>
    <w:rsid w:val="00035289"/>
    <w:rsid w:val="00035A39"/>
    <w:rsid w:val="000409CC"/>
    <w:rsid w:val="00041229"/>
    <w:rsid w:val="00042315"/>
    <w:rsid w:val="000459F7"/>
    <w:rsid w:val="000468A5"/>
    <w:rsid w:val="00046C7E"/>
    <w:rsid w:val="00047A2F"/>
    <w:rsid w:val="0005202D"/>
    <w:rsid w:val="00052CE2"/>
    <w:rsid w:val="0005427C"/>
    <w:rsid w:val="00060883"/>
    <w:rsid w:val="00061209"/>
    <w:rsid w:val="00061CB7"/>
    <w:rsid w:val="00062FC3"/>
    <w:rsid w:val="00063F53"/>
    <w:rsid w:val="00067AB9"/>
    <w:rsid w:val="00067E3F"/>
    <w:rsid w:val="00067F06"/>
    <w:rsid w:val="00070C45"/>
    <w:rsid w:val="000772E8"/>
    <w:rsid w:val="00080696"/>
    <w:rsid w:val="00080A08"/>
    <w:rsid w:val="000815FE"/>
    <w:rsid w:val="00093948"/>
    <w:rsid w:val="000945FC"/>
    <w:rsid w:val="000977F2"/>
    <w:rsid w:val="000A1179"/>
    <w:rsid w:val="000A2753"/>
    <w:rsid w:val="000A31F3"/>
    <w:rsid w:val="000A5858"/>
    <w:rsid w:val="000A6F7E"/>
    <w:rsid w:val="000B192F"/>
    <w:rsid w:val="000B357A"/>
    <w:rsid w:val="000B416C"/>
    <w:rsid w:val="000B5A89"/>
    <w:rsid w:val="000C124F"/>
    <w:rsid w:val="000C55D7"/>
    <w:rsid w:val="000D3642"/>
    <w:rsid w:val="000D3DE7"/>
    <w:rsid w:val="000D473E"/>
    <w:rsid w:val="000D5635"/>
    <w:rsid w:val="000D64AA"/>
    <w:rsid w:val="000D7B2A"/>
    <w:rsid w:val="000E01B8"/>
    <w:rsid w:val="000E11E7"/>
    <w:rsid w:val="000E35A9"/>
    <w:rsid w:val="000F1369"/>
    <w:rsid w:val="000F489D"/>
    <w:rsid w:val="000F7076"/>
    <w:rsid w:val="00103C68"/>
    <w:rsid w:val="0010655A"/>
    <w:rsid w:val="0011082B"/>
    <w:rsid w:val="00113337"/>
    <w:rsid w:val="00116A4B"/>
    <w:rsid w:val="001202BC"/>
    <w:rsid w:val="00120DB6"/>
    <w:rsid w:val="00122B4D"/>
    <w:rsid w:val="00125E59"/>
    <w:rsid w:val="00126A84"/>
    <w:rsid w:val="001274ED"/>
    <w:rsid w:val="00137F41"/>
    <w:rsid w:val="00140E63"/>
    <w:rsid w:val="001411B2"/>
    <w:rsid w:val="001456B1"/>
    <w:rsid w:val="00146D8C"/>
    <w:rsid w:val="00147183"/>
    <w:rsid w:val="00147648"/>
    <w:rsid w:val="00147A4B"/>
    <w:rsid w:val="001509FD"/>
    <w:rsid w:val="001628EB"/>
    <w:rsid w:val="001659C3"/>
    <w:rsid w:val="00165D31"/>
    <w:rsid w:val="001723F7"/>
    <w:rsid w:val="00182264"/>
    <w:rsid w:val="00182F29"/>
    <w:rsid w:val="00183FC6"/>
    <w:rsid w:val="00185CCE"/>
    <w:rsid w:val="00186490"/>
    <w:rsid w:val="001868B5"/>
    <w:rsid w:val="001901D9"/>
    <w:rsid w:val="0019032A"/>
    <w:rsid w:val="00190528"/>
    <w:rsid w:val="001A6487"/>
    <w:rsid w:val="001A7172"/>
    <w:rsid w:val="001A7D21"/>
    <w:rsid w:val="001B5152"/>
    <w:rsid w:val="001B5B9D"/>
    <w:rsid w:val="001B6B20"/>
    <w:rsid w:val="001D0003"/>
    <w:rsid w:val="001D03E6"/>
    <w:rsid w:val="001D47FB"/>
    <w:rsid w:val="001E00FC"/>
    <w:rsid w:val="001E0980"/>
    <w:rsid w:val="001E0C4D"/>
    <w:rsid w:val="001E0F16"/>
    <w:rsid w:val="001E174B"/>
    <w:rsid w:val="001E2685"/>
    <w:rsid w:val="001E6D0F"/>
    <w:rsid w:val="001F14CD"/>
    <w:rsid w:val="001F5368"/>
    <w:rsid w:val="001F5A1E"/>
    <w:rsid w:val="00200493"/>
    <w:rsid w:val="00206AF0"/>
    <w:rsid w:val="00207295"/>
    <w:rsid w:val="00214621"/>
    <w:rsid w:val="002151D4"/>
    <w:rsid w:val="002220C0"/>
    <w:rsid w:val="00222C35"/>
    <w:rsid w:val="002246A4"/>
    <w:rsid w:val="00225168"/>
    <w:rsid w:val="00225D81"/>
    <w:rsid w:val="00226D92"/>
    <w:rsid w:val="00227DEA"/>
    <w:rsid w:val="00232D72"/>
    <w:rsid w:val="002456B4"/>
    <w:rsid w:val="002519BD"/>
    <w:rsid w:val="00254EE3"/>
    <w:rsid w:val="0025564E"/>
    <w:rsid w:val="00257E4B"/>
    <w:rsid w:val="00264497"/>
    <w:rsid w:val="00272E11"/>
    <w:rsid w:val="00273FD1"/>
    <w:rsid w:val="00277AF5"/>
    <w:rsid w:val="0028052C"/>
    <w:rsid w:val="00284B1E"/>
    <w:rsid w:val="0028772E"/>
    <w:rsid w:val="002901DC"/>
    <w:rsid w:val="002903A5"/>
    <w:rsid w:val="00290922"/>
    <w:rsid w:val="00291845"/>
    <w:rsid w:val="00292832"/>
    <w:rsid w:val="00295EC4"/>
    <w:rsid w:val="002A0931"/>
    <w:rsid w:val="002A3C2D"/>
    <w:rsid w:val="002A47C5"/>
    <w:rsid w:val="002A47F8"/>
    <w:rsid w:val="002B3A89"/>
    <w:rsid w:val="002B4201"/>
    <w:rsid w:val="002B6770"/>
    <w:rsid w:val="002C494E"/>
    <w:rsid w:val="002C4BD6"/>
    <w:rsid w:val="002D0C44"/>
    <w:rsid w:val="002D3D10"/>
    <w:rsid w:val="002D741F"/>
    <w:rsid w:val="002D7E91"/>
    <w:rsid w:val="002E15CE"/>
    <w:rsid w:val="002E54EC"/>
    <w:rsid w:val="002F14F6"/>
    <w:rsid w:val="002F4845"/>
    <w:rsid w:val="00300CCC"/>
    <w:rsid w:val="003035F1"/>
    <w:rsid w:val="0031221A"/>
    <w:rsid w:val="0031298B"/>
    <w:rsid w:val="003144A1"/>
    <w:rsid w:val="00325808"/>
    <w:rsid w:val="0032718E"/>
    <w:rsid w:val="00327C98"/>
    <w:rsid w:val="00334042"/>
    <w:rsid w:val="0033488F"/>
    <w:rsid w:val="003355AA"/>
    <w:rsid w:val="00340363"/>
    <w:rsid w:val="003418BE"/>
    <w:rsid w:val="003435A9"/>
    <w:rsid w:val="00350A19"/>
    <w:rsid w:val="00350BBA"/>
    <w:rsid w:val="003512DE"/>
    <w:rsid w:val="0035423B"/>
    <w:rsid w:val="00360481"/>
    <w:rsid w:val="003633D4"/>
    <w:rsid w:val="003677B1"/>
    <w:rsid w:val="00370197"/>
    <w:rsid w:val="00371114"/>
    <w:rsid w:val="00371DB7"/>
    <w:rsid w:val="00373693"/>
    <w:rsid w:val="00376982"/>
    <w:rsid w:val="00382CED"/>
    <w:rsid w:val="00386324"/>
    <w:rsid w:val="0039075C"/>
    <w:rsid w:val="003908E5"/>
    <w:rsid w:val="00391887"/>
    <w:rsid w:val="00396F98"/>
    <w:rsid w:val="003A12EE"/>
    <w:rsid w:val="003A148A"/>
    <w:rsid w:val="003A1497"/>
    <w:rsid w:val="003A2050"/>
    <w:rsid w:val="003A4765"/>
    <w:rsid w:val="003A5449"/>
    <w:rsid w:val="003A5E33"/>
    <w:rsid w:val="003A74DD"/>
    <w:rsid w:val="003B1A2C"/>
    <w:rsid w:val="003B4079"/>
    <w:rsid w:val="003B42E5"/>
    <w:rsid w:val="003B7CE2"/>
    <w:rsid w:val="003C0B38"/>
    <w:rsid w:val="003C2BC2"/>
    <w:rsid w:val="003C3BAF"/>
    <w:rsid w:val="003C3D01"/>
    <w:rsid w:val="003C4D86"/>
    <w:rsid w:val="003C5CA1"/>
    <w:rsid w:val="003D22DE"/>
    <w:rsid w:val="003D4137"/>
    <w:rsid w:val="003D6B00"/>
    <w:rsid w:val="003E232D"/>
    <w:rsid w:val="003E42E0"/>
    <w:rsid w:val="003E45FA"/>
    <w:rsid w:val="003E4738"/>
    <w:rsid w:val="003F440B"/>
    <w:rsid w:val="003F6C33"/>
    <w:rsid w:val="003F7835"/>
    <w:rsid w:val="00401DFD"/>
    <w:rsid w:val="004020B1"/>
    <w:rsid w:val="00402516"/>
    <w:rsid w:val="00402C25"/>
    <w:rsid w:val="00403623"/>
    <w:rsid w:val="00405778"/>
    <w:rsid w:val="0041086B"/>
    <w:rsid w:val="00410DB1"/>
    <w:rsid w:val="00416498"/>
    <w:rsid w:val="00417870"/>
    <w:rsid w:val="00420A2A"/>
    <w:rsid w:val="004212A4"/>
    <w:rsid w:val="00423CA3"/>
    <w:rsid w:val="00425FF0"/>
    <w:rsid w:val="00430784"/>
    <w:rsid w:val="00435884"/>
    <w:rsid w:val="00435E6A"/>
    <w:rsid w:val="00441160"/>
    <w:rsid w:val="00441D11"/>
    <w:rsid w:val="00442B9C"/>
    <w:rsid w:val="00443784"/>
    <w:rsid w:val="00444579"/>
    <w:rsid w:val="00453C62"/>
    <w:rsid w:val="00454420"/>
    <w:rsid w:val="00457A95"/>
    <w:rsid w:val="00460520"/>
    <w:rsid w:val="00462830"/>
    <w:rsid w:val="004670B2"/>
    <w:rsid w:val="0046797D"/>
    <w:rsid w:val="00470DB3"/>
    <w:rsid w:val="00473ED1"/>
    <w:rsid w:val="00475065"/>
    <w:rsid w:val="004779EA"/>
    <w:rsid w:val="00480801"/>
    <w:rsid w:val="00481CB2"/>
    <w:rsid w:val="0048305D"/>
    <w:rsid w:val="00483345"/>
    <w:rsid w:val="00483F8D"/>
    <w:rsid w:val="00493D80"/>
    <w:rsid w:val="00495309"/>
    <w:rsid w:val="00495C6A"/>
    <w:rsid w:val="004A003A"/>
    <w:rsid w:val="004A4DD8"/>
    <w:rsid w:val="004A5A93"/>
    <w:rsid w:val="004A6470"/>
    <w:rsid w:val="004B03AD"/>
    <w:rsid w:val="004B44FE"/>
    <w:rsid w:val="004B7F23"/>
    <w:rsid w:val="004C59F7"/>
    <w:rsid w:val="004D749A"/>
    <w:rsid w:val="004E0346"/>
    <w:rsid w:val="004E3BF4"/>
    <w:rsid w:val="004E4E46"/>
    <w:rsid w:val="004E501E"/>
    <w:rsid w:val="004E5B32"/>
    <w:rsid w:val="004F3F45"/>
    <w:rsid w:val="004F65EA"/>
    <w:rsid w:val="00510DEA"/>
    <w:rsid w:val="00511720"/>
    <w:rsid w:val="00513CD6"/>
    <w:rsid w:val="00514C3A"/>
    <w:rsid w:val="00515C14"/>
    <w:rsid w:val="00517864"/>
    <w:rsid w:val="00525465"/>
    <w:rsid w:val="005331E2"/>
    <w:rsid w:val="00534CCC"/>
    <w:rsid w:val="00536956"/>
    <w:rsid w:val="00541AB8"/>
    <w:rsid w:val="00544D0B"/>
    <w:rsid w:val="00550867"/>
    <w:rsid w:val="0055278D"/>
    <w:rsid w:val="00555ED7"/>
    <w:rsid w:val="005561B3"/>
    <w:rsid w:val="00557502"/>
    <w:rsid w:val="00561662"/>
    <w:rsid w:val="00564033"/>
    <w:rsid w:val="00564C40"/>
    <w:rsid w:val="00565FB4"/>
    <w:rsid w:val="00566404"/>
    <w:rsid w:val="00567695"/>
    <w:rsid w:val="00572530"/>
    <w:rsid w:val="00577972"/>
    <w:rsid w:val="0058437E"/>
    <w:rsid w:val="0058476B"/>
    <w:rsid w:val="00586F3A"/>
    <w:rsid w:val="00587343"/>
    <w:rsid w:val="00587E63"/>
    <w:rsid w:val="005908CE"/>
    <w:rsid w:val="00590F62"/>
    <w:rsid w:val="005929CA"/>
    <w:rsid w:val="00593F35"/>
    <w:rsid w:val="005951BD"/>
    <w:rsid w:val="005970FF"/>
    <w:rsid w:val="005A4883"/>
    <w:rsid w:val="005A4F2B"/>
    <w:rsid w:val="005B1F3C"/>
    <w:rsid w:val="005B6770"/>
    <w:rsid w:val="005B6FCE"/>
    <w:rsid w:val="005D23F2"/>
    <w:rsid w:val="005D314B"/>
    <w:rsid w:val="005D37BD"/>
    <w:rsid w:val="005D3F6F"/>
    <w:rsid w:val="005D5A3F"/>
    <w:rsid w:val="005D5ABB"/>
    <w:rsid w:val="005E1406"/>
    <w:rsid w:val="005E238A"/>
    <w:rsid w:val="005E35C3"/>
    <w:rsid w:val="005E69BD"/>
    <w:rsid w:val="005F0068"/>
    <w:rsid w:val="005F1EC8"/>
    <w:rsid w:val="005F70C4"/>
    <w:rsid w:val="0060051C"/>
    <w:rsid w:val="006017C1"/>
    <w:rsid w:val="00602987"/>
    <w:rsid w:val="00606296"/>
    <w:rsid w:val="0060730C"/>
    <w:rsid w:val="006073A7"/>
    <w:rsid w:val="00613213"/>
    <w:rsid w:val="00613831"/>
    <w:rsid w:val="0061416F"/>
    <w:rsid w:val="0061514F"/>
    <w:rsid w:val="00615621"/>
    <w:rsid w:val="0062146F"/>
    <w:rsid w:val="0062148A"/>
    <w:rsid w:val="0062157D"/>
    <w:rsid w:val="0062637E"/>
    <w:rsid w:val="006325DA"/>
    <w:rsid w:val="006358B9"/>
    <w:rsid w:val="006361AE"/>
    <w:rsid w:val="00636612"/>
    <w:rsid w:val="00642335"/>
    <w:rsid w:val="006438A7"/>
    <w:rsid w:val="00650E29"/>
    <w:rsid w:val="0065359F"/>
    <w:rsid w:val="00654372"/>
    <w:rsid w:val="00654D09"/>
    <w:rsid w:val="00657B12"/>
    <w:rsid w:val="00667B0C"/>
    <w:rsid w:val="0067060B"/>
    <w:rsid w:val="00670AB7"/>
    <w:rsid w:val="006744F8"/>
    <w:rsid w:val="00675B96"/>
    <w:rsid w:val="00691BCF"/>
    <w:rsid w:val="0069252D"/>
    <w:rsid w:val="00695160"/>
    <w:rsid w:val="00697374"/>
    <w:rsid w:val="006A00BD"/>
    <w:rsid w:val="006A0434"/>
    <w:rsid w:val="006A1CA9"/>
    <w:rsid w:val="006A47B0"/>
    <w:rsid w:val="006A6532"/>
    <w:rsid w:val="006A686B"/>
    <w:rsid w:val="006B0E38"/>
    <w:rsid w:val="006B4600"/>
    <w:rsid w:val="006B4D3E"/>
    <w:rsid w:val="006B56AA"/>
    <w:rsid w:val="006C3AC5"/>
    <w:rsid w:val="006C6D9F"/>
    <w:rsid w:val="006D2061"/>
    <w:rsid w:val="006E167F"/>
    <w:rsid w:val="006E2503"/>
    <w:rsid w:val="006F5BF2"/>
    <w:rsid w:val="006F7B65"/>
    <w:rsid w:val="006F7F07"/>
    <w:rsid w:val="00700913"/>
    <w:rsid w:val="00705236"/>
    <w:rsid w:val="007127C2"/>
    <w:rsid w:val="007136CE"/>
    <w:rsid w:val="007145ED"/>
    <w:rsid w:val="00716175"/>
    <w:rsid w:val="00716CFA"/>
    <w:rsid w:val="007227F0"/>
    <w:rsid w:val="00723F5C"/>
    <w:rsid w:val="007245BD"/>
    <w:rsid w:val="00726A29"/>
    <w:rsid w:val="00727119"/>
    <w:rsid w:val="00730294"/>
    <w:rsid w:val="00731BA1"/>
    <w:rsid w:val="00733974"/>
    <w:rsid w:val="00736191"/>
    <w:rsid w:val="007413E4"/>
    <w:rsid w:val="007428F1"/>
    <w:rsid w:val="00744D15"/>
    <w:rsid w:val="00751C91"/>
    <w:rsid w:val="0075320F"/>
    <w:rsid w:val="00756957"/>
    <w:rsid w:val="00757931"/>
    <w:rsid w:val="00760F11"/>
    <w:rsid w:val="0076133C"/>
    <w:rsid w:val="007621B2"/>
    <w:rsid w:val="00765E05"/>
    <w:rsid w:val="007668A8"/>
    <w:rsid w:val="00770344"/>
    <w:rsid w:val="007723F5"/>
    <w:rsid w:val="007728C4"/>
    <w:rsid w:val="00774390"/>
    <w:rsid w:val="00774460"/>
    <w:rsid w:val="007763D8"/>
    <w:rsid w:val="007770D2"/>
    <w:rsid w:val="007805E2"/>
    <w:rsid w:val="007811EC"/>
    <w:rsid w:val="00781C6C"/>
    <w:rsid w:val="00783E48"/>
    <w:rsid w:val="00785D24"/>
    <w:rsid w:val="0079173B"/>
    <w:rsid w:val="00792C68"/>
    <w:rsid w:val="00793117"/>
    <w:rsid w:val="007931DD"/>
    <w:rsid w:val="00796814"/>
    <w:rsid w:val="0079704B"/>
    <w:rsid w:val="007974D0"/>
    <w:rsid w:val="007A1203"/>
    <w:rsid w:val="007A2F11"/>
    <w:rsid w:val="007A346C"/>
    <w:rsid w:val="007A6EC4"/>
    <w:rsid w:val="007B0885"/>
    <w:rsid w:val="007B7F17"/>
    <w:rsid w:val="007C31FD"/>
    <w:rsid w:val="007C3FE1"/>
    <w:rsid w:val="007C65A3"/>
    <w:rsid w:val="007C762F"/>
    <w:rsid w:val="007D1067"/>
    <w:rsid w:val="007D1854"/>
    <w:rsid w:val="007D31D0"/>
    <w:rsid w:val="007D37ED"/>
    <w:rsid w:val="007D412F"/>
    <w:rsid w:val="007D6B26"/>
    <w:rsid w:val="007D7624"/>
    <w:rsid w:val="007E09A7"/>
    <w:rsid w:val="007E0C22"/>
    <w:rsid w:val="007E150A"/>
    <w:rsid w:val="007E1ADF"/>
    <w:rsid w:val="007E5050"/>
    <w:rsid w:val="00804089"/>
    <w:rsid w:val="00805FD8"/>
    <w:rsid w:val="008069F5"/>
    <w:rsid w:val="00807B4A"/>
    <w:rsid w:val="00810AF1"/>
    <w:rsid w:val="00813D10"/>
    <w:rsid w:val="00814AEE"/>
    <w:rsid w:val="00814D89"/>
    <w:rsid w:val="008150D6"/>
    <w:rsid w:val="00823A16"/>
    <w:rsid w:val="00824F4C"/>
    <w:rsid w:val="00825C83"/>
    <w:rsid w:val="0083203F"/>
    <w:rsid w:val="00832706"/>
    <w:rsid w:val="00832E86"/>
    <w:rsid w:val="00842844"/>
    <w:rsid w:val="00844A05"/>
    <w:rsid w:val="00846EFE"/>
    <w:rsid w:val="00850058"/>
    <w:rsid w:val="00850953"/>
    <w:rsid w:val="00851091"/>
    <w:rsid w:val="00852E60"/>
    <w:rsid w:val="00853876"/>
    <w:rsid w:val="00854DDA"/>
    <w:rsid w:val="00855415"/>
    <w:rsid w:val="008618D2"/>
    <w:rsid w:val="00861E0D"/>
    <w:rsid w:val="00864104"/>
    <w:rsid w:val="00864883"/>
    <w:rsid w:val="00870043"/>
    <w:rsid w:val="0087638C"/>
    <w:rsid w:val="0088195F"/>
    <w:rsid w:val="00887730"/>
    <w:rsid w:val="008878D6"/>
    <w:rsid w:val="008958D2"/>
    <w:rsid w:val="00896247"/>
    <w:rsid w:val="008A0404"/>
    <w:rsid w:val="008A251E"/>
    <w:rsid w:val="008A46A8"/>
    <w:rsid w:val="008A555D"/>
    <w:rsid w:val="008C081A"/>
    <w:rsid w:val="008C1A20"/>
    <w:rsid w:val="008C3BB7"/>
    <w:rsid w:val="008C5418"/>
    <w:rsid w:val="008C7FD2"/>
    <w:rsid w:val="008D0602"/>
    <w:rsid w:val="008D5EAC"/>
    <w:rsid w:val="008D6BB7"/>
    <w:rsid w:val="008E07C5"/>
    <w:rsid w:val="008E13EE"/>
    <w:rsid w:val="008E3B95"/>
    <w:rsid w:val="008E62A6"/>
    <w:rsid w:val="008F068E"/>
    <w:rsid w:val="008F4C1C"/>
    <w:rsid w:val="008F70AD"/>
    <w:rsid w:val="009051C5"/>
    <w:rsid w:val="00905992"/>
    <w:rsid w:val="00911A17"/>
    <w:rsid w:val="009169D8"/>
    <w:rsid w:val="009171D8"/>
    <w:rsid w:val="00917D52"/>
    <w:rsid w:val="009266DD"/>
    <w:rsid w:val="009273A3"/>
    <w:rsid w:val="0093265F"/>
    <w:rsid w:val="00934578"/>
    <w:rsid w:val="00936B0E"/>
    <w:rsid w:val="00940E2C"/>
    <w:rsid w:val="00944865"/>
    <w:rsid w:val="0094593A"/>
    <w:rsid w:val="00945946"/>
    <w:rsid w:val="00945A13"/>
    <w:rsid w:val="00945B17"/>
    <w:rsid w:val="00951E03"/>
    <w:rsid w:val="00953B18"/>
    <w:rsid w:val="00961E86"/>
    <w:rsid w:val="00962518"/>
    <w:rsid w:val="00962CDD"/>
    <w:rsid w:val="00964BB7"/>
    <w:rsid w:val="0096521B"/>
    <w:rsid w:val="009712C4"/>
    <w:rsid w:val="00975187"/>
    <w:rsid w:val="00975E18"/>
    <w:rsid w:val="00975EA9"/>
    <w:rsid w:val="00981E36"/>
    <w:rsid w:val="00982D0B"/>
    <w:rsid w:val="0098420B"/>
    <w:rsid w:val="009876C6"/>
    <w:rsid w:val="0099597A"/>
    <w:rsid w:val="00996406"/>
    <w:rsid w:val="009A2F21"/>
    <w:rsid w:val="009A5B2A"/>
    <w:rsid w:val="009A6182"/>
    <w:rsid w:val="009A7D27"/>
    <w:rsid w:val="009C6EF0"/>
    <w:rsid w:val="009D1D56"/>
    <w:rsid w:val="009D2444"/>
    <w:rsid w:val="009D24F4"/>
    <w:rsid w:val="009D3931"/>
    <w:rsid w:val="009D3D0A"/>
    <w:rsid w:val="009D5769"/>
    <w:rsid w:val="009E0A13"/>
    <w:rsid w:val="009E6741"/>
    <w:rsid w:val="009E7231"/>
    <w:rsid w:val="009F1345"/>
    <w:rsid w:val="009F1A2F"/>
    <w:rsid w:val="009F4D46"/>
    <w:rsid w:val="00A0120A"/>
    <w:rsid w:val="00A0335D"/>
    <w:rsid w:val="00A06137"/>
    <w:rsid w:val="00A061B8"/>
    <w:rsid w:val="00A070FE"/>
    <w:rsid w:val="00A07E1A"/>
    <w:rsid w:val="00A10BAB"/>
    <w:rsid w:val="00A1203B"/>
    <w:rsid w:val="00A1237C"/>
    <w:rsid w:val="00A14766"/>
    <w:rsid w:val="00A225E8"/>
    <w:rsid w:val="00A23149"/>
    <w:rsid w:val="00A2632E"/>
    <w:rsid w:val="00A31721"/>
    <w:rsid w:val="00A31BA5"/>
    <w:rsid w:val="00A42E9A"/>
    <w:rsid w:val="00A47788"/>
    <w:rsid w:val="00A47E3D"/>
    <w:rsid w:val="00A50ACF"/>
    <w:rsid w:val="00A51A6D"/>
    <w:rsid w:val="00A52C0F"/>
    <w:rsid w:val="00A53C78"/>
    <w:rsid w:val="00A53D59"/>
    <w:rsid w:val="00A5763E"/>
    <w:rsid w:val="00A614ED"/>
    <w:rsid w:val="00A64EF8"/>
    <w:rsid w:val="00A663F3"/>
    <w:rsid w:val="00A66AC5"/>
    <w:rsid w:val="00A6761B"/>
    <w:rsid w:val="00A72F08"/>
    <w:rsid w:val="00A74F68"/>
    <w:rsid w:val="00A754BB"/>
    <w:rsid w:val="00A75733"/>
    <w:rsid w:val="00A75F42"/>
    <w:rsid w:val="00A767D7"/>
    <w:rsid w:val="00A77EA4"/>
    <w:rsid w:val="00A8523A"/>
    <w:rsid w:val="00A92730"/>
    <w:rsid w:val="00AA51A2"/>
    <w:rsid w:val="00AA658C"/>
    <w:rsid w:val="00AA7C1A"/>
    <w:rsid w:val="00AB4664"/>
    <w:rsid w:val="00AB55B3"/>
    <w:rsid w:val="00AB6329"/>
    <w:rsid w:val="00AB661A"/>
    <w:rsid w:val="00AC12C3"/>
    <w:rsid w:val="00AC267D"/>
    <w:rsid w:val="00AC4601"/>
    <w:rsid w:val="00AC5AF0"/>
    <w:rsid w:val="00AC64F8"/>
    <w:rsid w:val="00AE52FA"/>
    <w:rsid w:val="00AE7D36"/>
    <w:rsid w:val="00B003A4"/>
    <w:rsid w:val="00B00C37"/>
    <w:rsid w:val="00B01A15"/>
    <w:rsid w:val="00B02572"/>
    <w:rsid w:val="00B028FA"/>
    <w:rsid w:val="00B02B1E"/>
    <w:rsid w:val="00B1096B"/>
    <w:rsid w:val="00B12782"/>
    <w:rsid w:val="00B12EB8"/>
    <w:rsid w:val="00B1430D"/>
    <w:rsid w:val="00B16CCF"/>
    <w:rsid w:val="00B178AD"/>
    <w:rsid w:val="00B248D7"/>
    <w:rsid w:val="00B257F4"/>
    <w:rsid w:val="00B2580E"/>
    <w:rsid w:val="00B303AF"/>
    <w:rsid w:val="00B358EC"/>
    <w:rsid w:val="00B40632"/>
    <w:rsid w:val="00B40ECE"/>
    <w:rsid w:val="00B4239B"/>
    <w:rsid w:val="00B42B61"/>
    <w:rsid w:val="00B4507C"/>
    <w:rsid w:val="00B46596"/>
    <w:rsid w:val="00B46B29"/>
    <w:rsid w:val="00B514E3"/>
    <w:rsid w:val="00B5293F"/>
    <w:rsid w:val="00B54D08"/>
    <w:rsid w:val="00B5537D"/>
    <w:rsid w:val="00B621B9"/>
    <w:rsid w:val="00B62D1F"/>
    <w:rsid w:val="00B6389F"/>
    <w:rsid w:val="00B6647F"/>
    <w:rsid w:val="00B76680"/>
    <w:rsid w:val="00B77263"/>
    <w:rsid w:val="00B83969"/>
    <w:rsid w:val="00B83F53"/>
    <w:rsid w:val="00B84CC3"/>
    <w:rsid w:val="00B85096"/>
    <w:rsid w:val="00B95D27"/>
    <w:rsid w:val="00BA7CDA"/>
    <w:rsid w:val="00BB2F88"/>
    <w:rsid w:val="00BC0D5F"/>
    <w:rsid w:val="00BC4261"/>
    <w:rsid w:val="00BC531E"/>
    <w:rsid w:val="00BC673B"/>
    <w:rsid w:val="00BC712F"/>
    <w:rsid w:val="00BD6431"/>
    <w:rsid w:val="00BD7ADC"/>
    <w:rsid w:val="00BE310F"/>
    <w:rsid w:val="00BE3CFD"/>
    <w:rsid w:val="00BF5B50"/>
    <w:rsid w:val="00BF6B28"/>
    <w:rsid w:val="00BF7E02"/>
    <w:rsid w:val="00C00757"/>
    <w:rsid w:val="00C02A27"/>
    <w:rsid w:val="00C068D6"/>
    <w:rsid w:val="00C06FD9"/>
    <w:rsid w:val="00C10B18"/>
    <w:rsid w:val="00C1197A"/>
    <w:rsid w:val="00C12B90"/>
    <w:rsid w:val="00C23AE3"/>
    <w:rsid w:val="00C32A8C"/>
    <w:rsid w:val="00C33B04"/>
    <w:rsid w:val="00C34C1C"/>
    <w:rsid w:val="00C36102"/>
    <w:rsid w:val="00C3795E"/>
    <w:rsid w:val="00C45989"/>
    <w:rsid w:val="00C47C73"/>
    <w:rsid w:val="00C50044"/>
    <w:rsid w:val="00C51819"/>
    <w:rsid w:val="00C537D5"/>
    <w:rsid w:val="00C54568"/>
    <w:rsid w:val="00C55542"/>
    <w:rsid w:val="00C5559F"/>
    <w:rsid w:val="00C56123"/>
    <w:rsid w:val="00C57BB2"/>
    <w:rsid w:val="00C62187"/>
    <w:rsid w:val="00C62D1C"/>
    <w:rsid w:val="00C73E0D"/>
    <w:rsid w:val="00C80B9D"/>
    <w:rsid w:val="00C833B5"/>
    <w:rsid w:val="00C837A4"/>
    <w:rsid w:val="00C91661"/>
    <w:rsid w:val="00C92867"/>
    <w:rsid w:val="00CA31DD"/>
    <w:rsid w:val="00CA512E"/>
    <w:rsid w:val="00CB3342"/>
    <w:rsid w:val="00CC0126"/>
    <w:rsid w:val="00CC2B24"/>
    <w:rsid w:val="00CC412C"/>
    <w:rsid w:val="00CC6ABC"/>
    <w:rsid w:val="00CC730C"/>
    <w:rsid w:val="00CE176F"/>
    <w:rsid w:val="00CE416B"/>
    <w:rsid w:val="00CE5718"/>
    <w:rsid w:val="00CF24C8"/>
    <w:rsid w:val="00D024CA"/>
    <w:rsid w:val="00D03790"/>
    <w:rsid w:val="00D05766"/>
    <w:rsid w:val="00D059FB"/>
    <w:rsid w:val="00D060B7"/>
    <w:rsid w:val="00D06645"/>
    <w:rsid w:val="00D06CF5"/>
    <w:rsid w:val="00D147F8"/>
    <w:rsid w:val="00D173A4"/>
    <w:rsid w:val="00D17F50"/>
    <w:rsid w:val="00D20335"/>
    <w:rsid w:val="00D27A0B"/>
    <w:rsid w:val="00D27F93"/>
    <w:rsid w:val="00D32D2A"/>
    <w:rsid w:val="00D33CD9"/>
    <w:rsid w:val="00D35AF4"/>
    <w:rsid w:val="00D3648B"/>
    <w:rsid w:val="00D37A81"/>
    <w:rsid w:val="00D40B93"/>
    <w:rsid w:val="00D42111"/>
    <w:rsid w:val="00D440B0"/>
    <w:rsid w:val="00D4564A"/>
    <w:rsid w:val="00D47905"/>
    <w:rsid w:val="00D50DE9"/>
    <w:rsid w:val="00D52252"/>
    <w:rsid w:val="00D5231F"/>
    <w:rsid w:val="00D5237E"/>
    <w:rsid w:val="00D53344"/>
    <w:rsid w:val="00D55EB0"/>
    <w:rsid w:val="00D565AB"/>
    <w:rsid w:val="00D56624"/>
    <w:rsid w:val="00D572A8"/>
    <w:rsid w:val="00D6240D"/>
    <w:rsid w:val="00D6784A"/>
    <w:rsid w:val="00D720FE"/>
    <w:rsid w:val="00D722A0"/>
    <w:rsid w:val="00D73FC9"/>
    <w:rsid w:val="00D76208"/>
    <w:rsid w:val="00D80869"/>
    <w:rsid w:val="00D81AA3"/>
    <w:rsid w:val="00D83139"/>
    <w:rsid w:val="00D843E0"/>
    <w:rsid w:val="00D905AF"/>
    <w:rsid w:val="00DA0027"/>
    <w:rsid w:val="00DA0CFC"/>
    <w:rsid w:val="00DA302E"/>
    <w:rsid w:val="00DA320A"/>
    <w:rsid w:val="00DA420D"/>
    <w:rsid w:val="00DA5C67"/>
    <w:rsid w:val="00DB1A2C"/>
    <w:rsid w:val="00DB1BE6"/>
    <w:rsid w:val="00DB7FC3"/>
    <w:rsid w:val="00DC4F38"/>
    <w:rsid w:val="00DC7EA0"/>
    <w:rsid w:val="00DD6070"/>
    <w:rsid w:val="00DD71A1"/>
    <w:rsid w:val="00DE1C3E"/>
    <w:rsid w:val="00DE3318"/>
    <w:rsid w:val="00DE4B31"/>
    <w:rsid w:val="00DE63CA"/>
    <w:rsid w:val="00DF21AB"/>
    <w:rsid w:val="00DF5208"/>
    <w:rsid w:val="00E071F5"/>
    <w:rsid w:val="00E10878"/>
    <w:rsid w:val="00E10C37"/>
    <w:rsid w:val="00E12C79"/>
    <w:rsid w:val="00E155D9"/>
    <w:rsid w:val="00E35D14"/>
    <w:rsid w:val="00E3756B"/>
    <w:rsid w:val="00E40127"/>
    <w:rsid w:val="00E513D9"/>
    <w:rsid w:val="00E53156"/>
    <w:rsid w:val="00E544A0"/>
    <w:rsid w:val="00E61BB1"/>
    <w:rsid w:val="00E63215"/>
    <w:rsid w:val="00E65238"/>
    <w:rsid w:val="00E67C9A"/>
    <w:rsid w:val="00E733FE"/>
    <w:rsid w:val="00E80388"/>
    <w:rsid w:val="00E80F78"/>
    <w:rsid w:val="00E81555"/>
    <w:rsid w:val="00E83AA0"/>
    <w:rsid w:val="00E83D6F"/>
    <w:rsid w:val="00E8455D"/>
    <w:rsid w:val="00E90D49"/>
    <w:rsid w:val="00E92BF8"/>
    <w:rsid w:val="00EA6023"/>
    <w:rsid w:val="00EB4651"/>
    <w:rsid w:val="00EB55F8"/>
    <w:rsid w:val="00EC09ED"/>
    <w:rsid w:val="00EC28F6"/>
    <w:rsid w:val="00EC5326"/>
    <w:rsid w:val="00EC5694"/>
    <w:rsid w:val="00EC6674"/>
    <w:rsid w:val="00ED1301"/>
    <w:rsid w:val="00ED1700"/>
    <w:rsid w:val="00ED72CA"/>
    <w:rsid w:val="00ED7A5E"/>
    <w:rsid w:val="00EE4D71"/>
    <w:rsid w:val="00EE67FE"/>
    <w:rsid w:val="00EF6F02"/>
    <w:rsid w:val="00F01833"/>
    <w:rsid w:val="00F049EF"/>
    <w:rsid w:val="00F04ACA"/>
    <w:rsid w:val="00F1233C"/>
    <w:rsid w:val="00F2286D"/>
    <w:rsid w:val="00F235B9"/>
    <w:rsid w:val="00F2424C"/>
    <w:rsid w:val="00F24DFF"/>
    <w:rsid w:val="00F26F26"/>
    <w:rsid w:val="00F271F9"/>
    <w:rsid w:val="00F33EBD"/>
    <w:rsid w:val="00F354C8"/>
    <w:rsid w:val="00F379D4"/>
    <w:rsid w:val="00F46791"/>
    <w:rsid w:val="00F508F4"/>
    <w:rsid w:val="00F50F96"/>
    <w:rsid w:val="00F51125"/>
    <w:rsid w:val="00F52258"/>
    <w:rsid w:val="00F52F3B"/>
    <w:rsid w:val="00F66D3F"/>
    <w:rsid w:val="00F74592"/>
    <w:rsid w:val="00F76AAC"/>
    <w:rsid w:val="00F76D7B"/>
    <w:rsid w:val="00F80284"/>
    <w:rsid w:val="00F83811"/>
    <w:rsid w:val="00F939BC"/>
    <w:rsid w:val="00F957C1"/>
    <w:rsid w:val="00F95BCA"/>
    <w:rsid w:val="00F97959"/>
    <w:rsid w:val="00FA0C41"/>
    <w:rsid w:val="00FA6FCF"/>
    <w:rsid w:val="00FB1A89"/>
    <w:rsid w:val="00FB23DB"/>
    <w:rsid w:val="00FB3D0B"/>
    <w:rsid w:val="00FB592F"/>
    <w:rsid w:val="00FB6B08"/>
    <w:rsid w:val="00FC25F6"/>
    <w:rsid w:val="00FC62A5"/>
    <w:rsid w:val="00FD0DA5"/>
    <w:rsid w:val="00FD231A"/>
    <w:rsid w:val="00FE1572"/>
    <w:rsid w:val="00FE2259"/>
    <w:rsid w:val="00FE374B"/>
    <w:rsid w:val="00FE4197"/>
    <w:rsid w:val="00FE47DA"/>
    <w:rsid w:val="00FE4EF8"/>
    <w:rsid w:val="00FE4F77"/>
    <w:rsid w:val="00FE53D4"/>
    <w:rsid w:val="00FF2AB3"/>
    <w:rsid w:val="00FF3D10"/>
    <w:rsid w:val="00FF3FF3"/>
    <w:rsid w:val="00FF4175"/>
    <w:rsid w:val="00FF7C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BAE21"/>
  <w15:docId w15:val="{1BBA45B0-6C9B-844A-8315-CE663E28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F1"/>
    <w:pPr>
      <w:spacing w:before="200" w:after="200" w:line="276" w:lineRule="auto"/>
    </w:pPr>
    <w:rPr>
      <w:rFonts w:ascii="Calibri" w:eastAsia="Times New Roman" w:hAnsi="Calibri" w:cs="Times New Roman"/>
      <w:szCs w:val="20"/>
    </w:rPr>
  </w:style>
  <w:style w:type="paragraph" w:styleId="Heading1">
    <w:name w:val="heading 1"/>
    <w:basedOn w:val="Normal"/>
    <w:next w:val="Normal"/>
    <w:link w:val="Heading1Char"/>
    <w:autoRedefine/>
    <w:qFormat/>
    <w:rsid w:val="00825C83"/>
    <w:pPr>
      <w:keepNext/>
      <w:spacing w:after="480"/>
      <w:outlineLvl w:val="0"/>
    </w:pPr>
    <w:rPr>
      <w:rFonts w:ascii="Arial" w:hAnsi="Arial"/>
      <w:b/>
      <w:color w:val="7030A0"/>
      <w:kern w:val="28"/>
      <w:sz w:val="44"/>
    </w:rPr>
  </w:style>
  <w:style w:type="paragraph" w:styleId="Heading2">
    <w:name w:val="heading 2"/>
    <w:basedOn w:val="Normal"/>
    <w:next w:val="Normal"/>
    <w:link w:val="Heading2Char"/>
    <w:qFormat/>
    <w:rsid w:val="005F70C4"/>
    <w:pPr>
      <w:keepNext/>
      <w:spacing w:before="240" w:after="60"/>
      <w:outlineLvl w:val="1"/>
    </w:pPr>
    <w:rPr>
      <w:rFonts w:ascii="Arial" w:hAnsi="Arial"/>
      <w:b/>
      <w:snapToGrid w:val="0"/>
      <w:color w:val="7030A0"/>
      <w:sz w:val="30"/>
    </w:rPr>
  </w:style>
  <w:style w:type="paragraph" w:styleId="Heading3">
    <w:name w:val="heading 3"/>
    <w:basedOn w:val="Normal"/>
    <w:next w:val="Normal"/>
    <w:link w:val="Heading3Char"/>
    <w:autoRedefine/>
    <w:qFormat/>
    <w:rsid w:val="00295EC4"/>
    <w:pPr>
      <w:keepNext/>
      <w:keepLines/>
      <w:spacing w:before="144" w:after="144"/>
      <w:outlineLvl w:val="2"/>
    </w:pPr>
    <w:rPr>
      <w:rFonts w:ascii="Arial Bold" w:hAnsi="Arial Bold"/>
      <w:bCs/>
      <w:sz w:val="24"/>
      <w:szCs w:val="26"/>
    </w:rPr>
  </w:style>
  <w:style w:type="paragraph" w:styleId="Heading4">
    <w:name w:val="heading 4"/>
    <w:basedOn w:val="Normal"/>
    <w:next w:val="Normal"/>
    <w:link w:val="Heading4Char"/>
    <w:autoRedefine/>
    <w:qFormat/>
    <w:rsid w:val="00A31BA5"/>
    <w:pPr>
      <w:keepNext/>
      <w:keepLines/>
      <w:spacing w:before="240" w:after="60"/>
      <w:outlineLvl w:val="3"/>
    </w:pPr>
    <w:rPr>
      <w:rFonts w:asciiTheme="minorHAnsi" w:hAnsiTheme="minorHAnsi" w:cstheme="majorBidi"/>
      <w:b/>
      <w:color w:val="000000" w:themeColor="text1"/>
      <w:sz w:val="24"/>
    </w:rPr>
  </w:style>
  <w:style w:type="paragraph" w:styleId="Heading5">
    <w:name w:val="heading 5"/>
    <w:basedOn w:val="Normal"/>
    <w:next w:val="Normal"/>
    <w:link w:val="Heading5Char"/>
    <w:autoRedefine/>
    <w:qFormat/>
    <w:rsid w:val="000459F7"/>
    <w:pPr>
      <w:keepNext/>
      <w:spacing w:before="240" w:after="60"/>
      <w:outlineLvl w:val="4"/>
    </w:pPr>
    <w:rPr>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C83"/>
    <w:rPr>
      <w:rFonts w:ascii="Arial" w:eastAsia="Times New Roman" w:hAnsi="Arial" w:cs="Times New Roman"/>
      <w:b/>
      <w:color w:val="7030A0"/>
      <w:kern w:val="28"/>
      <w:sz w:val="44"/>
      <w:szCs w:val="20"/>
    </w:rPr>
  </w:style>
  <w:style w:type="character" w:customStyle="1" w:styleId="Heading2Char">
    <w:name w:val="Heading 2 Char"/>
    <w:basedOn w:val="DefaultParagraphFont"/>
    <w:link w:val="Heading2"/>
    <w:rsid w:val="005F70C4"/>
    <w:rPr>
      <w:rFonts w:ascii="Arial" w:eastAsia="Times New Roman" w:hAnsi="Arial" w:cs="Times New Roman"/>
      <w:b/>
      <w:snapToGrid w:val="0"/>
      <w:color w:val="7030A0"/>
      <w:sz w:val="30"/>
      <w:szCs w:val="20"/>
    </w:rPr>
  </w:style>
  <w:style w:type="character" w:customStyle="1" w:styleId="Heading3Char">
    <w:name w:val="Heading 3 Char"/>
    <w:basedOn w:val="DefaultParagraphFont"/>
    <w:link w:val="Heading3"/>
    <w:rsid w:val="00295EC4"/>
    <w:rPr>
      <w:rFonts w:ascii="Arial Bold" w:eastAsia="Times New Roman" w:hAnsi="Arial Bold" w:cs="Times New Roman"/>
      <w:bCs/>
      <w:sz w:val="24"/>
      <w:szCs w:val="26"/>
    </w:rPr>
  </w:style>
  <w:style w:type="character" w:customStyle="1" w:styleId="Heading4Char">
    <w:name w:val="Heading 4 Char"/>
    <w:basedOn w:val="DefaultParagraphFont"/>
    <w:link w:val="Heading4"/>
    <w:rsid w:val="00A31BA5"/>
    <w:rPr>
      <w:rFonts w:eastAsia="Times New Roman" w:cstheme="majorBidi"/>
      <w:b/>
      <w:color w:val="000000" w:themeColor="text1"/>
      <w:sz w:val="24"/>
      <w:szCs w:val="20"/>
    </w:rPr>
  </w:style>
  <w:style w:type="character" w:customStyle="1" w:styleId="Heading5Char">
    <w:name w:val="Heading 5 Char"/>
    <w:basedOn w:val="DefaultParagraphFont"/>
    <w:link w:val="Heading5"/>
    <w:rsid w:val="000459F7"/>
    <w:rPr>
      <w:rFonts w:ascii="Calibri" w:eastAsia="Times New Roman" w:hAnsi="Calibri" w:cs="Times New Roman"/>
      <w:b/>
      <w:i/>
      <w:color w:val="000000" w:themeColor="text1"/>
      <w:szCs w:val="20"/>
    </w:rPr>
  </w:style>
  <w:style w:type="paragraph" w:styleId="Header">
    <w:name w:val="header"/>
    <w:basedOn w:val="Normal"/>
    <w:link w:val="HeaderChar"/>
    <w:uiPriority w:val="99"/>
    <w:rsid w:val="00EC5694"/>
    <w:pPr>
      <w:tabs>
        <w:tab w:val="center" w:pos="4153"/>
        <w:tab w:val="right" w:pos="8306"/>
      </w:tabs>
    </w:pPr>
    <w:rPr>
      <w:sz w:val="24"/>
    </w:r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styleId="Footer">
    <w:name w:val="footer"/>
    <w:basedOn w:val="Normal"/>
    <w:link w:val="FooterChar"/>
    <w:rsid w:val="004D749A"/>
    <w:pPr>
      <w:tabs>
        <w:tab w:val="right" w:pos="567"/>
        <w:tab w:val="right" w:pos="2835"/>
        <w:tab w:val="right" w:pos="3969"/>
      </w:tabs>
      <w:ind w:left="142" w:right="142"/>
    </w:pPr>
    <w:rPr>
      <w:color w:val="FFFFFF" w:themeColor="background1"/>
      <w:sz w:val="20"/>
    </w:rPr>
  </w:style>
  <w:style w:type="character" w:customStyle="1" w:styleId="FooterChar">
    <w:name w:val="Footer Char"/>
    <w:basedOn w:val="DefaultParagraphFont"/>
    <w:link w:val="Footer"/>
    <w:rsid w:val="004D749A"/>
    <w:rPr>
      <w:rFonts w:ascii="Calibri" w:eastAsia="Times New Roman" w:hAnsi="Calibri" w:cs="Times New Roman"/>
      <w:color w:val="FFFFFF" w:themeColor="background1"/>
      <w:sz w:val="20"/>
      <w:szCs w:val="20"/>
    </w:rPr>
  </w:style>
  <w:style w:type="paragraph" w:customStyle="1" w:styleId="BodyText1">
    <w:name w:val="Body Text1"/>
    <w:basedOn w:val="Normal"/>
    <w:link w:val="BodytextChar"/>
    <w:qFormat/>
    <w:rsid w:val="00911A17"/>
  </w:style>
  <w:style w:type="paragraph" w:customStyle="1" w:styleId="bullet10">
    <w:name w:val="bullet 1"/>
    <w:basedOn w:val="BodyText"/>
    <w:link w:val="bullet1Char"/>
    <w:qFormat/>
    <w:rsid w:val="00657B12"/>
    <w:pPr>
      <w:numPr>
        <w:numId w:val="3"/>
      </w:numPr>
      <w:spacing w:before="60" w:after="60"/>
    </w:pPr>
  </w:style>
  <w:style w:type="character" w:customStyle="1" w:styleId="bullet1Char">
    <w:name w:val="bullet 1 Char"/>
    <w:basedOn w:val="DefaultParagraphFont"/>
    <w:link w:val="bullet10"/>
    <w:rsid w:val="00657B12"/>
    <w:rPr>
      <w:rFonts w:ascii="Calibri" w:eastAsia="Times New Roman" w:hAnsi="Calibri" w:cs="Times New Roman"/>
      <w:szCs w:val="20"/>
    </w:rPr>
  </w:style>
  <w:style w:type="paragraph" w:customStyle="1" w:styleId="note">
    <w:name w:val="note"/>
    <w:basedOn w:val="NoteHeading"/>
    <w:link w:val="noteChar"/>
    <w:qFormat/>
    <w:rsid w:val="00183FC6"/>
    <w:pPr>
      <w:keepNext/>
      <w:spacing w:before="120"/>
    </w:pPr>
    <w:rPr>
      <w:bCs/>
      <w:sz w:val="18"/>
      <w:szCs w:val="16"/>
    </w:rPr>
  </w:style>
  <w:style w:type="character" w:customStyle="1" w:styleId="noteChar">
    <w:name w:val="note Char"/>
    <w:link w:val="note"/>
    <w:rsid w:val="00183FC6"/>
    <w:rPr>
      <w:rFonts w:ascii="Calibri" w:eastAsia="Times New Roman" w:hAnsi="Calibri" w:cs="Times New Roman"/>
      <w:bCs/>
      <w:sz w:val="18"/>
      <w:szCs w:val="16"/>
    </w:rPr>
  </w:style>
  <w:style w:type="paragraph" w:customStyle="1" w:styleId="bullet20">
    <w:name w:val="bullet 2"/>
    <w:basedOn w:val="bullet10"/>
    <w:link w:val="bullet2Char"/>
    <w:qFormat/>
    <w:rsid w:val="009D2444"/>
    <w:pPr>
      <w:numPr>
        <w:numId w:val="4"/>
      </w:numPr>
    </w:pPr>
  </w:style>
  <w:style w:type="character" w:customStyle="1" w:styleId="bullet2Char">
    <w:name w:val="bullet 2 Char"/>
    <w:basedOn w:val="bullet1Char"/>
    <w:link w:val="bullet20"/>
    <w:rsid w:val="009D2444"/>
    <w:rPr>
      <w:rFonts w:ascii="Calibri" w:eastAsia="Times New Roman" w:hAnsi="Calibri" w:cs="Times New Roman"/>
      <w:szCs w:val="20"/>
    </w:rPr>
  </w:style>
  <w:style w:type="paragraph" w:customStyle="1" w:styleId="Tablefigures">
    <w:name w:val="Table figures"/>
    <w:basedOn w:val="Tabletext"/>
    <w:link w:val="TablefiguresChar"/>
    <w:autoRedefine/>
    <w:qFormat/>
    <w:rsid w:val="00EC5694"/>
    <w:pPr>
      <w:jc w:val="right"/>
    </w:pPr>
    <w:rPr>
      <w:bCs/>
    </w:rPr>
  </w:style>
  <w:style w:type="paragraph" w:customStyle="1" w:styleId="Tabletext">
    <w:name w:val="Table text"/>
    <w:basedOn w:val="Normal"/>
    <w:link w:val="TabletextChar"/>
    <w:autoRedefine/>
    <w:qFormat/>
    <w:rsid w:val="00B83F53"/>
    <w:pPr>
      <w:spacing w:before="60" w:after="60"/>
    </w:pPr>
    <w:rPr>
      <w:sz w:val="20"/>
      <w:lang w:eastAsia="en-AU"/>
    </w:rPr>
  </w:style>
  <w:style w:type="character" w:customStyle="1" w:styleId="TablefiguresChar">
    <w:name w:val="Table figures Char"/>
    <w:basedOn w:val="DefaultParagraphFont"/>
    <w:link w:val="Tablefigures"/>
    <w:rsid w:val="00EC5694"/>
    <w:rPr>
      <w:rFonts w:ascii="Calibri" w:eastAsia="Times New Roman" w:hAnsi="Calibri" w:cs="Times New Roman"/>
      <w:sz w:val="20"/>
      <w:szCs w:val="20"/>
      <w:lang w:eastAsia="en-AU"/>
    </w:rPr>
  </w:style>
  <w:style w:type="character" w:customStyle="1" w:styleId="TabletextChar">
    <w:name w:val="Table text Char"/>
    <w:basedOn w:val="DefaultParagraphFont"/>
    <w:link w:val="Tabletext"/>
    <w:rsid w:val="00B83F53"/>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5F70C4"/>
    <w:pPr>
      <w:keepNext/>
      <w:spacing w:before="240" w:after="120"/>
    </w:pPr>
    <w:rPr>
      <w:b/>
      <w:bCs/>
      <w:i w:val="0"/>
      <w:iCs w:val="0"/>
      <w:color w:val="7030A0"/>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Normal">
    <w:name w:val="Table_heading_Normal"/>
    <w:basedOn w:val="TableFiguresheading"/>
    <w:qFormat/>
    <w:rsid w:val="00BD7ADC"/>
    <w:pPr>
      <w:spacing w:before="60" w:after="60" w:line="240" w:lineRule="auto"/>
      <w:jc w:val="left"/>
    </w:pPr>
    <w:rPr>
      <w:b w:val="0"/>
      <w:bCs/>
      <w:sz w:val="22"/>
      <w:szCs w:val="22"/>
      <w:lang w:eastAsia="en-AU"/>
    </w:rPr>
  </w:style>
  <w:style w:type="table" w:customStyle="1" w:styleId="ARTableFigures">
    <w:name w:val="AR_Table_Figures"/>
    <w:basedOn w:val="ARTableText"/>
    <w:uiPriority w:val="99"/>
    <w:qFormat/>
    <w:rsid w:val="00EC5694"/>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paragraph" w:customStyle="1" w:styleId="bullet30">
    <w:name w:val="bullet 3"/>
    <w:basedOn w:val="bullet20"/>
    <w:qFormat/>
    <w:rsid w:val="009D2444"/>
    <w:pPr>
      <w:numPr>
        <w:numId w:val="2"/>
      </w:numPr>
    </w:pPr>
  </w:style>
  <w:style w:type="paragraph" w:customStyle="1" w:styleId="IntroParagraph">
    <w:name w:val="Intro Paragraph"/>
    <w:basedOn w:val="BodyText1"/>
    <w:link w:val="IntroParagraphChar"/>
    <w:qFormat/>
    <w:rsid w:val="005F70C4"/>
    <w:pPr>
      <w:spacing w:before="300" w:after="300"/>
    </w:pPr>
    <w:rPr>
      <w:color w:val="7030A0"/>
      <w:sz w:val="26"/>
    </w:rPr>
  </w:style>
  <w:style w:type="character" w:customStyle="1" w:styleId="BodytextChar">
    <w:name w:val="Body text Char"/>
    <w:basedOn w:val="DefaultParagraphFont"/>
    <w:link w:val="BodyText1"/>
    <w:rsid w:val="00911A17"/>
    <w:rPr>
      <w:rFonts w:ascii="Calibri" w:eastAsia="Times New Roman" w:hAnsi="Calibri" w:cs="Times New Roman"/>
      <w:szCs w:val="20"/>
    </w:rPr>
  </w:style>
  <w:style w:type="character" w:customStyle="1" w:styleId="IntroParagraphChar">
    <w:name w:val="Intro Paragraph Char"/>
    <w:basedOn w:val="BodytextChar"/>
    <w:link w:val="IntroParagraph"/>
    <w:rsid w:val="005F70C4"/>
    <w:rPr>
      <w:rFonts w:ascii="Calibri" w:eastAsia="Times New Roman" w:hAnsi="Calibri" w:cs="Times New Roman"/>
      <w:color w:val="7030A0"/>
      <w:sz w:val="26"/>
      <w:szCs w:val="20"/>
    </w:rPr>
  </w:style>
  <w:style w:type="paragraph" w:styleId="BodyText">
    <w:name w:val="Body Text"/>
    <w:basedOn w:val="Normal"/>
    <w:link w:val="BodyTextChar0"/>
    <w:uiPriority w:val="99"/>
    <w:semiHidden/>
    <w:unhideWhenUsed/>
    <w:rsid w:val="00EC5694"/>
    <w:pPr>
      <w:spacing w:after="120"/>
    </w:pPr>
  </w:style>
  <w:style w:type="character" w:customStyle="1" w:styleId="BodyTextChar0">
    <w:name w:val="Body Text Char"/>
    <w:basedOn w:val="DefaultParagraphFont"/>
    <w:link w:val="BodyText"/>
    <w:uiPriority w:val="99"/>
    <w:semiHidden/>
    <w:rsid w:val="00EC5694"/>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semiHidden/>
    <w:unhideWhenUsed/>
    <w:qFormat/>
    <w:rsid w:val="00EC5694"/>
    <w:pPr>
      <w:spacing w:before="0"/>
    </w:pPr>
    <w:rPr>
      <w:i/>
      <w:iCs/>
      <w:color w:val="44546A" w:themeColor="text2"/>
      <w:sz w:val="18"/>
      <w:szCs w:val="18"/>
    </w:rPr>
  </w:style>
  <w:style w:type="character" w:styleId="Hyperlink">
    <w:name w:val="Hyperlink"/>
    <w:basedOn w:val="DefaultParagraphFont"/>
    <w:uiPriority w:val="99"/>
    <w:unhideWhenUsed/>
    <w:rsid w:val="00EC5694"/>
    <w:rPr>
      <w:color w:val="0563C1" w:themeColor="hyperlink"/>
      <w:u w:val="single"/>
    </w:rPr>
  </w:style>
  <w:style w:type="paragraph" w:styleId="ListParagraph">
    <w:name w:val="List Paragraph"/>
    <w:aliases w:val="Recommendation,List Paragraph1,List Paragraph11,Bullet point,Bulletr List Paragraph,Content descriptions,FooterText,L,List Paragraph Number,List Paragraph2,List Paragraph21,NFP GP Bulleted List,Paragraphe de liste1,numbered,列出段,列出段落,列出段落1"/>
    <w:basedOn w:val="Normal"/>
    <w:link w:val="ListParagraphChar"/>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basedOn w:val="TableNormal"/>
    <w:uiPriority w:val="5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C31FD"/>
    <w:pPr>
      <w:keepLines/>
      <w:spacing w:before="120" w:after="120"/>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10"/>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11"/>
    <w:qFormat/>
    <w:rsid w:val="00F939BC"/>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11"/>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8F4C1C"/>
    <w:pPr>
      <w:pBdr>
        <w:top w:val="single" w:sz="4" w:space="14" w:color="DEEAF6" w:themeColor="accent1" w:themeTint="33"/>
        <w:left w:val="single" w:sz="4" w:space="14" w:color="DEEAF6" w:themeColor="accent1" w:themeTint="33"/>
        <w:bottom w:val="single" w:sz="4" w:space="14" w:color="DEEAF6" w:themeColor="accent1" w:themeTint="33"/>
        <w:right w:val="single" w:sz="4" w:space="14" w:color="DEEAF6" w:themeColor="accent1" w:themeTint="33"/>
      </w:pBdr>
      <w:shd w:val="clear" w:color="auto" w:fill="DEEAF6" w:themeFill="accent1" w:themeFillTint="33"/>
      <w:spacing w:before="120" w:after="60"/>
      <w:ind w:left="284" w:right="284"/>
    </w:pPr>
    <w:rPr>
      <w:rFonts w:asciiTheme="minorHAnsi" w:eastAsiaTheme="minorHAnsi" w:hAnsiTheme="minorHAnsi" w:cstheme="minorBidi"/>
      <w:color w:val="000000" w:themeColor="text1"/>
      <w:szCs w:val="22"/>
    </w:rPr>
  </w:style>
  <w:style w:type="numbering" w:customStyle="1" w:styleId="KCBullets">
    <w:name w:val="KC Bullets"/>
    <w:uiPriority w:val="99"/>
    <w:rsid w:val="00430784"/>
    <w:pPr>
      <w:numPr>
        <w:numId w:val="5"/>
      </w:numPr>
    </w:pPr>
  </w:style>
  <w:style w:type="paragraph" w:customStyle="1" w:styleId="Bullet1">
    <w:name w:val="Bullet 1"/>
    <w:basedOn w:val="Normal"/>
    <w:uiPriority w:val="2"/>
    <w:qFormat/>
    <w:rsid w:val="00430784"/>
    <w:pPr>
      <w:numPr>
        <w:numId w:val="6"/>
      </w:numPr>
      <w:spacing w:before="120" w:after="120"/>
    </w:pPr>
    <w:rPr>
      <w:rFonts w:asciiTheme="minorHAnsi" w:eastAsiaTheme="minorHAnsi" w:hAnsiTheme="minorHAnsi" w:cstheme="minorBidi"/>
      <w:color w:val="000000" w:themeColor="text1"/>
      <w:sz w:val="20"/>
    </w:rPr>
  </w:style>
  <w:style w:type="paragraph" w:customStyle="1" w:styleId="Bullet2">
    <w:name w:val="Bullet 2"/>
    <w:basedOn w:val="Normal"/>
    <w:uiPriority w:val="2"/>
    <w:qFormat/>
    <w:rsid w:val="00430784"/>
    <w:pPr>
      <w:numPr>
        <w:ilvl w:val="1"/>
        <w:numId w:val="6"/>
      </w:numPr>
      <w:spacing w:before="120" w:after="120"/>
    </w:pPr>
    <w:rPr>
      <w:rFonts w:asciiTheme="minorHAnsi" w:eastAsiaTheme="minorHAnsi" w:hAnsiTheme="minorHAnsi" w:cstheme="minorBidi"/>
      <w:color w:val="000000" w:themeColor="text1"/>
      <w:sz w:val="20"/>
    </w:rPr>
  </w:style>
  <w:style w:type="paragraph" w:customStyle="1" w:styleId="Bullet3">
    <w:name w:val="Bullet 3"/>
    <w:basedOn w:val="Normal"/>
    <w:qFormat/>
    <w:rsid w:val="00430784"/>
    <w:pPr>
      <w:numPr>
        <w:ilvl w:val="2"/>
        <w:numId w:val="6"/>
      </w:numPr>
      <w:spacing w:before="120" w:after="120"/>
    </w:pPr>
    <w:rPr>
      <w:rFonts w:asciiTheme="minorHAnsi" w:eastAsiaTheme="minorHAnsi" w:hAnsiTheme="minorHAnsi" w:cstheme="minorBidi"/>
      <w:color w:val="000000" w:themeColor="text1"/>
      <w:sz w:val="20"/>
    </w:rPr>
  </w:style>
  <w:style w:type="paragraph" w:customStyle="1" w:styleId="bulletalpha">
    <w:name w:val="bullet alpha"/>
    <w:basedOn w:val="bullet10"/>
    <w:qFormat/>
    <w:rsid w:val="00E63215"/>
    <w:pPr>
      <w:numPr>
        <w:numId w:val="7"/>
      </w:numPr>
    </w:pPr>
    <w:rPr>
      <w:szCs w:val="22"/>
      <w:lang w:val="en"/>
    </w:rPr>
  </w:style>
  <w:style w:type="paragraph" w:customStyle="1" w:styleId="Bulletroman">
    <w:name w:val="Bullet roman"/>
    <w:basedOn w:val="bulletalpha"/>
    <w:qFormat/>
    <w:rsid w:val="00430784"/>
    <w:pPr>
      <w:numPr>
        <w:numId w:val="8"/>
      </w:numPr>
    </w:pPr>
  </w:style>
  <w:style w:type="paragraph" w:customStyle="1" w:styleId="Boxed1Bullet">
    <w:name w:val="Boxed 1 Bullet"/>
    <w:basedOn w:val="Boxed1Text"/>
    <w:uiPriority w:val="30"/>
    <w:qFormat/>
    <w:rsid w:val="00430784"/>
    <w:pPr>
      <w:numPr>
        <w:numId w:val="9"/>
      </w:numPr>
    </w:pPr>
  </w:style>
  <w:style w:type="paragraph" w:customStyle="1" w:styleId="Boxed2Bullet">
    <w:name w:val="Boxed 2 Bullet"/>
    <w:basedOn w:val="Normal"/>
    <w:uiPriority w:val="32"/>
    <w:qFormat/>
    <w:rsid w:val="00430784"/>
    <w:pPr>
      <w:numPr>
        <w:ilvl w:val="1"/>
        <w:numId w:val="9"/>
      </w:numPr>
      <w:pBdr>
        <w:top w:val="single" w:sz="4" w:space="14" w:color="5B9BD5" w:themeColor="accent1"/>
        <w:left w:val="single" w:sz="4" w:space="14" w:color="5B9BD5" w:themeColor="accent1"/>
        <w:bottom w:val="single" w:sz="4" w:space="14" w:color="5B9BD5" w:themeColor="accent1"/>
        <w:right w:val="single" w:sz="4" w:space="14" w:color="5B9BD5" w:themeColor="accent1"/>
      </w:pBdr>
      <w:spacing w:before="120" w:after="60" w:line="240" w:lineRule="atLeast"/>
      <w:ind w:right="284"/>
    </w:pPr>
    <w:rPr>
      <w:rFonts w:asciiTheme="minorHAnsi" w:eastAsiaTheme="minorHAnsi" w:hAnsiTheme="minorHAnsi" w:cstheme="minorBidi"/>
      <w:color w:val="000000" w:themeColor="text1"/>
      <w:sz w:val="20"/>
    </w:rPr>
  </w:style>
  <w:style w:type="numbering" w:customStyle="1" w:styleId="BoxedBullets">
    <w:name w:val="Boxed Bullets"/>
    <w:uiPriority w:val="99"/>
    <w:rsid w:val="00430784"/>
    <w:pPr>
      <w:numPr>
        <w:numId w:val="9"/>
      </w:numPr>
    </w:pPr>
  </w:style>
  <w:style w:type="character" w:styleId="IntenseEmphasis">
    <w:name w:val="Intense Emphasis"/>
    <w:basedOn w:val="DefaultParagraphFont"/>
    <w:uiPriority w:val="33"/>
    <w:qFormat/>
    <w:rsid w:val="00430784"/>
    <w:rPr>
      <w:b/>
      <w:i/>
      <w:iCs/>
      <w:color w:val="000000" w:themeColor="text1"/>
    </w:rPr>
  </w:style>
  <w:style w:type="paragraph" w:customStyle="1" w:styleId="NormalIndent5mm">
    <w:name w:val="Normal Indent 5mm"/>
    <w:basedOn w:val="Normal"/>
    <w:qFormat/>
    <w:rsid w:val="00B514E3"/>
    <w:pPr>
      <w:spacing w:before="120" w:after="120" w:line="240" w:lineRule="auto"/>
      <w:ind w:left="284"/>
    </w:pPr>
    <w:rPr>
      <w:rFonts w:asciiTheme="minorHAnsi" w:eastAsiaTheme="minorHAnsi" w:hAnsiTheme="minorHAnsi" w:cstheme="minorBidi"/>
      <w:color w:val="000000" w:themeColor="text1"/>
      <w:sz w:val="20"/>
    </w:r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495C6A"/>
    <w:pPr>
      <w:keepNext/>
      <w:spacing w:line="240" w:lineRule="atLeast"/>
    </w:pPr>
    <w:rPr>
      <w:b/>
      <w:szCs w:val="20"/>
    </w:rPr>
  </w:style>
  <w:style w:type="numbering" w:customStyle="1" w:styleId="FigureNumbers">
    <w:name w:val="Figure Numbers"/>
    <w:uiPriority w:val="99"/>
    <w:rsid w:val="00495C6A"/>
    <w:pPr>
      <w:numPr>
        <w:numId w:val="10"/>
      </w:numPr>
    </w:pPr>
  </w:style>
  <w:style w:type="paragraph" w:customStyle="1" w:styleId="FigureTitle">
    <w:name w:val="Figure Title"/>
    <w:basedOn w:val="Normal"/>
    <w:uiPriority w:val="12"/>
    <w:qFormat/>
    <w:rsid w:val="00495C6A"/>
    <w:pPr>
      <w:keepNext/>
      <w:numPr>
        <w:numId w:val="11"/>
      </w:numPr>
      <w:spacing w:before="240" w:after="120" w:line="240" w:lineRule="auto"/>
    </w:pPr>
    <w:rPr>
      <w:rFonts w:asciiTheme="majorHAnsi" w:eastAsiaTheme="minorHAnsi" w:hAnsiTheme="majorHAnsi" w:cstheme="minorBidi"/>
      <w:color w:val="000000" w:themeColor="text1"/>
      <w:sz w:val="20"/>
    </w:rPr>
  </w:style>
  <w:style w:type="character" w:customStyle="1" w:styleId="heading10">
    <w:name w:val="heading1"/>
    <w:basedOn w:val="DefaultParagraphFont"/>
    <w:rsid w:val="007811EC"/>
    <w:rPr>
      <w:rFonts w:ascii="Calibri" w:hAnsi="Calibri" w:cs="Calibri" w:hint="default"/>
      <w:b/>
      <w:bCs/>
      <w:i w:val="0"/>
      <w:iCs w:val="0"/>
      <w:color w:val="000000"/>
    </w:rPr>
  </w:style>
  <w:style w:type="paragraph" w:customStyle="1" w:styleId="AppendixNumbered">
    <w:name w:val="Appendix Numbered"/>
    <w:basedOn w:val="Heading2"/>
    <w:uiPriority w:val="11"/>
    <w:qFormat/>
    <w:rsid w:val="00C45989"/>
    <w:pPr>
      <w:keepLines/>
      <w:pageBreakBefore/>
      <w:numPr>
        <w:numId w:val="15"/>
      </w:numPr>
      <w:spacing w:before="360" w:after="120" w:line="240" w:lineRule="auto"/>
    </w:pPr>
    <w:rPr>
      <w:rFonts w:asciiTheme="majorHAnsi" w:eastAsiaTheme="majorEastAsia" w:hAnsiTheme="majorHAnsi" w:cstheme="majorBidi"/>
      <w:snapToGrid/>
      <w:color w:val="5B9BD5" w:themeColor="accent1"/>
      <w:szCs w:val="26"/>
    </w:rPr>
  </w:style>
  <w:style w:type="numbering" w:customStyle="1" w:styleId="AppendixNumbers">
    <w:name w:val="Appendix Numbers"/>
    <w:uiPriority w:val="99"/>
    <w:rsid w:val="00C45989"/>
    <w:pPr>
      <w:numPr>
        <w:numId w:val="12"/>
      </w:numPr>
    </w:pPr>
  </w:style>
  <w:style w:type="table" w:customStyle="1" w:styleId="DefaultTable1">
    <w:name w:val="Default Table 1"/>
    <w:basedOn w:val="GridTable5Dark-Accent1"/>
    <w:uiPriority w:val="99"/>
    <w:rsid w:val="00C45989"/>
    <w:pPr>
      <w:spacing w:before="60" w:after="60"/>
    </w:pPr>
    <w:rPr>
      <w:color w:val="000000" w:themeColor="text1"/>
      <w:sz w:val="18"/>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B9BD5"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EEAF6" w:themeFill="accent1" w:themeFillTint="33"/>
      </w:tcPr>
    </w:tblStylePr>
    <w:tblStylePr w:type="band2Vert">
      <w:tblPr/>
      <w:tcPr>
        <w:shd w:val="clear" w:color="auto" w:fill="BDD6EE" w:themeFill="accent1" w:themeFillTint="66"/>
      </w:tcPr>
    </w:tblStylePr>
    <w:tblStylePr w:type="band1Horz">
      <w:tblPr/>
      <w:tcPr>
        <w:shd w:val="clear" w:color="auto" w:fill="DEEAF6" w:themeFill="accent1" w:themeFillTint="33"/>
      </w:tcPr>
    </w:tblStylePr>
    <w:tblStylePr w:type="band2Horz">
      <w:tblPr/>
      <w:tcPr>
        <w:shd w:val="clear" w:color="auto" w:fill="BDD6EE" w:themeFill="accent1" w:themeFillTint="66"/>
      </w:tcPr>
    </w:tblStylePr>
  </w:style>
  <w:style w:type="numbering" w:customStyle="1" w:styleId="TableNumbers">
    <w:name w:val="Table Numbers"/>
    <w:uiPriority w:val="99"/>
    <w:rsid w:val="00C45989"/>
    <w:pPr>
      <w:numPr>
        <w:numId w:val="13"/>
      </w:numPr>
    </w:pPr>
  </w:style>
  <w:style w:type="paragraph" w:customStyle="1" w:styleId="TableTitle">
    <w:name w:val="Table Title"/>
    <w:basedOn w:val="FigureTitle"/>
    <w:uiPriority w:val="12"/>
    <w:qFormat/>
    <w:rsid w:val="00C45989"/>
    <w:pPr>
      <w:numPr>
        <w:numId w:val="14"/>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5331E2"/>
    <w:rPr>
      <w:color w:val="954F72" w:themeColor="followedHyperlink"/>
      <w:u w:val="single"/>
    </w:rPr>
  </w:style>
  <w:style w:type="character" w:styleId="UnresolvedMention">
    <w:name w:val="Unresolved Mention"/>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C23AE3"/>
    <w:pPr>
      <w:numPr>
        <w:numId w:val="16"/>
      </w:numPr>
      <w:spacing w:before="30" w:after="30"/>
      <w:ind w:left="357" w:hanging="357"/>
    </w:pPr>
    <w:rPr>
      <w:rFonts w:asciiTheme="minorHAnsi" w:eastAsiaTheme="minorHAnsi" w:hAnsiTheme="minorHAnsi"/>
      <w:szCs w:val="22"/>
    </w:rPr>
  </w:style>
  <w:style w:type="paragraph" w:customStyle="1" w:styleId="Directoratename">
    <w:name w:val="Directorate name"/>
    <w:basedOn w:val="Normal"/>
    <w:qFormat/>
    <w:rsid w:val="008F4C1C"/>
    <w:rPr>
      <w:b/>
      <w:bCs/>
      <w:color w:val="7030A0"/>
      <w:sz w:val="28"/>
      <w:szCs w:val="28"/>
    </w:rPr>
  </w:style>
  <w:style w:type="paragraph" w:styleId="FootnoteText">
    <w:name w:val="footnote text"/>
    <w:basedOn w:val="Normal"/>
    <w:link w:val="FootnoteTextChar"/>
    <w:uiPriority w:val="99"/>
    <w:semiHidden/>
    <w:unhideWhenUsed/>
    <w:rsid w:val="001723F7"/>
    <w:pPr>
      <w:spacing w:before="0" w:after="0" w:line="240" w:lineRule="auto"/>
    </w:pPr>
    <w:rPr>
      <w:sz w:val="20"/>
    </w:rPr>
  </w:style>
  <w:style w:type="character" w:customStyle="1" w:styleId="FootnoteTextChar">
    <w:name w:val="Footnote Text Char"/>
    <w:basedOn w:val="DefaultParagraphFont"/>
    <w:link w:val="FootnoteText"/>
    <w:uiPriority w:val="99"/>
    <w:semiHidden/>
    <w:rsid w:val="001723F7"/>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1723F7"/>
    <w:rPr>
      <w:vertAlign w:val="superscript"/>
    </w:rPr>
  </w:style>
  <w:style w:type="paragraph" w:customStyle="1" w:styleId="Intro">
    <w:name w:val="Intro"/>
    <w:basedOn w:val="Normal"/>
    <w:rsid w:val="004E0346"/>
    <w:pPr>
      <w:spacing w:before="0" w:line="300" w:lineRule="exact"/>
    </w:pPr>
    <w:rPr>
      <w:rFonts w:asciiTheme="minorHAnsi" w:eastAsiaTheme="minorHAnsi" w:hAnsiTheme="minorHAnsi"/>
      <w:color w:val="E7E6E6" w:themeColor="background2"/>
      <w:w w:val="110"/>
      <w:sz w:val="25"/>
      <w:szCs w:val="24"/>
      <w:lang w:eastAsia="en-AU"/>
    </w:rPr>
  </w:style>
  <w:style w:type="paragraph" w:styleId="TOC1">
    <w:name w:val="toc 1"/>
    <w:basedOn w:val="Normal"/>
    <w:autoRedefine/>
    <w:uiPriority w:val="39"/>
    <w:unhideWhenUsed/>
    <w:rsid w:val="004E0346"/>
    <w:pPr>
      <w:keepNext/>
      <w:tabs>
        <w:tab w:val="left" w:pos="630"/>
        <w:tab w:val="right" w:leader="dot" w:pos="9060"/>
      </w:tabs>
      <w:spacing w:before="360" w:after="120" w:line="440" w:lineRule="exact"/>
      <w:ind w:left="567" w:hanging="567"/>
    </w:pPr>
    <w:rPr>
      <w:rFonts w:asciiTheme="minorHAnsi" w:eastAsiaTheme="minorHAnsi" w:hAnsiTheme="minorHAnsi"/>
      <w:b/>
      <w:caps/>
      <w:noProof/>
      <w:color w:val="E7E6E6" w:themeColor="background2"/>
      <w:sz w:val="32"/>
      <w:szCs w:val="40"/>
      <w:lang w:eastAsia="en-AU"/>
    </w:rPr>
  </w:style>
  <w:style w:type="character" w:customStyle="1" w:styleId="ListParagraphChar">
    <w:name w:val="List Paragraph Char"/>
    <w:aliases w:val="Recommendation Char,List Paragraph1 Char,List Paragraph11 Char,Bullet point Char,Bulletr List Paragraph Char,Content descriptions Char,FooterText Char,L Char,List Paragraph Number Char,List Paragraph2 Char,List Paragraph21 Char"/>
    <w:link w:val="ListParagraph"/>
    <w:uiPriority w:val="34"/>
    <w:qFormat/>
    <w:locked/>
    <w:rsid w:val="004E0346"/>
    <w:rPr>
      <w:rFonts w:ascii="Calibri" w:eastAsia="Times New Roman" w:hAnsi="Calibri" w:cs="Times New Roman"/>
      <w:szCs w:val="20"/>
    </w:rPr>
  </w:style>
  <w:style w:type="character" w:styleId="CommentReference">
    <w:name w:val="annotation reference"/>
    <w:basedOn w:val="DefaultParagraphFont"/>
    <w:uiPriority w:val="99"/>
    <w:semiHidden/>
    <w:unhideWhenUsed/>
    <w:rsid w:val="004E0346"/>
    <w:rPr>
      <w:sz w:val="16"/>
      <w:szCs w:val="16"/>
    </w:rPr>
  </w:style>
  <w:style w:type="paragraph" w:customStyle="1" w:styleId="BodyText0">
    <w:name w:val="_BodyText"/>
    <w:basedOn w:val="Normal"/>
    <w:link w:val="BodyTextChar1"/>
    <w:qFormat/>
    <w:rsid w:val="004E0346"/>
    <w:pPr>
      <w:spacing w:before="240" w:after="180" w:line="240" w:lineRule="auto"/>
      <w:ind w:right="57"/>
      <w:jc w:val="both"/>
    </w:pPr>
    <w:rPr>
      <w:szCs w:val="24"/>
    </w:rPr>
  </w:style>
  <w:style w:type="character" w:customStyle="1" w:styleId="BodyTextChar1">
    <w:name w:val="_BodyText Char"/>
    <w:link w:val="BodyText0"/>
    <w:rsid w:val="004E0346"/>
    <w:rPr>
      <w:rFonts w:ascii="Calibri" w:eastAsia="Times New Roman" w:hAnsi="Calibri" w:cs="Times New Roman"/>
      <w:szCs w:val="24"/>
    </w:rPr>
  </w:style>
  <w:style w:type="paragraph" w:styleId="NormalWeb">
    <w:name w:val="Normal (Web)"/>
    <w:basedOn w:val="Normal"/>
    <w:uiPriority w:val="99"/>
    <w:unhideWhenUsed/>
    <w:rsid w:val="004E0346"/>
    <w:pPr>
      <w:spacing w:before="100" w:beforeAutospacing="1" w:after="100" w:afterAutospacing="1" w:line="240" w:lineRule="auto"/>
    </w:pPr>
    <w:rPr>
      <w:rFonts w:ascii="Times New Roman" w:hAnsi="Times New Roman"/>
      <w:sz w:val="24"/>
      <w:szCs w:val="24"/>
      <w:lang w:eastAsia="en-AU"/>
    </w:rPr>
  </w:style>
  <w:style w:type="paragraph" w:customStyle="1" w:styleId="Heading1Numbered">
    <w:name w:val="Heading 1 Numbered"/>
    <w:basedOn w:val="Heading1"/>
    <w:uiPriority w:val="10"/>
    <w:qFormat/>
    <w:rsid w:val="004E0346"/>
    <w:pPr>
      <w:keepLines/>
      <w:pageBreakBefore/>
      <w:numPr>
        <w:numId w:val="17"/>
      </w:numPr>
      <w:tabs>
        <w:tab w:val="num" w:pos="360"/>
      </w:tabs>
      <w:suppressAutoHyphens/>
      <w:spacing w:before="900" w:after="360" w:line="600" w:lineRule="atLeast"/>
      <w:ind w:left="0" w:firstLine="0"/>
      <w:contextualSpacing/>
    </w:pPr>
    <w:rPr>
      <w:rFonts w:asciiTheme="majorHAnsi" w:eastAsiaTheme="majorEastAsia" w:hAnsiTheme="majorHAnsi" w:cstheme="majorBidi"/>
      <w:b w:val="0"/>
      <w:color w:val="5B9BD5" w:themeColor="accent1"/>
      <w:kern w:val="0"/>
      <w:sz w:val="50"/>
      <w:szCs w:val="32"/>
    </w:rPr>
  </w:style>
  <w:style w:type="paragraph" w:customStyle="1" w:styleId="Heading2Numbered">
    <w:name w:val="Heading 2 Numbered"/>
    <w:basedOn w:val="Heading2"/>
    <w:uiPriority w:val="10"/>
    <w:qFormat/>
    <w:rsid w:val="004E0346"/>
    <w:pPr>
      <w:keepLines/>
      <w:numPr>
        <w:ilvl w:val="1"/>
        <w:numId w:val="17"/>
      </w:numPr>
      <w:tabs>
        <w:tab w:val="num" w:pos="360"/>
      </w:tabs>
      <w:suppressAutoHyphens/>
      <w:spacing w:before="360" w:after="240" w:line="440" w:lineRule="atLeast"/>
      <w:ind w:left="0" w:firstLine="0"/>
    </w:pPr>
    <w:rPr>
      <w:rFonts w:ascii="Work Sans Medium" w:eastAsiaTheme="majorEastAsia" w:hAnsi="Work Sans Medium" w:cstheme="majorBidi"/>
      <w:b w:val="0"/>
      <w:snapToGrid/>
      <w:color w:val="44546A" w:themeColor="text2"/>
      <w:szCs w:val="26"/>
    </w:rPr>
  </w:style>
  <w:style w:type="paragraph" w:customStyle="1" w:styleId="Heading3Numbered">
    <w:name w:val="Heading 3 Numbered"/>
    <w:basedOn w:val="Heading3"/>
    <w:uiPriority w:val="10"/>
    <w:qFormat/>
    <w:rsid w:val="004E0346"/>
    <w:pPr>
      <w:numPr>
        <w:ilvl w:val="2"/>
        <w:numId w:val="17"/>
      </w:numPr>
      <w:tabs>
        <w:tab w:val="num" w:pos="360"/>
      </w:tabs>
      <w:suppressAutoHyphens/>
      <w:spacing w:before="240" w:after="120" w:line="300" w:lineRule="atLeast"/>
      <w:ind w:left="0" w:firstLine="0"/>
    </w:pPr>
    <w:rPr>
      <w:rFonts w:asciiTheme="minorHAnsi" w:eastAsiaTheme="majorEastAsia" w:hAnsiTheme="minorHAnsi" w:cstheme="majorBidi"/>
      <w:bCs w:val="0"/>
      <w:color w:val="5B9BD5" w:themeColor="accent1"/>
      <w:szCs w:val="24"/>
    </w:rPr>
  </w:style>
  <w:style w:type="paragraph" w:customStyle="1" w:styleId="Heading4Numbered">
    <w:name w:val="Heading 4 Numbered"/>
    <w:basedOn w:val="Heading4"/>
    <w:uiPriority w:val="10"/>
    <w:unhideWhenUsed/>
    <w:qFormat/>
    <w:rsid w:val="004E0346"/>
    <w:pPr>
      <w:numPr>
        <w:ilvl w:val="3"/>
        <w:numId w:val="17"/>
      </w:numPr>
      <w:tabs>
        <w:tab w:val="num" w:pos="360"/>
      </w:tabs>
      <w:suppressAutoHyphens/>
      <w:spacing w:after="120" w:line="260" w:lineRule="atLeast"/>
      <w:ind w:left="0" w:firstLine="0"/>
    </w:pPr>
    <w:rPr>
      <w:rFonts w:ascii="Work Sans Medium" w:eastAsiaTheme="majorEastAsia" w:hAnsi="Work Sans Medium"/>
      <w:b w:val="0"/>
      <w:iCs/>
      <w:sz w:val="20"/>
    </w:rPr>
  </w:style>
  <w:style w:type="numbering" w:customStyle="1" w:styleId="NumberedHeadings">
    <w:name w:val="Numbered Headings"/>
    <w:uiPriority w:val="99"/>
    <w:rsid w:val="004E0346"/>
    <w:pPr>
      <w:numPr>
        <w:numId w:val="17"/>
      </w:numPr>
    </w:pPr>
  </w:style>
  <w:style w:type="paragraph" w:styleId="TOC2">
    <w:name w:val="toc 2"/>
    <w:basedOn w:val="Normal"/>
    <w:next w:val="Normal"/>
    <w:autoRedefine/>
    <w:uiPriority w:val="39"/>
    <w:unhideWhenUsed/>
    <w:rsid w:val="007A6EC4"/>
    <w:pPr>
      <w:spacing w:after="100"/>
      <w:ind w:left="220"/>
    </w:pPr>
  </w:style>
  <w:style w:type="paragraph" w:styleId="TOC3">
    <w:name w:val="toc 3"/>
    <w:basedOn w:val="Normal"/>
    <w:next w:val="Normal"/>
    <w:autoRedefine/>
    <w:uiPriority w:val="39"/>
    <w:unhideWhenUsed/>
    <w:rsid w:val="007A6EC4"/>
    <w:pPr>
      <w:spacing w:after="100"/>
      <w:ind w:left="440"/>
    </w:pPr>
  </w:style>
  <w:style w:type="paragraph" w:styleId="CommentText">
    <w:name w:val="annotation text"/>
    <w:basedOn w:val="Normal"/>
    <w:link w:val="CommentTextChar"/>
    <w:uiPriority w:val="99"/>
    <w:unhideWhenUsed/>
    <w:rsid w:val="00EC5326"/>
    <w:pPr>
      <w:spacing w:line="240" w:lineRule="auto"/>
    </w:pPr>
    <w:rPr>
      <w:sz w:val="20"/>
    </w:rPr>
  </w:style>
  <w:style w:type="character" w:customStyle="1" w:styleId="CommentTextChar">
    <w:name w:val="Comment Text Char"/>
    <w:basedOn w:val="DefaultParagraphFont"/>
    <w:link w:val="CommentText"/>
    <w:uiPriority w:val="99"/>
    <w:rsid w:val="00EC532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C5326"/>
    <w:rPr>
      <w:b/>
      <w:bCs/>
    </w:rPr>
  </w:style>
  <w:style w:type="character" w:customStyle="1" w:styleId="CommentSubjectChar">
    <w:name w:val="Comment Subject Char"/>
    <w:basedOn w:val="CommentTextChar"/>
    <w:link w:val="CommentSubject"/>
    <w:uiPriority w:val="99"/>
    <w:semiHidden/>
    <w:rsid w:val="00EC5326"/>
    <w:rPr>
      <w:rFonts w:ascii="Calibri" w:eastAsia="Times New Roman" w:hAnsi="Calibri" w:cs="Times New Roman"/>
      <w:b/>
      <w:bCs/>
      <w:sz w:val="20"/>
      <w:szCs w:val="20"/>
    </w:rPr>
  </w:style>
  <w:style w:type="paragraph" w:styleId="Revision">
    <w:name w:val="Revision"/>
    <w:hidden/>
    <w:uiPriority w:val="99"/>
    <w:semiHidden/>
    <w:rsid w:val="00774460"/>
    <w:pPr>
      <w:spacing w:after="0" w:line="240" w:lineRule="auto"/>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https://yoursayconversations.act.gov.au/changing-cyp-act-2008-stage-2" TargetMode="External"/><Relationship Id="rId3" Type="http://schemas.openxmlformats.org/officeDocument/2006/relationships/customXml" Target="../customXml/item3.xml"/><Relationship Id="rId21" Type="http://schemas.openxmlformats.org/officeDocument/2006/relationships/hyperlink" Target="https://yoursayconversations.act.gov.au/download_file/view/5327/1976/1976" TargetMode="External"/><Relationship Id="rId7" Type="http://schemas.openxmlformats.org/officeDocument/2006/relationships/settings" Target="settings.xml"/><Relationship Id="rId1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WHoG%20cover%20top\Cover%20WHoG%20long_.png" TargetMode="External"/><Relationship Id="rId17" Type="http://schemas.openxmlformats.org/officeDocument/2006/relationships/hyperlink" Target="https://hdp-au-prod-app-act-yoursay-files.s3.ap-southeast-2.amazonaws.com/6316/8119/4371/Next-Steps-for-our-Kids-2022-2030.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ommunityservices.act.gov.au/commissioning/sectors-in-progress/child,-youth-and-family-services-pro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s://yoursayconversations.act.gov.au/children-and-family-services-reform/next-steps-our-kids-2022-20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communityservices.act.gov.au/__data/assets/pdf_file/0008/2335661/Listening-Report-Raising-the-Minimum-Age-of-Criminal-Responsibility_FINAL_accessible-version-.pdfhttps:/www.communityservices.act.gov.au/__data/assets/pdf_file/0008/2335661/Listening-Report-Raising-the-Minimum-Age-of-Criminal-Responsibility_FINAL_accessible-version-.pdfhttps:/www.communityservices.act.gov.au/__data/assets/pdf_file/0008/2335661/Listening-Report-Raising-the-Minimum-Age-of-Criminal-Responsibility_FINAL_accessible-version-.pdfhttps:/www.communityservices.act.gov.au/__data/assets/pdf_file/0008/2335661/Listening-Report-Raising-the-Minimum-Age-of-Criminal-Responsibility_FINAL_accessible-version-.pdf" TargetMode="External"/></Relationships>
</file>

<file path=word/_rels/footer2.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Header%20WHoG\Header%20WHog_B%20thin.png"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20" ma:contentTypeDescription="Create a new document." ma:contentTypeScope="" ma:versionID="5f244e0a77446c83d3e269f6985732a7">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5e1f2f919e0e40ce0f7551fbcaab78af"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lcf76f155ced4ddcb4097134ff3c332f xmlns="f6c841be-bb08-4901-87b0-0033aa80d2c6">
      <Terms xmlns="http://schemas.microsoft.com/office/infopath/2007/PartnerControls"/>
    </lcf76f155ced4ddcb4097134ff3c332f>
    <TaxCatchAll xmlns="4d47241e-7224-40da-83d9-1113ff4a4334" xsi:nil="true"/>
  </documentManagement>
</p:properties>
</file>

<file path=customXml/itemProps1.xml><?xml version="1.0" encoding="utf-8"?>
<ds:datastoreItem xmlns:ds="http://schemas.openxmlformats.org/officeDocument/2006/customXml" ds:itemID="{8FB681A3-58C3-4541-82AC-C3AB1893F7FC}">
  <ds:schemaRefs>
    <ds:schemaRef ds:uri="http://schemas.microsoft.com/sharepoint/v3/contenttype/forms"/>
  </ds:schemaRefs>
</ds:datastoreItem>
</file>

<file path=customXml/itemProps2.xml><?xml version="1.0" encoding="utf-8"?>
<ds:datastoreItem xmlns:ds="http://schemas.openxmlformats.org/officeDocument/2006/customXml" ds:itemID="{2A889FB0-8892-4E43-B0A9-12DC07353A8B}">
  <ds:schemaRefs>
    <ds:schemaRef ds:uri="http://schemas.openxmlformats.org/officeDocument/2006/bibliography"/>
  </ds:schemaRefs>
</ds:datastoreItem>
</file>

<file path=customXml/itemProps3.xml><?xml version="1.0" encoding="utf-8"?>
<ds:datastoreItem xmlns:ds="http://schemas.openxmlformats.org/officeDocument/2006/customXml" ds:itemID="{6CF5226A-56E6-4350-8E53-D5690357D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84DB80-A521-429B-8B43-37D8A844619C}">
  <ds:schemaRefs>
    <ds:schemaRef ds:uri="http://schemas.microsoft.com/office/2006/metadata/properties"/>
    <ds:schemaRef ds:uri="http://schemas.microsoft.com/office/infopath/2007/PartnerControls"/>
    <ds:schemaRef ds:uri="f6c841be-bb08-4901-87b0-0033aa80d2c6"/>
    <ds:schemaRef ds:uri="4d47241e-7224-40da-83d9-1113ff4a433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7942</Words>
  <Characters>45274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53110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Maskell, Alan</dc:creator>
  <cp:lastModifiedBy>McLaughlan, Ryan</cp:lastModifiedBy>
  <cp:revision>2</cp:revision>
  <cp:lastPrinted>2019-06-13T01:11:00Z</cp:lastPrinted>
  <dcterms:created xsi:type="dcterms:W3CDTF">2023-12-14T21:39:00Z</dcterms:created>
  <dcterms:modified xsi:type="dcterms:W3CDTF">2023-12-14T21:39:00Z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MSIP_Label_69af8531-eb46-4968-8cb3-105d2f5ea87e_Enabled">
    <vt:lpwstr>true</vt:lpwstr>
  </property>
  <property fmtid="{D5CDD505-2E9C-101B-9397-08002B2CF9AE}" pid="4" name="MSIP_Label_69af8531-eb46-4968-8cb3-105d2f5ea87e_SetDate">
    <vt:lpwstr>2021-06-17T05:19:54Z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fc30cf60-cc8e-4fde-87ed-fd93859bb71d</vt:lpwstr>
  </property>
  <property fmtid="{D5CDD505-2E9C-101B-9397-08002B2CF9AE}" pid="9" name="MSIP_Label_69af8531-eb46-4968-8cb3-105d2f5ea87e_ContentBits">
    <vt:lpwstr>0</vt:lpwstr>
  </property>
  <property fmtid="{D5CDD505-2E9C-101B-9397-08002B2CF9AE}" pid="10" name="MediaServiceImageTags">
    <vt:lpwstr/>
  </property>
</Properties>
</file>