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6E197" w14:textId="3410A11F" w:rsidR="009266DD" w:rsidRPr="00FE0085" w:rsidRDefault="00A47BB5" w:rsidP="00670C2A">
      <w:pPr>
        <w:spacing w:before="120" w:after="0" w:line="240" w:lineRule="auto"/>
        <w:rPr>
          <w:rFonts w:ascii="Arial" w:hAnsi="Arial"/>
          <w:b/>
          <w:caps/>
          <w:color w:val="000000" w:themeColor="text1"/>
          <w:kern w:val="28"/>
          <w:sz w:val="44"/>
        </w:rPr>
        <w:sectPr w:rsidR="009266DD" w:rsidRPr="00FE0085" w:rsidSect="00F51125">
          <w:headerReference w:type="even" r:id="rId11"/>
          <w:headerReference w:type="default" r:id="rId12"/>
          <w:footerReference w:type="even" r:id="rId13"/>
          <w:footerReference w:type="default" r:id="rId14"/>
          <w:type w:val="continuous"/>
          <w:pgSz w:w="11907" w:h="16840" w:code="9"/>
          <w:pgMar w:top="1134" w:right="1134" w:bottom="1701" w:left="1134" w:header="567" w:footer="254" w:gutter="0"/>
          <w:cols w:num="2" w:space="720"/>
          <w:titlePg/>
          <w:docGrid w:linePitch="299"/>
        </w:sectPr>
      </w:pPr>
      <w:r>
        <w:rPr>
          <w:b/>
          <w:caps/>
          <w:noProof/>
          <w:color w:val="000000" w:themeColor="text1"/>
          <w:sz w:val="44"/>
        </w:rPr>
        <mc:AlternateContent>
          <mc:Choice Requires="wps">
            <w:drawing>
              <wp:anchor distT="0" distB="0" distL="114300" distR="114300" simplePos="0" relativeHeight="251662336" behindDoc="0" locked="0" layoutInCell="1" allowOverlap="1" wp14:anchorId="59948A67" wp14:editId="7A62A155">
                <wp:simplePos x="0" y="0"/>
                <wp:positionH relativeFrom="margin">
                  <wp:align>right</wp:align>
                </wp:positionH>
                <wp:positionV relativeFrom="paragraph">
                  <wp:posOffset>1499235</wp:posOffset>
                </wp:positionV>
                <wp:extent cx="5162550" cy="588645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5162550" cy="5886450"/>
                        </a:xfrm>
                        <a:prstGeom prst="rect">
                          <a:avLst/>
                        </a:prstGeom>
                        <a:noFill/>
                        <a:ln w="6350">
                          <a:noFill/>
                        </a:ln>
                      </wps:spPr>
                      <wps:txbx>
                        <w:txbxContent>
                          <w:p w14:paraId="1DC2F8C1" w14:textId="49C5153E" w:rsidR="00A47BB5" w:rsidRDefault="000D409C" w:rsidP="00D17F50">
                            <w:pPr>
                              <w:pStyle w:val="Title"/>
                              <w:spacing w:after="0"/>
                            </w:pPr>
                            <w:r w:rsidRPr="000F6C81">
                              <w:t xml:space="preserve">Commissioning </w:t>
                            </w:r>
                            <w:r w:rsidR="00A47BB5" w:rsidRPr="000F6C81">
                              <w:t xml:space="preserve">for Outcomes </w:t>
                            </w:r>
                            <w:r w:rsidR="00FE0085">
                              <w:t>– Homelessness Sector</w:t>
                            </w:r>
                          </w:p>
                          <w:p w14:paraId="28CCC0F2" w14:textId="77777777" w:rsidR="00FE0085" w:rsidRPr="00FE0085" w:rsidRDefault="00FE0085" w:rsidP="00FE0085"/>
                          <w:p w14:paraId="4B8487EF" w14:textId="365FBB0F" w:rsidR="00623AB4" w:rsidRPr="000F6C81" w:rsidRDefault="00623AB4" w:rsidP="00623AB4">
                            <w:pPr>
                              <w:rPr>
                                <w:color w:val="FFFFFF" w:themeColor="background1"/>
                              </w:rPr>
                            </w:pPr>
                          </w:p>
                          <w:p w14:paraId="1198031F" w14:textId="355168E1" w:rsidR="00623AB4" w:rsidRDefault="00FE0085" w:rsidP="00623AB4">
                            <w:pPr>
                              <w:rPr>
                                <w:rFonts w:ascii="Arial" w:eastAsiaTheme="majorEastAsia" w:hAnsi="Arial" w:cs="Arial"/>
                                <w:b/>
                                <w:color w:val="FFFFFF" w:themeColor="background1"/>
                                <w:kern w:val="28"/>
                                <w:sz w:val="70"/>
                                <w:szCs w:val="70"/>
                              </w:rPr>
                            </w:pPr>
                            <w:r>
                              <w:rPr>
                                <w:rFonts w:ascii="Arial" w:eastAsiaTheme="majorEastAsia" w:hAnsi="Arial" w:cs="Arial"/>
                                <w:b/>
                                <w:color w:val="FFFFFF" w:themeColor="background1"/>
                                <w:kern w:val="28"/>
                                <w:sz w:val="70"/>
                                <w:szCs w:val="70"/>
                              </w:rPr>
                              <w:t>FREQUENTLY ASKED</w:t>
                            </w:r>
                          </w:p>
                          <w:p w14:paraId="0F315576" w14:textId="24B3841B" w:rsidR="00FE0085" w:rsidRPr="000F6C81" w:rsidRDefault="00FE0085" w:rsidP="00623AB4">
                            <w:pPr>
                              <w:rPr>
                                <w:rFonts w:ascii="Arial" w:eastAsiaTheme="majorEastAsia" w:hAnsi="Arial" w:cs="Arial"/>
                                <w:b/>
                                <w:color w:val="FFFFFF" w:themeColor="background1"/>
                                <w:kern w:val="28"/>
                                <w:sz w:val="70"/>
                                <w:szCs w:val="70"/>
                              </w:rPr>
                            </w:pPr>
                            <w:r>
                              <w:rPr>
                                <w:rFonts w:ascii="Arial" w:eastAsiaTheme="majorEastAsia" w:hAnsi="Arial" w:cs="Arial"/>
                                <w:b/>
                                <w:color w:val="FFFFFF" w:themeColor="background1"/>
                                <w:kern w:val="28"/>
                                <w:sz w:val="70"/>
                                <w:szCs w:val="70"/>
                              </w:rPr>
                              <w:t>QUESTIONS</w:t>
                            </w:r>
                          </w:p>
                          <w:p w14:paraId="0F91F564" w14:textId="57681C1A" w:rsidR="00A47BB5" w:rsidRDefault="00A47BB5" w:rsidP="00D17F50">
                            <w:pPr>
                              <w:pStyle w:val="Title"/>
                              <w:spacing w:after="0"/>
                              <w:rPr>
                                <w:rFonts w:asciiTheme="minorHAnsi" w:eastAsiaTheme="minorEastAsia" w:hAnsiTheme="minorHAnsi" w:cstheme="minorBidi"/>
                                <w:b w:val="0"/>
                                <w:bCs/>
                                <w:kern w:val="0"/>
                                <w:sz w:val="50"/>
                                <w:szCs w:val="50"/>
                              </w:rPr>
                            </w:pPr>
                          </w:p>
                          <w:p w14:paraId="500AE9C9" w14:textId="4DB7A3C7" w:rsidR="00BE2094" w:rsidRDefault="00BE2094" w:rsidP="00BE2094">
                            <w:pPr>
                              <w:rPr>
                                <w:rFonts w:eastAsiaTheme="minorEastAsia"/>
                              </w:rPr>
                            </w:pPr>
                          </w:p>
                          <w:p w14:paraId="1912E861" w14:textId="056997F9" w:rsidR="00BE2094" w:rsidRDefault="00BE2094" w:rsidP="00BE2094">
                            <w:pPr>
                              <w:rPr>
                                <w:rFonts w:eastAsiaTheme="minorEastAsia"/>
                              </w:rPr>
                            </w:pPr>
                          </w:p>
                          <w:p w14:paraId="3EF7F0EA" w14:textId="7DCCB107" w:rsidR="00BE2094" w:rsidRPr="00BE2094" w:rsidRDefault="005244C7" w:rsidP="00BE2094">
                            <w:pPr>
                              <w:rPr>
                                <w:rFonts w:eastAsiaTheme="minorEastAsia"/>
                              </w:rPr>
                            </w:pPr>
                            <w:r>
                              <w:rPr>
                                <w:rFonts w:eastAsiaTheme="minorEastAsia"/>
                              </w:rPr>
                              <w:t>23</w:t>
                            </w:r>
                            <w:r w:rsidR="0011226E">
                              <w:rPr>
                                <w:rFonts w:eastAsiaTheme="minorEastAsia"/>
                              </w:rPr>
                              <w:t xml:space="preserve"> October</w:t>
                            </w:r>
                            <w:r w:rsidR="00202319">
                              <w:rPr>
                                <w:rFonts w:eastAsiaTheme="minorEastAsia"/>
                              </w:rPr>
                              <w:t xml:space="preserv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948A67" id="_x0000_t202" coordsize="21600,21600" o:spt="202" path="m,l,21600r21600,l21600,xe">
                <v:stroke joinstyle="miter"/>
                <v:path gradientshapeok="t" o:connecttype="rect"/>
              </v:shapetype>
              <v:shape id="Text Box 22" o:spid="_x0000_s1026" type="#_x0000_t202" style="position:absolute;margin-left:355.3pt;margin-top:118.05pt;width:406.5pt;height:463.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" filled="f" stroked="f" strokeweight=".5pt">
                <v:textbox>
                  <w:txbxContent>
                    <w:p w14:paraId="1DC2F8C1" w14:textId="49C5153E" w:rsidR="00A47BB5" w:rsidRDefault="000D409C" w:rsidP="00D17F50">
                      <w:pPr>
                        <w:pStyle w:val="Title"/>
                        <w:spacing w:after="0"/>
                      </w:pPr>
                      <w:r w:rsidRPr="000F6C81">
                        <w:t xml:space="preserve">Commissioning </w:t>
                      </w:r>
                      <w:r w:rsidR="00A47BB5" w:rsidRPr="000F6C81">
                        <w:t xml:space="preserve">for Outcomes </w:t>
                      </w:r>
                      <w:r w:rsidR="00FE0085">
                        <w:t>– Homelessness Sector</w:t>
                      </w:r>
                    </w:p>
                    <w:p w14:paraId="28CCC0F2" w14:textId="77777777" w:rsidR="00FE0085" w:rsidRPr="00FE0085" w:rsidRDefault="00FE0085" w:rsidP="00FE0085"/>
                    <w:p w14:paraId="4B8487EF" w14:textId="365FBB0F" w:rsidR="00623AB4" w:rsidRPr="000F6C81" w:rsidRDefault="00623AB4" w:rsidP="00623AB4">
                      <w:pPr>
                        <w:rPr>
                          <w:color w:val="FFFFFF" w:themeColor="background1"/>
                        </w:rPr>
                      </w:pPr>
                    </w:p>
                    <w:p w14:paraId="1198031F" w14:textId="355168E1" w:rsidR="00623AB4" w:rsidRDefault="00FE0085" w:rsidP="00623AB4">
                      <w:pPr>
                        <w:rPr>
                          <w:rFonts w:ascii="Arial" w:eastAsiaTheme="majorEastAsia" w:hAnsi="Arial" w:cs="Arial"/>
                          <w:b/>
                          <w:color w:val="FFFFFF" w:themeColor="background1"/>
                          <w:kern w:val="28"/>
                          <w:sz w:val="70"/>
                          <w:szCs w:val="70"/>
                        </w:rPr>
                      </w:pPr>
                      <w:r>
                        <w:rPr>
                          <w:rFonts w:ascii="Arial" w:eastAsiaTheme="majorEastAsia" w:hAnsi="Arial" w:cs="Arial"/>
                          <w:b/>
                          <w:color w:val="FFFFFF" w:themeColor="background1"/>
                          <w:kern w:val="28"/>
                          <w:sz w:val="70"/>
                          <w:szCs w:val="70"/>
                        </w:rPr>
                        <w:t>FREQUENTLY ASKED</w:t>
                      </w:r>
                    </w:p>
                    <w:p w14:paraId="0F315576" w14:textId="24B3841B" w:rsidR="00FE0085" w:rsidRPr="000F6C81" w:rsidRDefault="00FE0085" w:rsidP="00623AB4">
                      <w:pPr>
                        <w:rPr>
                          <w:rFonts w:ascii="Arial" w:eastAsiaTheme="majorEastAsia" w:hAnsi="Arial" w:cs="Arial"/>
                          <w:b/>
                          <w:color w:val="FFFFFF" w:themeColor="background1"/>
                          <w:kern w:val="28"/>
                          <w:sz w:val="70"/>
                          <w:szCs w:val="70"/>
                        </w:rPr>
                      </w:pPr>
                      <w:r>
                        <w:rPr>
                          <w:rFonts w:ascii="Arial" w:eastAsiaTheme="majorEastAsia" w:hAnsi="Arial" w:cs="Arial"/>
                          <w:b/>
                          <w:color w:val="FFFFFF" w:themeColor="background1"/>
                          <w:kern w:val="28"/>
                          <w:sz w:val="70"/>
                          <w:szCs w:val="70"/>
                        </w:rPr>
                        <w:t>QUESTIONS</w:t>
                      </w:r>
                    </w:p>
                    <w:p w14:paraId="0F91F564" w14:textId="57681C1A" w:rsidR="00A47BB5" w:rsidRDefault="00A47BB5" w:rsidP="00D17F50">
                      <w:pPr>
                        <w:pStyle w:val="Title"/>
                        <w:spacing w:after="0"/>
                        <w:rPr>
                          <w:rFonts w:asciiTheme="minorHAnsi" w:eastAsiaTheme="minorEastAsia" w:hAnsiTheme="minorHAnsi" w:cstheme="minorBidi"/>
                          <w:b w:val="0"/>
                          <w:bCs/>
                          <w:kern w:val="0"/>
                          <w:sz w:val="50"/>
                          <w:szCs w:val="50"/>
                        </w:rPr>
                      </w:pPr>
                    </w:p>
                    <w:p w14:paraId="500AE9C9" w14:textId="4DB7A3C7" w:rsidR="00BE2094" w:rsidRDefault="00BE2094" w:rsidP="00BE2094">
                      <w:pPr>
                        <w:rPr>
                          <w:rFonts w:eastAsiaTheme="minorEastAsia"/>
                        </w:rPr>
                      </w:pPr>
                    </w:p>
                    <w:p w14:paraId="1912E861" w14:textId="056997F9" w:rsidR="00BE2094" w:rsidRDefault="00BE2094" w:rsidP="00BE2094">
                      <w:pPr>
                        <w:rPr>
                          <w:rFonts w:eastAsiaTheme="minorEastAsia"/>
                        </w:rPr>
                      </w:pPr>
                    </w:p>
                    <w:p w14:paraId="3EF7F0EA" w14:textId="7DCCB107" w:rsidR="00BE2094" w:rsidRPr="00BE2094" w:rsidRDefault="005244C7" w:rsidP="00BE2094">
                      <w:pPr>
                        <w:rPr>
                          <w:rFonts w:eastAsiaTheme="minorEastAsia"/>
                        </w:rPr>
                      </w:pPr>
                      <w:r>
                        <w:rPr>
                          <w:rFonts w:eastAsiaTheme="minorEastAsia"/>
                        </w:rPr>
                        <w:t>23</w:t>
                      </w:r>
                      <w:r w:rsidR="0011226E">
                        <w:rPr>
                          <w:rFonts w:eastAsiaTheme="minorEastAsia"/>
                        </w:rPr>
                        <w:t xml:space="preserve"> October</w:t>
                      </w:r>
                      <w:r w:rsidR="00202319">
                        <w:rPr>
                          <w:rFonts w:eastAsiaTheme="minorEastAsia"/>
                        </w:rPr>
                        <w:t xml:space="preserve"> 2023</w:t>
                      </w:r>
                    </w:p>
                  </w:txbxContent>
                </v:textbox>
                <w10:wrap anchorx="margin"/>
              </v:shape>
            </w:pict>
          </mc:Fallback>
        </mc:AlternateContent>
      </w:r>
      <w:r w:rsidR="00D33CD9">
        <w:rPr>
          <w:b/>
          <w:caps/>
          <w:noProof/>
          <w:color w:val="000000" w:themeColor="text1"/>
          <w:sz w:val="44"/>
        </w:rPr>
        <mc:AlternateContent>
          <mc:Choice Requires="wps">
            <w:drawing>
              <wp:anchor distT="0" distB="0" distL="114300" distR="114300" simplePos="0" relativeHeight="251661312" behindDoc="0" locked="0" layoutInCell="1" allowOverlap="1" wp14:anchorId="5C356A46" wp14:editId="6E092BBE">
                <wp:simplePos x="0" y="0"/>
                <wp:positionH relativeFrom="column">
                  <wp:posOffset>-51435</wp:posOffset>
                </wp:positionH>
                <wp:positionV relativeFrom="paragraph">
                  <wp:posOffset>8962390</wp:posOffset>
                </wp:positionV>
                <wp:extent cx="5080000" cy="4572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5080000" cy="457200"/>
                        </a:xfrm>
                        <a:prstGeom prst="rect">
                          <a:avLst/>
                        </a:prstGeom>
                        <a:noFill/>
                        <a:ln w="6350">
                          <a:noFill/>
                        </a:ln>
                      </wps:spPr>
                      <wps:txbx>
                        <w:txbxContent>
                          <w:p w14:paraId="6216E613" w14:textId="171BCC71"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56A46" id="Text Box 25" o:spid="_x0000_s1027" type="#_x0000_t202" style="position:absolute;margin-left:-4.05pt;margin-top:705.7pt;width:400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" filled="f" stroked="f" strokeweight=".5pt">
                <v:textbox>
                  <w:txbxContent>
                    <w:p w14:paraId="6216E613" w14:textId="171BCC71"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txbxContent>
                </v:textbox>
              </v:shape>
            </w:pict>
          </mc:Fallback>
        </mc:AlternateContent>
      </w:r>
      <w:r w:rsidR="00825C83">
        <w:rPr>
          <w:noProof/>
        </w:rPr>
        <w:drawing>
          <wp:anchor distT="0" distB="0" distL="114300" distR="114300" simplePos="0" relativeHeight="251657215" behindDoc="1" locked="0" layoutInCell="1" allowOverlap="1" wp14:anchorId="7838AA5C" wp14:editId="7CFDA268">
            <wp:simplePos x="0" y="0"/>
            <wp:positionH relativeFrom="column">
              <wp:posOffset>-364490</wp:posOffset>
            </wp:positionH>
            <wp:positionV relativeFrom="paragraph">
              <wp:posOffset>-434340</wp:posOffset>
            </wp:positionV>
            <wp:extent cx="6885305" cy="10690225"/>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5" r:link="rId16">
                      <a:extLst>
                        <a:ext uri="{28A0092B-C50C-407E-A947-70E740481C1C}">
                          <a14:useLocalDpi xmlns:a14="http://schemas.microsoft.com/office/drawing/2010/main" val="0"/>
                        </a:ext>
                      </a:extLst>
                    </a:blip>
                    <a:stretch>
                      <a:fillRect/>
                    </a:stretch>
                  </pic:blipFill>
                  <pic:spPr>
                    <a:xfrm>
                      <a:off x="0" y="0"/>
                      <a:ext cx="6885305" cy="10690225"/>
                    </a:xfrm>
                    <a:prstGeom prst="rect">
                      <a:avLst/>
                    </a:prstGeom>
                  </pic:spPr>
                </pic:pic>
              </a:graphicData>
            </a:graphic>
            <wp14:sizeRelH relativeFrom="page">
              <wp14:pctWidth>0</wp14:pctWidth>
            </wp14:sizeRelH>
            <wp14:sizeRelV relativeFrom="page">
              <wp14:pctHeight>0</wp14:pctHeight>
            </wp14:sizeRelV>
          </wp:anchor>
        </w:drawing>
      </w:r>
      <w:r w:rsidR="008E3B95">
        <w:rPr>
          <w:noProof/>
          <w:color w:val="000000" w:themeColor="text1"/>
        </w:rPr>
        <w:drawing>
          <wp:anchor distT="0" distB="0" distL="114300" distR="114300" simplePos="0" relativeHeight="251658240" behindDoc="0" locked="0" layoutInCell="1" allowOverlap="1" wp14:anchorId="61CEEF2A" wp14:editId="47E3FB8E">
            <wp:simplePos x="0" y="0"/>
            <wp:positionH relativeFrom="margin">
              <wp:align>left</wp:align>
            </wp:positionH>
            <wp:positionV relativeFrom="paragraph">
              <wp:posOffset>187325</wp:posOffset>
            </wp:positionV>
            <wp:extent cx="1753235" cy="899795"/>
            <wp:effectExtent l="0" t="0" r="0" b="0"/>
            <wp:wrapNone/>
            <wp:docPr id="16" name="Picture 16"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CT Government Logo"/>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53235" cy="899795"/>
                    </a:xfrm>
                    <a:prstGeom prst="rect">
                      <a:avLst/>
                    </a:prstGeom>
                  </pic:spPr>
                </pic:pic>
              </a:graphicData>
            </a:graphic>
            <wp14:sizeRelH relativeFrom="page">
              <wp14:pctWidth>0</wp14:pctWidth>
            </wp14:sizeRelH>
            <wp14:sizeRelV relativeFrom="page">
              <wp14:pctHeight>0</wp14:pctHeight>
            </wp14:sizeRelV>
          </wp:anchor>
        </w:drawing>
      </w:r>
      <w:bookmarkStart w:id="0" w:name="OLE_LINK2"/>
      <w:bookmarkEnd w:id="0"/>
      <w:r w:rsidR="00AF59B7">
        <w:t xml:space="preserve"> </w:t>
      </w:r>
      <w:r w:rsidR="005E69BD">
        <w:br w:type="page"/>
      </w:r>
    </w:p>
    <w:p w14:paraId="44D19E3E" w14:textId="4F18A77C" w:rsidR="00306EC7" w:rsidRPr="00FE0085" w:rsidRDefault="00FE0085" w:rsidP="00B329D3">
      <w:pPr>
        <w:pStyle w:val="Heading1"/>
      </w:pPr>
      <w:r w:rsidRPr="00FE0085">
        <w:lastRenderedPageBreak/>
        <w:t>Background</w:t>
      </w:r>
    </w:p>
    <w:p w14:paraId="48DCD98F" w14:textId="3312CADE" w:rsidR="0096653F" w:rsidRPr="0096653F" w:rsidRDefault="0096653F" w:rsidP="002C3B33">
      <w:pPr>
        <w:spacing w:before="120" w:after="0" w:line="240" w:lineRule="auto"/>
        <w:ind w:right="-454"/>
        <w:rPr>
          <w:color w:val="000000" w:themeColor="text1"/>
          <w:sz w:val="24"/>
          <w:szCs w:val="24"/>
        </w:rPr>
      </w:pPr>
      <w:r w:rsidRPr="0096653F">
        <w:rPr>
          <w:color w:val="000000" w:themeColor="text1"/>
          <w:sz w:val="24"/>
          <w:szCs w:val="24"/>
        </w:rPr>
        <w:t>The ACT Government is committed to a new way of working with the Homelessness sector (the Sector), people with a lived experience of homelessness, and other key stakeholders, to plan for future homelessness service delivery and contractual arrangements. This new way of working together is referred to as ‘Commissioning’.</w:t>
      </w:r>
    </w:p>
    <w:p w14:paraId="4648DFDA" w14:textId="3D42F798" w:rsidR="00FE0085" w:rsidRPr="0096653F" w:rsidRDefault="00FE0085" w:rsidP="002C3B33">
      <w:pPr>
        <w:spacing w:before="120" w:after="0" w:line="240" w:lineRule="auto"/>
        <w:ind w:right="-454"/>
        <w:rPr>
          <w:color w:val="000000" w:themeColor="text1"/>
          <w:sz w:val="24"/>
          <w:szCs w:val="24"/>
        </w:rPr>
      </w:pPr>
      <w:r w:rsidRPr="0096653F">
        <w:rPr>
          <w:color w:val="000000" w:themeColor="text1"/>
          <w:sz w:val="24"/>
          <w:szCs w:val="24"/>
        </w:rPr>
        <w:t>The ACT Government has been working with the ACT homelessness sector as part of a strategic partnership to plan for future homelessness service delivery and contract arrangements post 30 June 2023.</w:t>
      </w:r>
    </w:p>
    <w:p w14:paraId="74C08CD4" w14:textId="3D7E8801" w:rsidR="00FE0085" w:rsidRDefault="00FE0085" w:rsidP="002C3B33">
      <w:pPr>
        <w:spacing w:before="120" w:after="0" w:line="240" w:lineRule="auto"/>
        <w:ind w:right="-454"/>
        <w:rPr>
          <w:i/>
          <w:iCs/>
          <w:color w:val="5B9BD5" w:themeColor="accent1"/>
          <w:sz w:val="24"/>
          <w:szCs w:val="24"/>
        </w:rPr>
      </w:pPr>
      <w:r w:rsidRPr="0096653F">
        <w:rPr>
          <w:color w:val="000000" w:themeColor="text1"/>
          <w:sz w:val="24"/>
          <w:szCs w:val="24"/>
        </w:rPr>
        <w:t>An overview of the Commissioning engagement process undertaken with the homelessness sector, the outcomes and key insights, and record of outputs from engagement can be found in the Homelessness</w:t>
      </w:r>
      <w:r w:rsidRPr="00A85290">
        <w:rPr>
          <w:sz w:val="24"/>
          <w:szCs w:val="24"/>
        </w:rPr>
        <w:t xml:space="preserve"> Commissioning Final Insights report available on the CSD Commissioning website at:  </w:t>
      </w:r>
      <w:hyperlink r:id="rId18" w:history="1">
        <w:bookmarkStart w:id="1" w:name="_Hlk115722737"/>
        <w:r w:rsidRPr="00A85290">
          <w:rPr>
            <w:i/>
            <w:iCs/>
            <w:color w:val="5B9BD5" w:themeColor="accent1"/>
            <w:sz w:val="24"/>
            <w:szCs w:val="24"/>
          </w:rPr>
          <w:t>Homelessness Services - Commissioning (act.gov.a</w:t>
        </w:r>
        <w:bookmarkEnd w:id="1"/>
        <w:r w:rsidRPr="00A85290">
          <w:rPr>
            <w:i/>
            <w:iCs/>
            <w:color w:val="5B9BD5" w:themeColor="accent1"/>
            <w:sz w:val="24"/>
            <w:szCs w:val="24"/>
          </w:rPr>
          <w:t>u)</w:t>
        </w:r>
      </w:hyperlink>
      <w:r w:rsidR="0071373F">
        <w:rPr>
          <w:i/>
          <w:iCs/>
          <w:color w:val="5B9BD5" w:themeColor="accent1"/>
          <w:sz w:val="24"/>
          <w:szCs w:val="24"/>
        </w:rPr>
        <w:t xml:space="preserve"> </w:t>
      </w:r>
    </w:p>
    <w:p w14:paraId="66670554" w14:textId="57D6EB19" w:rsidR="0096653F" w:rsidRDefault="0096653F" w:rsidP="002C3B33">
      <w:pPr>
        <w:spacing w:before="120" w:after="0" w:line="240" w:lineRule="auto"/>
        <w:ind w:right="-454"/>
        <w:rPr>
          <w:i/>
          <w:iCs/>
          <w:color w:val="5B9BD5" w:themeColor="accent1"/>
          <w:sz w:val="24"/>
          <w:szCs w:val="24"/>
        </w:rPr>
      </w:pPr>
      <w:r w:rsidRPr="0096653F">
        <w:rPr>
          <w:color w:val="000000" w:themeColor="text1"/>
          <w:sz w:val="24"/>
          <w:szCs w:val="24"/>
        </w:rPr>
        <w:t xml:space="preserve">Building on the key insights from the Commissioning engagement, the Community Services Directorate (CSD) has commenced the next phase of commissioning and developed </w:t>
      </w:r>
      <w:r>
        <w:rPr>
          <w:color w:val="000000" w:themeColor="text1"/>
          <w:sz w:val="24"/>
          <w:szCs w:val="24"/>
        </w:rPr>
        <w:t>a</w:t>
      </w:r>
      <w:r w:rsidRPr="0096653F">
        <w:rPr>
          <w:color w:val="000000" w:themeColor="text1"/>
          <w:sz w:val="24"/>
          <w:szCs w:val="24"/>
        </w:rPr>
        <w:t xml:space="preserve"> Strategic Investment Plan </w:t>
      </w:r>
      <w:r w:rsidR="00C27BF7">
        <w:rPr>
          <w:color w:val="000000" w:themeColor="text1"/>
          <w:sz w:val="24"/>
          <w:szCs w:val="24"/>
        </w:rPr>
        <w:t xml:space="preserve">for the Homelessness Sector </w:t>
      </w:r>
      <w:r w:rsidRPr="0096653F">
        <w:rPr>
          <w:color w:val="000000" w:themeColor="text1"/>
          <w:sz w:val="24"/>
          <w:szCs w:val="24"/>
        </w:rPr>
        <w:t xml:space="preserve">(Plan). This Plan outlines the intentions of how Government proposes to invest in the Sector, provides key information including the proposed approach and indicative timeframes for the ‘invest’ phase - the 4th phase of the commissioning cycle. This next phase is due to commence in November 2022, as we seek to ensure the Sector is viable and sustainable for the next decade through to 2033/34. </w:t>
      </w:r>
      <w:r>
        <w:rPr>
          <w:color w:val="000000" w:themeColor="text1"/>
          <w:sz w:val="24"/>
          <w:szCs w:val="24"/>
        </w:rPr>
        <w:t xml:space="preserve">The Plan is available at </w:t>
      </w:r>
      <w:hyperlink r:id="rId19" w:history="1">
        <w:r w:rsidRPr="00A85290">
          <w:rPr>
            <w:i/>
            <w:iCs/>
            <w:color w:val="5B9BD5" w:themeColor="accent1"/>
            <w:sz w:val="24"/>
            <w:szCs w:val="24"/>
          </w:rPr>
          <w:t>Homelessness Services - Commissioning (act.gov.au)</w:t>
        </w:r>
      </w:hyperlink>
      <w:r>
        <w:rPr>
          <w:i/>
          <w:iCs/>
          <w:color w:val="5B9BD5" w:themeColor="accent1"/>
          <w:sz w:val="24"/>
          <w:szCs w:val="24"/>
        </w:rPr>
        <w:t xml:space="preserve"> </w:t>
      </w:r>
    </w:p>
    <w:p w14:paraId="322ABE9F" w14:textId="77777777" w:rsidR="0096653F" w:rsidRDefault="0096653F" w:rsidP="002C3B33">
      <w:pPr>
        <w:spacing w:before="120" w:after="0" w:line="240" w:lineRule="auto"/>
        <w:ind w:right="-454"/>
        <w:rPr>
          <w:color w:val="000000" w:themeColor="text1"/>
          <w:sz w:val="24"/>
          <w:szCs w:val="24"/>
        </w:rPr>
      </w:pPr>
    </w:p>
    <w:p w14:paraId="650E7F14" w14:textId="4FBB6827" w:rsidR="00FE5BE0" w:rsidRPr="00FE0085" w:rsidRDefault="00FE5BE0" w:rsidP="00B329D3">
      <w:pPr>
        <w:pStyle w:val="Heading1"/>
      </w:pPr>
      <w:r w:rsidRPr="00FE0085">
        <w:t xml:space="preserve">What </w:t>
      </w:r>
      <w:r>
        <w:t xml:space="preserve">was considered during the </w:t>
      </w:r>
      <w:r w:rsidR="0096653F">
        <w:t>Commissioning Engagement Phase</w:t>
      </w:r>
    </w:p>
    <w:p w14:paraId="171EF16A" w14:textId="007F4E66" w:rsidR="0096653F" w:rsidRDefault="0096653F" w:rsidP="002C3B33">
      <w:pPr>
        <w:spacing w:before="120" w:after="0" w:line="240" w:lineRule="auto"/>
        <w:ind w:right="-454"/>
        <w:rPr>
          <w:color w:val="000000" w:themeColor="text1"/>
          <w:sz w:val="24"/>
          <w:szCs w:val="24"/>
        </w:rPr>
      </w:pPr>
      <w:r w:rsidRPr="0096653F">
        <w:rPr>
          <w:color w:val="000000" w:themeColor="text1"/>
          <w:sz w:val="24"/>
          <w:szCs w:val="24"/>
        </w:rPr>
        <w:t xml:space="preserve">The Commissioning engagement phase confirmed the need for a range of services to support people at risk of or experiencing homelessness. This phase also highlighted the value of several new initiatives, such as the Client Support Fund, which although introduced as a crisis response to the global pandemic, has an ongoing role in meeting community need.  The findings of this phase are summarised </w:t>
      </w:r>
      <w:r>
        <w:rPr>
          <w:color w:val="000000" w:themeColor="text1"/>
          <w:sz w:val="24"/>
          <w:szCs w:val="24"/>
        </w:rPr>
        <w:t>in The Plan and include:</w:t>
      </w:r>
    </w:p>
    <w:p w14:paraId="2EEF4FAF" w14:textId="595FEEE0" w:rsidR="0096653F" w:rsidRDefault="0096653F" w:rsidP="002C3B33">
      <w:pPr>
        <w:pStyle w:val="ListParagraph"/>
        <w:numPr>
          <w:ilvl w:val="0"/>
          <w:numId w:val="26"/>
        </w:numPr>
        <w:spacing w:before="120" w:after="0" w:line="240" w:lineRule="auto"/>
        <w:ind w:right="-454"/>
        <w:contextualSpacing w:val="0"/>
        <w:rPr>
          <w:color w:val="000000" w:themeColor="text1"/>
          <w:sz w:val="24"/>
          <w:szCs w:val="24"/>
        </w:rPr>
      </w:pPr>
      <w:r>
        <w:rPr>
          <w:color w:val="000000" w:themeColor="text1"/>
          <w:sz w:val="24"/>
          <w:szCs w:val="24"/>
        </w:rPr>
        <w:t xml:space="preserve">the ACT needs a sustainable, vibrant and diverse </w:t>
      </w:r>
      <w:proofErr w:type="gramStart"/>
      <w:r>
        <w:rPr>
          <w:color w:val="000000" w:themeColor="text1"/>
          <w:sz w:val="24"/>
          <w:szCs w:val="24"/>
        </w:rPr>
        <w:t>Sector;</w:t>
      </w:r>
      <w:proofErr w:type="gramEnd"/>
    </w:p>
    <w:p w14:paraId="3A611269" w14:textId="1CF632B5" w:rsidR="0096653F" w:rsidRDefault="0096653F" w:rsidP="002C3B33">
      <w:pPr>
        <w:pStyle w:val="ListParagraph"/>
        <w:numPr>
          <w:ilvl w:val="0"/>
          <w:numId w:val="26"/>
        </w:numPr>
        <w:spacing w:before="120" w:after="0" w:line="240" w:lineRule="auto"/>
        <w:ind w:right="-454"/>
        <w:contextualSpacing w:val="0"/>
        <w:rPr>
          <w:color w:val="000000" w:themeColor="text1"/>
          <w:sz w:val="24"/>
          <w:szCs w:val="24"/>
        </w:rPr>
      </w:pPr>
      <w:r>
        <w:rPr>
          <w:color w:val="000000" w:themeColor="text1"/>
          <w:sz w:val="24"/>
          <w:szCs w:val="24"/>
        </w:rPr>
        <w:t>great flexibility;</w:t>
      </w:r>
    </w:p>
    <w:p w14:paraId="03E3AC40" w14:textId="3172EF25" w:rsidR="0096653F" w:rsidRDefault="0096653F" w:rsidP="002C3B33">
      <w:pPr>
        <w:pStyle w:val="ListParagraph"/>
        <w:numPr>
          <w:ilvl w:val="0"/>
          <w:numId w:val="26"/>
        </w:numPr>
        <w:spacing w:before="120" w:after="0" w:line="240" w:lineRule="auto"/>
        <w:ind w:right="-454"/>
        <w:contextualSpacing w:val="0"/>
        <w:rPr>
          <w:color w:val="000000" w:themeColor="text1"/>
          <w:sz w:val="24"/>
          <w:szCs w:val="24"/>
        </w:rPr>
      </w:pPr>
      <w:r>
        <w:rPr>
          <w:color w:val="000000" w:themeColor="text1"/>
          <w:sz w:val="24"/>
          <w:szCs w:val="24"/>
        </w:rPr>
        <w:t>integrated and co-ordinated approach;</w:t>
      </w:r>
    </w:p>
    <w:p w14:paraId="66681741" w14:textId="5C00380B" w:rsidR="0096653F" w:rsidRDefault="0096653F" w:rsidP="002C3B33">
      <w:pPr>
        <w:pStyle w:val="ListParagraph"/>
        <w:numPr>
          <w:ilvl w:val="0"/>
          <w:numId w:val="26"/>
        </w:numPr>
        <w:spacing w:before="120" w:after="0" w:line="240" w:lineRule="auto"/>
        <w:ind w:right="-454"/>
        <w:contextualSpacing w:val="0"/>
        <w:rPr>
          <w:color w:val="000000" w:themeColor="text1"/>
          <w:sz w:val="24"/>
          <w:szCs w:val="24"/>
        </w:rPr>
      </w:pPr>
      <w:r>
        <w:rPr>
          <w:color w:val="000000" w:themeColor="text1"/>
          <w:sz w:val="24"/>
          <w:szCs w:val="24"/>
        </w:rPr>
        <w:t>increased early support – reducing barriers;</w:t>
      </w:r>
    </w:p>
    <w:p w14:paraId="41E593A0" w14:textId="188F4A0E" w:rsidR="0096653F" w:rsidRDefault="0096653F" w:rsidP="002C3B33">
      <w:pPr>
        <w:pStyle w:val="ListParagraph"/>
        <w:numPr>
          <w:ilvl w:val="0"/>
          <w:numId w:val="26"/>
        </w:numPr>
        <w:spacing w:before="120" w:after="0" w:line="240" w:lineRule="auto"/>
        <w:ind w:right="-454"/>
        <w:contextualSpacing w:val="0"/>
        <w:rPr>
          <w:color w:val="000000" w:themeColor="text1"/>
          <w:sz w:val="24"/>
          <w:szCs w:val="24"/>
        </w:rPr>
      </w:pPr>
      <w:r>
        <w:rPr>
          <w:color w:val="000000" w:themeColor="text1"/>
          <w:sz w:val="24"/>
          <w:szCs w:val="24"/>
        </w:rPr>
        <w:t>need for more social, community and affordable housing options;</w:t>
      </w:r>
    </w:p>
    <w:p w14:paraId="6D0F2C98" w14:textId="4B74FFAD" w:rsidR="0096653F" w:rsidRDefault="0096653F" w:rsidP="002C3B33">
      <w:pPr>
        <w:pStyle w:val="ListParagraph"/>
        <w:numPr>
          <w:ilvl w:val="0"/>
          <w:numId w:val="26"/>
        </w:numPr>
        <w:spacing w:before="120" w:after="0" w:line="240" w:lineRule="auto"/>
        <w:ind w:right="-454"/>
        <w:contextualSpacing w:val="0"/>
        <w:rPr>
          <w:color w:val="000000" w:themeColor="text1"/>
          <w:sz w:val="24"/>
          <w:szCs w:val="24"/>
        </w:rPr>
      </w:pPr>
      <w:r>
        <w:rPr>
          <w:color w:val="000000" w:themeColor="text1"/>
          <w:sz w:val="24"/>
          <w:szCs w:val="24"/>
        </w:rPr>
        <w:t>support for complex and vulnerable clients;</w:t>
      </w:r>
    </w:p>
    <w:p w14:paraId="71E5B93B" w14:textId="41C17D71" w:rsidR="0096653F" w:rsidRDefault="0096653F" w:rsidP="002C3B33">
      <w:pPr>
        <w:pStyle w:val="ListParagraph"/>
        <w:numPr>
          <w:ilvl w:val="0"/>
          <w:numId w:val="26"/>
        </w:numPr>
        <w:spacing w:before="120" w:after="0" w:line="240" w:lineRule="auto"/>
        <w:ind w:right="-454"/>
        <w:contextualSpacing w:val="0"/>
        <w:rPr>
          <w:color w:val="000000" w:themeColor="text1"/>
          <w:sz w:val="24"/>
          <w:szCs w:val="24"/>
        </w:rPr>
      </w:pPr>
      <w:r>
        <w:rPr>
          <w:color w:val="000000" w:themeColor="text1"/>
          <w:sz w:val="24"/>
          <w:szCs w:val="24"/>
        </w:rPr>
        <w:t>inclusive and culturally sensitive services; and</w:t>
      </w:r>
    </w:p>
    <w:p w14:paraId="001EFEE1" w14:textId="6263B521" w:rsidR="0096653F" w:rsidRDefault="0096653F" w:rsidP="002C3B33">
      <w:pPr>
        <w:pStyle w:val="ListParagraph"/>
        <w:numPr>
          <w:ilvl w:val="0"/>
          <w:numId w:val="26"/>
        </w:numPr>
        <w:spacing w:before="120" w:after="0" w:line="240" w:lineRule="auto"/>
        <w:ind w:right="-454"/>
        <w:contextualSpacing w:val="0"/>
        <w:rPr>
          <w:color w:val="000000" w:themeColor="text1"/>
          <w:sz w:val="24"/>
          <w:szCs w:val="24"/>
        </w:rPr>
      </w:pPr>
      <w:r>
        <w:rPr>
          <w:color w:val="000000" w:themeColor="text1"/>
          <w:sz w:val="24"/>
          <w:szCs w:val="24"/>
        </w:rPr>
        <w:t xml:space="preserve">system enhancement and improved data collection </w:t>
      </w:r>
    </w:p>
    <w:p w14:paraId="26288E41" w14:textId="245E0638" w:rsidR="0096653F" w:rsidRDefault="0096653F" w:rsidP="002C3B33">
      <w:pPr>
        <w:pStyle w:val="ListParagraph"/>
        <w:numPr>
          <w:ilvl w:val="0"/>
          <w:numId w:val="26"/>
        </w:numPr>
        <w:spacing w:before="120" w:after="0" w:line="240" w:lineRule="auto"/>
        <w:ind w:right="-454"/>
        <w:contextualSpacing w:val="0"/>
        <w:rPr>
          <w:color w:val="000000" w:themeColor="text1"/>
          <w:sz w:val="24"/>
          <w:szCs w:val="24"/>
        </w:rPr>
      </w:pPr>
      <w:r>
        <w:rPr>
          <w:color w:val="000000" w:themeColor="text1"/>
          <w:sz w:val="24"/>
          <w:szCs w:val="24"/>
        </w:rPr>
        <w:t>continued government commitment to:</w:t>
      </w:r>
    </w:p>
    <w:p w14:paraId="462158B4" w14:textId="1A2609DB" w:rsidR="0096653F" w:rsidRDefault="0096653F" w:rsidP="002C3B33">
      <w:pPr>
        <w:pStyle w:val="ListParagraph"/>
        <w:numPr>
          <w:ilvl w:val="1"/>
          <w:numId w:val="26"/>
        </w:numPr>
        <w:spacing w:before="120" w:after="0" w:line="240" w:lineRule="auto"/>
        <w:ind w:right="-454"/>
        <w:contextualSpacing w:val="0"/>
        <w:rPr>
          <w:color w:val="000000" w:themeColor="text1"/>
          <w:sz w:val="24"/>
          <w:szCs w:val="24"/>
        </w:rPr>
      </w:pPr>
      <w:r>
        <w:rPr>
          <w:color w:val="000000" w:themeColor="text1"/>
          <w:sz w:val="24"/>
          <w:szCs w:val="24"/>
        </w:rPr>
        <w:t>Aboriginal Community Controlled Organisations (ACCOs)</w:t>
      </w:r>
    </w:p>
    <w:p w14:paraId="32941E7B" w14:textId="14391322" w:rsidR="0096653F" w:rsidRPr="0096653F" w:rsidRDefault="0096653F" w:rsidP="002C3B33">
      <w:pPr>
        <w:pStyle w:val="ListParagraph"/>
        <w:numPr>
          <w:ilvl w:val="1"/>
          <w:numId w:val="26"/>
        </w:numPr>
        <w:spacing w:before="120" w:after="0" w:line="240" w:lineRule="auto"/>
        <w:ind w:right="-454"/>
        <w:contextualSpacing w:val="0"/>
        <w:rPr>
          <w:color w:val="000000" w:themeColor="text1"/>
          <w:sz w:val="24"/>
          <w:szCs w:val="24"/>
        </w:rPr>
      </w:pPr>
      <w:r>
        <w:rPr>
          <w:color w:val="000000" w:themeColor="text1"/>
          <w:sz w:val="24"/>
          <w:szCs w:val="24"/>
        </w:rPr>
        <w:t>Community Participation Approach and Implementation Framework.</w:t>
      </w:r>
    </w:p>
    <w:p w14:paraId="731E9FBE" w14:textId="40B1AE74" w:rsidR="00FE5BE0" w:rsidRDefault="00FE5BE0" w:rsidP="002C3B33">
      <w:pPr>
        <w:spacing w:before="120" w:after="0" w:line="240" w:lineRule="auto"/>
        <w:ind w:right="-454"/>
        <w:rPr>
          <w:color w:val="000000" w:themeColor="text1"/>
          <w:sz w:val="24"/>
          <w:szCs w:val="24"/>
        </w:rPr>
      </w:pPr>
      <w:r w:rsidRPr="00FE0085">
        <w:rPr>
          <w:color w:val="000000" w:themeColor="text1"/>
          <w:sz w:val="24"/>
          <w:szCs w:val="24"/>
        </w:rPr>
        <w:lastRenderedPageBreak/>
        <w:t xml:space="preserve">The Community Services Directorate, Housing ACT </w:t>
      </w:r>
      <w:r w:rsidR="00D4447F">
        <w:rPr>
          <w:color w:val="000000" w:themeColor="text1"/>
          <w:sz w:val="24"/>
          <w:szCs w:val="24"/>
        </w:rPr>
        <w:t xml:space="preserve">(Directorate) </w:t>
      </w:r>
      <w:r w:rsidRPr="00FE0085">
        <w:rPr>
          <w:color w:val="000000" w:themeColor="text1"/>
          <w:sz w:val="24"/>
          <w:szCs w:val="24"/>
        </w:rPr>
        <w:t xml:space="preserve">has listened and incorporated the feedback from the </w:t>
      </w:r>
      <w:r w:rsidR="0096653F">
        <w:rPr>
          <w:color w:val="000000" w:themeColor="text1"/>
          <w:sz w:val="24"/>
          <w:szCs w:val="24"/>
        </w:rPr>
        <w:t>c</w:t>
      </w:r>
      <w:r w:rsidRPr="00FE0085">
        <w:rPr>
          <w:color w:val="000000" w:themeColor="text1"/>
          <w:sz w:val="24"/>
          <w:szCs w:val="24"/>
        </w:rPr>
        <w:t xml:space="preserve">ommissioning </w:t>
      </w:r>
      <w:r w:rsidR="0096653F">
        <w:rPr>
          <w:color w:val="000000" w:themeColor="text1"/>
          <w:sz w:val="24"/>
          <w:szCs w:val="24"/>
        </w:rPr>
        <w:t>e</w:t>
      </w:r>
      <w:r w:rsidRPr="00FE0085">
        <w:rPr>
          <w:color w:val="000000" w:themeColor="text1"/>
          <w:sz w:val="24"/>
          <w:szCs w:val="24"/>
        </w:rPr>
        <w:t xml:space="preserve">ngagement </w:t>
      </w:r>
      <w:r w:rsidR="0096653F">
        <w:rPr>
          <w:color w:val="000000" w:themeColor="text1"/>
          <w:sz w:val="24"/>
          <w:szCs w:val="24"/>
        </w:rPr>
        <w:t>phase</w:t>
      </w:r>
      <w:r>
        <w:rPr>
          <w:color w:val="000000" w:themeColor="text1"/>
          <w:sz w:val="24"/>
          <w:szCs w:val="24"/>
        </w:rPr>
        <w:t xml:space="preserve">. </w:t>
      </w:r>
    </w:p>
    <w:p w14:paraId="2160CB0A" w14:textId="4E4439EA" w:rsidR="00FE0085" w:rsidRPr="00FE0085" w:rsidRDefault="00FE0085" w:rsidP="00B329D3">
      <w:pPr>
        <w:pStyle w:val="Heading1"/>
      </w:pPr>
      <w:r w:rsidRPr="00FE0085">
        <w:t xml:space="preserve">What will the </w:t>
      </w:r>
      <w:r w:rsidR="0096653F">
        <w:t>Invest Phase</w:t>
      </w:r>
      <w:r w:rsidRPr="00FE0085">
        <w:t xml:space="preserve"> look like for specialist homelessness services?</w:t>
      </w:r>
    </w:p>
    <w:p w14:paraId="5EFBA44A" w14:textId="77777777" w:rsidR="0096653F" w:rsidRPr="002C3B33" w:rsidRDefault="0096653F" w:rsidP="002C3B33">
      <w:pPr>
        <w:spacing w:before="120" w:after="0" w:line="240" w:lineRule="auto"/>
        <w:ind w:right="-454"/>
        <w:rPr>
          <w:sz w:val="24"/>
          <w:szCs w:val="24"/>
        </w:rPr>
      </w:pPr>
      <w:r w:rsidRPr="002C3B33">
        <w:rPr>
          <w:sz w:val="24"/>
          <w:szCs w:val="24"/>
        </w:rPr>
        <w:t>To support a transition to Commissioning, the ACT Government previously extended the contracts of current homelessness service providers to 30 June 2023, so that all parties could continue to work together through the engagement and invest phases of commissioning.</w:t>
      </w:r>
    </w:p>
    <w:p w14:paraId="76DAA47D" w14:textId="7041724A" w:rsidR="0096653F" w:rsidRPr="002C3B33" w:rsidRDefault="0096653F" w:rsidP="002C3B33">
      <w:pPr>
        <w:spacing w:before="120" w:after="0" w:line="240" w:lineRule="auto"/>
        <w:ind w:right="-454"/>
        <w:rPr>
          <w:sz w:val="24"/>
          <w:szCs w:val="24"/>
        </w:rPr>
      </w:pPr>
      <w:r w:rsidRPr="002C3B33">
        <w:rPr>
          <w:sz w:val="24"/>
          <w:szCs w:val="24"/>
        </w:rPr>
        <w:t xml:space="preserve">Invest phase is about how the government allocates funding and resources (such as </w:t>
      </w:r>
      <w:r w:rsidR="00E30E39" w:rsidRPr="002C3B33">
        <w:rPr>
          <w:sz w:val="24"/>
          <w:szCs w:val="24"/>
        </w:rPr>
        <w:t>head leased</w:t>
      </w:r>
      <w:r w:rsidRPr="002C3B33">
        <w:rPr>
          <w:sz w:val="24"/>
          <w:szCs w:val="24"/>
        </w:rPr>
        <w:t xml:space="preserve"> properties) to the sector and may involve a mix of direct, </w:t>
      </w:r>
      <w:proofErr w:type="gramStart"/>
      <w:r w:rsidRPr="002C3B33">
        <w:rPr>
          <w:sz w:val="24"/>
          <w:szCs w:val="24"/>
        </w:rPr>
        <w:t>select</w:t>
      </w:r>
      <w:proofErr w:type="gramEnd"/>
      <w:r w:rsidRPr="002C3B33">
        <w:rPr>
          <w:sz w:val="24"/>
          <w:szCs w:val="24"/>
        </w:rPr>
        <w:t xml:space="preserve"> or open grants/tenders. Assessment of the applications will help determine which services will best meet client needs and represent value for money to the Canberra Community.</w:t>
      </w:r>
    </w:p>
    <w:p w14:paraId="236DCCF6" w14:textId="3CE5480C" w:rsidR="0096653F" w:rsidRPr="002C3B33" w:rsidRDefault="0096653F" w:rsidP="002C3B33">
      <w:pPr>
        <w:spacing w:before="120" w:after="0" w:line="240" w:lineRule="auto"/>
        <w:ind w:right="-454"/>
        <w:rPr>
          <w:sz w:val="24"/>
          <w:szCs w:val="24"/>
        </w:rPr>
      </w:pPr>
      <w:r w:rsidRPr="002C3B33">
        <w:rPr>
          <w:sz w:val="24"/>
          <w:szCs w:val="24"/>
        </w:rPr>
        <w:t xml:space="preserve">The priorities for the invest phase have been developed to ensure that Commissioning will provide greater opportunities for innovation by adopting an integrated, partnered approach to investment in </w:t>
      </w:r>
      <w:proofErr w:type="gramStart"/>
      <w:r w:rsidRPr="002C3B33">
        <w:rPr>
          <w:sz w:val="24"/>
          <w:szCs w:val="24"/>
        </w:rPr>
        <w:t>services</w:t>
      </w:r>
      <w:proofErr w:type="gramEnd"/>
    </w:p>
    <w:p w14:paraId="4FDFC7B5" w14:textId="034C9458" w:rsidR="005C564F" w:rsidRPr="002C3B33" w:rsidRDefault="00734CBB" w:rsidP="002C3B33">
      <w:pPr>
        <w:spacing w:before="120" w:after="0" w:line="240" w:lineRule="auto"/>
        <w:ind w:right="-454"/>
        <w:rPr>
          <w:sz w:val="24"/>
          <w:szCs w:val="24"/>
        </w:rPr>
      </w:pPr>
      <w:r w:rsidRPr="002C3B33">
        <w:rPr>
          <w:sz w:val="24"/>
          <w:szCs w:val="24"/>
        </w:rPr>
        <w:t>T</w:t>
      </w:r>
      <w:r w:rsidR="005C564F" w:rsidRPr="002C3B33">
        <w:rPr>
          <w:sz w:val="24"/>
          <w:szCs w:val="24"/>
        </w:rPr>
        <w:t>he commissioning process provides the opportunity to review and reset service models to meet current and future needs and gaps in the homelessness sector</w:t>
      </w:r>
      <w:r w:rsidR="00BE50C2" w:rsidRPr="002C3B33">
        <w:rPr>
          <w:sz w:val="24"/>
          <w:szCs w:val="24"/>
        </w:rPr>
        <w:t xml:space="preserve"> </w:t>
      </w:r>
      <w:r w:rsidR="00BD5395" w:rsidRPr="002C3B33">
        <w:rPr>
          <w:sz w:val="24"/>
          <w:szCs w:val="24"/>
        </w:rPr>
        <w:t xml:space="preserve">and </w:t>
      </w:r>
      <w:r w:rsidR="005C564F" w:rsidRPr="002C3B33">
        <w:rPr>
          <w:sz w:val="24"/>
          <w:szCs w:val="24"/>
        </w:rPr>
        <w:t xml:space="preserve">provides opportunity for economies of scale and value for money.  </w:t>
      </w:r>
    </w:p>
    <w:p w14:paraId="3CD7DEF3" w14:textId="77777777" w:rsidR="001245C8" w:rsidRPr="001245C8" w:rsidRDefault="001245C8" w:rsidP="002C3B33">
      <w:pPr>
        <w:spacing w:before="120" w:after="0" w:line="240" w:lineRule="auto"/>
        <w:rPr>
          <w:sz w:val="24"/>
          <w:szCs w:val="24"/>
        </w:rPr>
      </w:pPr>
      <w:r w:rsidRPr="001245C8">
        <w:rPr>
          <w:sz w:val="24"/>
          <w:szCs w:val="24"/>
        </w:rPr>
        <w:t xml:space="preserve">Through Commissioning engagement, it was jointly agreed a streamlined investment approach was required to address the needs and gaps in the Sector. This streamlined investment will enable available funding to target specific services and provide better value to clients and organisations while achieving overall Sector outcomes.  </w:t>
      </w:r>
    </w:p>
    <w:p w14:paraId="2C2EEF67" w14:textId="6160F98D" w:rsidR="001245C8" w:rsidRPr="001245C8" w:rsidRDefault="001245C8" w:rsidP="002C3B33">
      <w:pPr>
        <w:spacing w:before="120" w:after="0" w:line="240" w:lineRule="auto"/>
        <w:rPr>
          <w:sz w:val="24"/>
          <w:szCs w:val="24"/>
        </w:rPr>
      </w:pPr>
      <w:r w:rsidRPr="001245C8">
        <w:rPr>
          <w:sz w:val="24"/>
          <w:szCs w:val="24"/>
        </w:rPr>
        <w:t>A more tailored investment approach, as outlined below, informed by key insights and outcomes of the Commissioning engagement phase will be delivered. Five key approaches to investing in the delivery of services are proposed; including:</w:t>
      </w:r>
    </w:p>
    <w:p w14:paraId="1FA31537" w14:textId="77777777" w:rsidR="001245C8" w:rsidRPr="001245C8" w:rsidRDefault="001245C8" w:rsidP="002C3B33">
      <w:pPr>
        <w:numPr>
          <w:ilvl w:val="0"/>
          <w:numId w:val="27"/>
        </w:numPr>
        <w:spacing w:before="120" w:after="0" w:line="240" w:lineRule="auto"/>
        <w:ind w:left="717" w:hanging="357"/>
        <w:rPr>
          <w:sz w:val="24"/>
          <w:szCs w:val="24"/>
        </w:rPr>
      </w:pPr>
      <w:r w:rsidRPr="001245C8">
        <w:rPr>
          <w:b/>
          <w:bCs/>
          <w:color w:val="000000" w:themeColor="text1"/>
          <w:sz w:val="24"/>
          <w:szCs w:val="24"/>
        </w:rPr>
        <w:t>Direct approach grant</w:t>
      </w:r>
      <w:r w:rsidRPr="001245C8">
        <w:rPr>
          <w:color w:val="000000" w:themeColor="text1"/>
          <w:sz w:val="24"/>
          <w:szCs w:val="24"/>
        </w:rPr>
        <w:t xml:space="preserve"> </w:t>
      </w:r>
      <w:r w:rsidRPr="001245C8">
        <w:rPr>
          <w:rFonts w:asciiTheme="minorHAnsi" w:eastAsiaTheme="minorHAnsi" w:hAnsiTheme="minorHAnsi" w:cstheme="minorHAnsi"/>
          <w:bCs/>
          <w:kern w:val="28"/>
          <w:sz w:val="24"/>
          <w:szCs w:val="24"/>
        </w:rPr>
        <w:t>is an individual invitation to a specific provider to submit a grant application</w:t>
      </w:r>
      <w:r w:rsidRPr="001245C8">
        <w:rPr>
          <w:rFonts w:asciiTheme="minorHAnsi" w:eastAsiaTheme="minorHAnsi" w:hAnsiTheme="minorHAnsi" w:cstheme="minorHAnsi"/>
          <w:bCs/>
          <w:color w:val="FF0000"/>
          <w:kern w:val="28"/>
          <w:sz w:val="24"/>
          <w:szCs w:val="24"/>
        </w:rPr>
        <w:t xml:space="preserve"> </w:t>
      </w:r>
      <w:r w:rsidRPr="001245C8">
        <w:rPr>
          <w:rFonts w:asciiTheme="minorHAnsi" w:eastAsiaTheme="minorHAnsi" w:hAnsiTheme="minorHAnsi" w:cstheme="minorHAnsi"/>
          <w:bCs/>
          <w:kern w:val="28"/>
          <w:sz w:val="24"/>
          <w:szCs w:val="24"/>
        </w:rPr>
        <w:t>to deliver a specified service(s).  There will be multiple invitations.</w:t>
      </w:r>
    </w:p>
    <w:p w14:paraId="4E71ADCE" w14:textId="77777777" w:rsidR="001245C8" w:rsidRPr="001245C8" w:rsidRDefault="001245C8" w:rsidP="002C3B33">
      <w:pPr>
        <w:numPr>
          <w:ilvl w:val="0"/>
          <w:numId w:val="27"/>
        </w:numPr>
        <w:spacing w:before="120" w:after="0" w:line="240" w:lineRule="auto"/>
        <w:ind w:left="717" w:hanging="357"/>
        <w:rPr>
          <w:rFonts w:asciiTheme="minorHAnsi" w:eastAsiaTheme="minorHAnsi" w:hAnsiTheme="minorHAnsi" w:cstheme="minorHAnsi"/>
          <w:kern w:val="28"/>
          <w:sz w:val="24"/>
          <w:szCs w:val="24"/>
        </w:rPr>
      </w:pPr>
      <w:r w:rsidRPr="001245C8">
        <w:rPr>
          <w:b/>
          <w:bCs/>
          <w:color w:val="000000" w:themeColor="text1"/>
          <w:sz w:val="24"/>
          <w:szCs w:val="24"/>
        </w:rPr>
        <w:t xml:space="preserve">Select approach grants </w:t>
      </w:r>
      <w:r w:rsidRPr="001245C8">
        <w:rPr>
          <w:color w:val="000000" w:themeColor="text1"/>
          <w:sz w:val="24"/>
          <w:szCs w:val="24"/>
        </w:rPr>
        <w:t>involve</w:t>
      </w:r>
      <w:r w:rsidRPr="001245C8">
        <w:rPr>
          <w:rFonts w:asciiTheme="minorHAnsi" w:eastAsiaTheme="minorHAnsi" w:hAnsiTheme="minorHAnsi" w:cstheme="minorHAnsi"/>
          <w:kern w:val="28"/>
          <w:sz w:val="24"/>
          <w:szCs w:val="24"/>
        </w:rPr>
        <w:t xml:space="preserve"> </w:t>
      </w:r>
      <w:r w:rsidRPr="001245C8">
        <w:rPr>
          <w:rFonts w:asciiTheme="minorHAnsi" w:eastAsiaTheme="minorHAnsi" w:hAnsiTheme="minorHAnsi" w:cstheme="minorHAnsi"/>
          <w:bCs/>
          <w:kern w:val="28"/>
          <w:sz w:val="24"/>
          <w:szCs w:val="24"/>
        </w:rPr>
        <w:t>inviting several organisations to submit a grant application(s) for a limited number of service programs.</w:t>
      </w:r>
    </w:p>
    <w:p w14:paraId="7A2594F8" w14:textId="77777777" w:rsidR="001245C8" w:rsidRPr="001245C8" w:rsidRDefault="001245C8" w:rsidP="002C3B33">
      <w:pPr>
        <w:numPr>
          <w:ilvl w:val="0"/>
          <w:numId w:val="27"/>
        </w:numPr>
        <w:spacing w:before="120" w:after="0" w:line="240" w:lineRule="auto"/>
        <w:ind w:left="717" w:hanging="357"/>
        <w:rPr>
          <w:sz w:val="24"/>
          <w:szCs w:val="24"/>
        </w:rPr>
      </w:pPr>
      <w:r w:rsidRPr="001245C8">
        <w:rPr>
          <w:b/>
          <w:bCs/>
          <w:sz w:val="24"/>
          <w:szCs w:val="24"/>
        </w:rPr>
        <w:t>Open grant or open tenders</w:t>
      </w:r>
      <w:r w:rsidRPr="001245C8">
        <w:rPr>
          <w:sz w:val="24"/>
          <w:szCs w:val="24"/>
        </w:rPr>
        <w:t xml:space="preserve"> are familiar to the Sector and issued </w:t>
      </w:r>
      <w:r w:rsidRPr="001245C8">
        <w:rPr>
          <w:color w:val="000000" w:themeColor="text1"/>
          <w:sz w:val="24"/>
          <w:szCs w:val="24"/>
        </w:rPr>
        <w:t>through TendersACT or the ACT Government Grants website.</w:t>
      </w:r>
    </w:p>
    <w:p w14:paraId="0ED0E5D5" w14:textId="77777777" w:rsidR="001245C8" w:rsidRPr="001245C8" w:rsidRDefault="001245C8" w:rsidP="002C3B33">
      <w:pPr>
        <w:numPr>
          <w:ilvl w:val="0"/>
          <w:numId w:val="27"/>
        </w:numPr>
        <w:spacing w:before="120" w:after="0" w:line="240" w:lineRule="auto"/>
        <w:ind w:left="717" w:hanging="357"/>
        <w:rPr>
          <w:color w:val="000000" w:themeColor="text1"/>
          <w:sz w:val="24"/>
          <w:szCs w:val="24"/>
        </w:rPr>
      </w:pPr>
      <w:r w:rsidRPr="001245C8">
        <w:rPr>
          <w:b/>
          <w:bCs/>
          <w:color w:val="000000" w:themeColor="text1"/>
          <w:sz w:val="24"/>
          <w:szCs w:val="24"/>
        </w:rPr>
        <w:t>General support services</w:t>
      </w:r>
      <w:r w:rsidRPr="001245C8">
        <w:rPr>
          <w:color w:val="000000" w:themeColor="text1"/>
          <w:sz w:val="24"/>
          <w:szCs w:val="24"/>
        </w:rPr>
        <w:t xml:space="preserve"> </w:t>
      </w:r>
      <w:r w:rsidRPr="001245C8">
        <w:rPr>
          <w:b/>
          <w:bCs/>
          <w:color w:val="000000" w:themeColor="text1"/>
          <w:sz w:val="24"/>
          <w:szCs w:val="24"/>
        </w:rPr>
        <w:t>extensions</w:t>
      </w:r>
      <w:r w:rsidRPr="001245C8">
        <w:rPr>
          <w:color w:val="000000" w:themeColor="text1"/>
          <w:sz w:val="24"/>
          <w:szCs w:val="24"/>
        </w:rPr>
        <w:t xml:space="preserve"> involve a small number of general support services contracts being extended for 12-months to align to their other service programs within CSD. These programs will be incorporated into the CSD Commissioning process </w:t>
      </w:r>
      <w:proofErr w:type="gramStart"/>
      <w:r w:rsidRPr="001245C8">
        <w:rPr>
          <w:color w:val="000000" w:themeColor="text1"/>
          <w:sz w:val="24"/>
          <w:szCs w:val="24"/>
        </w:rPr>
        <w:t>at a later date</w:t>
      </w:r>
      <w:proofErr w:type="gramEnd"/>
      <w:r w:rsidRPr="001245C8">
        <w:rPr>
          <w:color w:val="000000" w:themeColor="text1"/>
          <w:sz w:val="24"/>
          <w:szCs w:val="24"/>
        </w:rPr>
        <w:t xml:space="preserve">. </w:t>
      </w:r>
    </w:p>
    <w:p w14:paraId="7F0DDA0B" w14:textId="77777777" w:rsidR="001245C8" w:rsidRPr="001245C8" w:rsidRDefault="001245C8" w:rsidP="002C3B33">
      <w:pPr>
        <w:numPr>
          <w:ilvl w:val="0"/>
          <w:numId w:val="27"/>
        </w:numPr>
        <w:spacing w:before="120" w:after="0" w:line="240" w:lineRule="auto"/>
        <w:ind w:left="717" w:hanging="357"/>
        <w:rPr>
          <w:b/>
          <w:bCs/>
          <w:sz w:val="24"/>
          <w:szCs w:val="24"/>
        </w:rPr>
      </w:pPr>
      <w:r w:rsidRPr="001245C8">
        <w:rPr>
          <w:b/>
          <w:bCs/>
          <w:sz w:val="24"/>
          <w:szCs w:val="24"/>
        </w:rPr>
        <w:t xml:space="preserve">Service programs limited extensions </w:t>
      </w:r>
      <w:r w:rsidRPr="001245C8">
        <w:rPr>
          <w:sz w:val="24"/>
          <w:szCs w:val="24"/>
        </w:rPr>
        <w:t>will</w:t>
      </w:r>
      <w:r w:rsidRPr="001245C8">
        <w:rPr>
          <w:b/>
          <w:bCs/>
          <w:sz w:val="24"/>
          <w:szCs w:val="24"/>
        </w:rPr>
        <w:t xml:space="preserve"> </w:t>
      </w:r>
      <w:r w:rsidRPr="001245C8">
        <w:rPr>
          <w:sz w:val="24"/>
          <w:szCs w:val="24"/>
        </w:rPr>
        <w:t>involve</w:t>
      </w:r>
      <w:r w:rsidRPr="001245C8">
        <w:rPr>
          <w:b/>
          <w:bCs/>
          <w:sz w:val="24"/>
          <w:szCs w:val="24"/>
        </w:rPr>
        <w:t xml:space="preserve"> </w:t>
      </w:r>
      <w:r w:rsidRPr="001245C8">
        <w:rPr>
          <w:color w:val="000000" w:themeColor="text1"/>
          <w:sz w:val="24"/>
          <w:szCs w:val="24"/>
        </w:rPr>
        <w:t xml:space="preserve">a small number of identified service programs with a transition out (termination of contract) clause being extended to enable further co-design. </w:t>
      </w:r>
      <w:r w:rsidRPr="001245C8">
        <w:rPr>
          <w:sz w:val="24"/>
          <w:szCs w:val="24"/>
        </w:rPr>
        <w:t>Limited extensions to service programs will focus on clients with high and complex needs and the current Central Intake Service (OneLink).</w:t>
      </w:r>
    </w:p>
    <w:p w14:paraId="5A2E67CF" w14:textId="77777777" w:rsidR="001245C8" w:rsidRPr="001245C8" w:rsidRDefault="001245C8" w:rsidP="002C3B33">
      <w:pPr>
        <w:spacing w:before="120" w:after="0" w:line="240" w:lineRule="auto"/>
        <w:ind w:right="-454"/>
        <w:rPr>
          <w:color w:val="000000" w:themeColor="text1"/>
          <w:sz w:val="28"/>
          <w:szCs w:val="28"/>
        </w:rPr>
      </w:pPr>
    </w:p>
    <w:p w14:paraId="41CC3DA6" w14:textId="77777777" w:rsidR="001245C8" w:rsidRPr="001245C8" w:rsidRDefault="001245C8" w:rsidP="002C3B33">
      <w:pPr>
        <w:spacing w:before="120" w:after="0" w:line="240" w:lineRule="auto"/>
        <w:rPr>
          <w:sz w:val="24"/>
          <w:szCs w:val="24"/>
        </w:rPr>
      </w:pPr>
      <w:r w:rsidRPr="001245C8">
        <w:rPr>
          <w:sz w:val="24"/>
          <w:szCs w:val="24"/>
        </w:rPr>
        <w:t xml:space="preserve">Drawing from the insights developed through Commissioning engagement, the Government has considered </w:t>
      </w:r>
      <w:proofErr w:type="gramStart"/>
      <w:r w:rsidRPr="001245C8">
        <w:rPr>
          <w:sz w:val="24"/>
          <w:szCs w:val="24"/>
        </w:rPr>
        <w:t>a number of</w:t>
      </w:r>
      <w:proofErr w:type="gramEnd"/>
      <w:r w:rsidRPr="001245C8">
        <w:rPr>
          <w:sz w:val="24"/>
          <w:szCs w:val="24"/>
        </w:rPr>
        <w:t xml:space="preserve"> factors when determining most appropriate investment approaches. In </w:t>
      </w:r>
      <w:r w:rsidRPr="001245C8">
        <w:rPr>
          <w:sz w:val="24"/>
          <w:szCs w:val="24"/>
        </w:rPr>
        <w:lastRenderedPageBreak/>
        <w:t>considering a direct approach, select approach or an open grant or open tender the following factors were considered as a guide:</w:t>
      </w:r>
    </w:p>
    <w:p w14:paraId="5365D26F" w14:textId="77777777" w:rsidR="001245C8" w:rsidRPr="001245C8" w:rsidRDefault="001245C8" w:rsidP="002C3B33">
      <w:pPr>
        <w:numPr>
          <w:ilvl w:val="0"/>
          <w:numId w:val="28"/>
        </w:numPr>
        <w:spacing w:before="120" w:after="0" w:line="240" w:lineRule="auto"/>
        <w:ind w:left="771" w:hanging="357"/>
        <w:rPr>
          <w:sz w:val="24"/>
          <w:szCs w:val="24"/>
        </w:rPr>
      </w:pPr>
      <w:r w:rsidRPr="001245C8">
        <w:rPr>
          <w:sz w:val="24"/>
          <w:szCs w:val="24"/>
        </w:rPr>
        <w:t>how best we can meet the needs of clients,</w:t>
      </w:r>
    </w:p>
    <w:p w14:paraId="0446D0F5" w14:textId="77777777" w:rsidR="001245C8" w:rsidRPr="001245C8" w:rsidRDefault="001245C8" w:rsidP="002C3B33">
      <w:pPr>
        <w:numPr>
          <w:ilvl w:val="0"/>
          <w:numId w:val="28"/>
        </w:numPr>
        <w:spacing w:before="120" w:after="0" w:line="240" w:lineRule="auto"/>
        <w:ind w:left="771" w:hanging="357"/>
        <w:rPr>
          <w:sz w:val="24"/>
          <w:szCs w:val="24"/>
        </w:rPr>
      </w:pPr>
      <w:r w:rsidRPr="001245C8">
        <w:rPr>
          <w:sz w:val="24"/>
          <w:szCs w:val="24"/>
        </w:rPr>
        <w:t>the impact on clients of potential interruption to service provision,</w:t>
      </w:r>
    </w:p>
    <w:p w14:paraId="2BCAF84F" w14:textId="77777777" w:rsidR="001245C8" w:rsidRPr="001245C8" w:rsidRDefault="001245C8" w:rsidP="002C3B33">
      <w:pPr>
        <w:numPr>
          <w:ilvl w:val="0"/>
          <w:numId w:val="28"/>
        </w:numPr>
        <w:spacing w:before="120" w:after="0" w:line="240" w:lineRule="auto"/>
        <w:ind w:left="771" w:hanging="357"/>
        <w:rPr>
          <w:sz w:val="24"/>
          <w:szCs w:val="24"/>
        </w:rPr>
      </w:pPr>
      <w:r w:rsidRPr="001245C8">
        <w:rPr>
          <w:sz w:val="24"/>
          <w:szCs w:val="24"/>
        </w:rPr>
        <w:t>the size of the organisations and the type of services they provide,</w:t>
      </w:r>
    </w:p>
    <w:p w14:paraId="24A4B61C" w14:textId="77777777" w:rsidR="001245C8" w:rsidRPr="001245C8" w:rsidRDefault="001245C8" w:rsidP="002C3B33">
      <w:pPr>
        <w:numPr>
          <w:ilvl w:val="0"/>
          <w:numId w:val="28"/>
        </w:numPr>
        <w:spacing w:before="120" w:after="0" w:line="240" w:lineRule="auto"/>
        <w:ind w:left="771" w:hanging="357"/>
        <w:rPr>
          <w:sz w:val="24"/>
          <w:szCs w:val="24"/>
        </w:rPr>
      </w:pPr>
      <w:r w:rsidRPr="001245C8">
        <w:rPr>
          <w:sz w:val="24"/>
          <w:szCs w:val="24"/>
        </w:rPr>
        <w:t>the number of service programs organisations deliver and whether the homelessness service program is their primary service,</w:t>
      </w:r>
    </w:p>
    <w:p w14:paraId="5DEB079E" w14:textId="77777777" w:rsidR="001245C8" w:rsidRPr="001245C8" w:rsidRDefault="001245C8" w:rsidP="002C3B33">
      <w:pPr>
        <w:numPr>
          <w:ilvl w:val="0"/>
          <w:numId w:val="28"/>
        </w:numPr>
        <w:spacing w:before="120" w:after="0" w:line="240" w:lineRule="auto"/>
        <w:ind w:left="771" w:hanging="357"/>
        <w:rPr>
          <w:sz w:val="24"/>
          <w:szCs w:val="24"/>
        </w:rPr>
      </w:pPr>
      <w:r w:rsidRPr="001245C8">
        <w:rPr>
          <w:sz w:val="24"/>
          <w:szCs w:val="24"/>
        </w:rPr>
        <w:t xml:space="preserve">whether the service program is being run from properties owned by the organisation, </w:t>
      </w:r>
    </w:p>
    <w:p w14:paraId="1C902220" w14:textId="77777777" w:rsidR="001245C8" w:rsidRPr="001245C8" w:rsidRDefault="001245C8" w:rsidP="002C3B33">
      <w:pPr>
        <w:numPr>
          <w:ilvl w:val="0"/>
          <w:numId w:val="28"/>
        </w:numPr>
        <w:spacing w:before="120" w:after="0" w:line="240" w:lineRule="auto"/>
        <w:ind w:left="771" w:hanging="357"/>
        <w:rPr>
          <w:sz w:val="24"/>
          <w:szCs w:val="24"/>
        </w:rPr>
      </w:pPr>
      <w:r w:rsidRPr="001245C8">
        <w:rPr>
          <w:sz w:val="24"/>
          <w:szCs w:val="24"/>
        </w:rPr>
        <w:t>value of the funding, and</w:t>
      </w:r>
    </w:p>
    <w:p w14:paraId="6079E46A" w14:textId="77777777" w:rsidR="001245C8" w:rsidRPr="001245C8" w:rsidRDefault="001245C8" w:rsidP="002C3B33">
      <w:pPr>
        <w:numPr>
          <w:ilvl w:val="0"/>
          <w:numId w:val="28"/>
        </w:numPr>
        <w:spacing w:before="120" w:after="0" w:line="240" w:lineRule="auto"/>
        <w:ind w:left="771" w:hanging="357"/>
        <w:rPr>
          <w:sz w:val="24"/>
          <w:szCs w:val="24"/>
        </w:rPr>
      </w:pPr>
      <w:r w:rsidRPr="001245C8">
        <w:rPr>
          <w:sz w:val="24"/>
          <w:szCs w:val="24"/>
        </w:rPr>
        <w:t>risks.</w:t>
      </w:r>
    </w:p>
    <w:p w14:paraId="065796A1" w14:textId="77777777" w:rsidR="001245C8" w:rsidRPr="001245C8" w:rsidRDefault="001245C8" w:rsidP="002C3B33">
      <w:pPr>
        <w:spacing w:before="120" w:after="0" w:line="240" w:lineRule="auto"/>
        <w:ind w:right="-454"/>
        <w:rPr>
          <w:color w:val="000000" w:themeColor="text1"/>
          <w:sz w:val="24"/>
          <w:szCs w:val="24"/>
        </w:rPr>
      </w:pPr>
      <w:r w:rsidRPr="001245C8">
        <w:rPr>
          <w:color w:val="000000" w:themeColor="text1"/>
          <w:sz w:val="24"/>
          <w:szCs w:val="24"/>
        </w:rPr>
        <w:t xml:space="preserve">Each funding proposal/application received by CSD will be assessed to determine delivery of client needs and value for money. To demonstrate this value, organisations are encouraged to consider a flexible model that responds to client needs and consider how this can be described in the funding proposal/application. Should a response be found unsuccessful, the ACT Government reserves the right to reissue the grant/tender through alternative investment approaches. </w:t>
      </w:r>
    </w:p>
    <w:p w14:paraId="693A4DC4" w14:textId="77777777" w:rsidR="001245C8" w:rsidRPr="001245C8" w:rsidRDefault="001245C8" w:rsidP="002C3B33">
      <w:pPr>
        <w:spacing w:before="120" w:after="0" w:line="240" w:lineRule="auto"/>
        <w:ind w:right="-454"/>
        <w:rPr>
          <w:color w:val="000000" w:themeColor="text1"/>
          <w:sz w:val="24"/>
          <w:szCs w:val="24"/>
        </w:rPr>
      </w:pPr>
      <w:r w:rsidRPr="001245C8">
        <w:rPr>
          <w:color w:val="000000" w:themeColor="text1"/>
          <w:sz w:val="24"/>
          <w:szCs w:val="24"/>
        </w:rPr>
        <w:t xml:space="preserve">The ACT Government remains open minded about the number of organisations that will deliver each service program for the select approach grants and open grant or open tender procuring approaches. As such, these numbers are subject to change based on requirements. When </w:t>
      </w:r>
      <w:proofErr w:type="gramStart"/>
      <w:r w:rsidRPr="001245C8">
        <w:rPr>
          <w:color w:val="000000" w:themeColor="text1"/>
          <w:sz w:val="24"/>
          <w:szCs w:val="24"/>
        </w:rPr>
        <w:t>submitting an application</w:t>
      </w:r>
      <w:proofErr w:type="gramEnd"/>
      <w:r w:rsidRPr="001245C8">
        <w:rPr>
          <w:color w:val="000000" w:themeColor="text1"/>
          <w:sz w:val="24"/>
          <w:szCs w:val="24"/>
        </w:rPr>
        <w:t xml:space="preserve"> through a select approach or an open grant or open tender, organisations may choose a partnership arrangement with a lead organisation or may nominate other alternative arrangements.  </w:t>
      </w:r>
    </w:p>
    <w:p w14:paraId="7BE9F766" w14:textId="7CC649A4" w:rsidR="001245C8" w:rsidRDefault="001245C8" w:rsidP="002C3B33">
      <w:pPr>
        <w:spacing w:before="120" w:after="0" w:line="240" w:lineRule="auto"/>
        <w:ind w:right="-454"/>
        <w:rPr>
          <w:color w:val="000000" w:themeColor="text1"/>
          <w:sz w:val="24"/>
          <w:szCs w:val="24"/>
        </w:rPr>
      </w:pPr>
      <w:r w:rsidRPr="001245C8">
        <w:rPr>
          <w:color w:val="000000" w:themeColor="text1"/>
          <w:sz w:val="24"/>
          <w:szCs w:val="24"/>
        </w:rPr>
        <w:t> </w:t>
      </w:r>
    </w:p>
    <w:p w14:paraId="5EF68DBC" w14:textId="609A4E3E" w:rsidR="00D4447F" w:rsidRPr="00FE0085" w:rsidRDefault="00D4447F" w:rsidP="00B329D3">
      <w:pPr>
        <w:pStyle w:val="Heading1"/>
      </w:pPr>
      <w:r>
        <w:t>Will further consultation be undertaken</w:t>
      </w:r>
      <w:r w:rsidRPr="00FE0085">
        <w:t>?</w:t>
      </w:r>
    </w:p>
    <w:p w14:paraId="3E096562" w14:textId="36E52909" w:rsidR="001245C8" w:rsidRDefault="001245C8" w:rsidP="002C3B33">
      <w:pPr>
        <w:spacing w:before="120" w:after="0" w:line="240" w:lineRule="auto"/>
        <w:ind w:right="-454"/>
        <w:rPr>
          <w:sz w:val="24"/>
          <w:szCs w:val="24"/>
        </w:rPr>
      </w:pPr>
      <w:r w:rsidRPr="001245C8">
        <w:rPr>
          <w:sz w:val="24"/>
          <w:szCs w:val="24"/>
        </w:rPr>
        <w:t>Sector sounding is an important part of the invest phase of commissioning which invites the Sector to provide feedback on the assumptions outlined in the sounding papers. It also supports CSD to refine the design of the services and the requirements for any future request for grants or tenders prior to formally commencing investing approaches to fund services.</w:t>
      </w:r>
    </w:p>
    <w:p w14:paraId="4D23EE30" w14:textId="0D82D218" w:rsidR="005C564F" w:rsidRDefault="00B3460C" w:rsidP="002C3B33">
      <w:pPr>
        <w:spacing w:before="120" w:after="0" w:line="240" w:lineRule="auto"/>
        <w:ind w:right="-454"/>
        <w:rPr>
          <w:sz w:val="24"/>
          <w:szCs w:val="24"/>
        </w:rPr>
      </w:pPr>
      <w:r w:rsidRPr="00403BC9">
        <w:rPr>
          <w:sz w:val="24"/>
          <w:szCs w:val="24"/>
        </w:rPr>
        <w:t xml:space="preserve">How a new central intake service model </w:t>
      </w:r>
      <w:r w:rsidR="00BD5395">
        <w:rPr>
          <w:sz w:val="24"/>
          <w:szCs w:val="24"/>
        </w:rPr>
        <w:t xml:space="preserve">can most effectively meet the needs of the sector and </w:t>
      </w:r>
      <w:r w:rsidRPr="00403BC9">
        <w:rPr>
          <w:sz w:val="24"/>
          <w:szCs w:val="24"/>
        </w:rPr>
        <w:t>support integration will be a key focus of further co-desig</w:t>
      </w:r>
      <w:r>
        <w:rPr>
          <w:sz w:val="24"/>
          <w:szCs w:val="24"/>
        </w:rPr>
        <w:t>n with the stakeholders in 2023</w:t>
      </w:r>
      <w:r w:rsidR="00BA3A21">
        <w:rPr>
          <w:sz w:val="24"/>
          <w:szCs w:val="24"/>
        </w:rPr>
        <w:t>, at a date to be advised</w:t>
      </w:r>
      <w:r>
        <w:rPr>
          <w:sz w:val="24"/>
          <w:szCs w:val="24"/>
        </w:rPr>
        <w:t xml:space="preserve">.  </w:t>
      </w:r>
    </w:p>
    <w:p w14:paraId="3CEECD17" w14:textId="7887F0DD" w:rsidR="00AE5583" w:rsidRDefault="00AE5583" w:rsidP="002C3B33">
      <w:pPr>
        <w:spacing w:before="120" w:after="0" w:line="240" w:lineRule="auto"/>
        <w:ind w:right="-454"/>
        <w:rPr>
          <w:sz w:val="24"/>
          <w:szCs w:val="24"/>
        </w:rPr>
      </w:pPr>
      <w:r w:rsidRPr="00403BC9">
        <w:rPr>
          <w:sz w:val="24"/>
          <w:szCs w:val="24"/>
        </w:rPr>
        <w:t>In reviewing the feedback from the engagement strategy further co-design is required for Clients with High and Complex Needs</w:t>
      </w:r>
      <w:r>
        <w:rPr>
          <w:sz w:val="24"/>
          <w:szCs w:val="24"/>
        </w:rPr>
        <w:t xml:space="preserve"> </w:t>
      </w:r>
      <w:r w:rsidR="001245C8">
        <w:rPr>
          <w:sz w:val="24"/>
          <w:szCs w:val="24"/>
        </w:rPr>
        <w:t>which will commence in February 2023</w:t>
      </w:r>
      <w:r w:rsidRPr="00403BC9">
        <w:rPr>
          <w:sz w:val="24"/>
          <w:szCs w:val="24"/>
        </w:rPr>
        <w:t xml:space="preserve">. </w:t>
      </w:r>
    </w:p>
    <w:p w14:paraId="12305203" w14:textId="77777777" w:rsidR="00292DA0" w:rsidRPr="00403BC9" w:rsidRDefault="00292DA0" w:rsidP="002C3B33">
      <w:pPr>
        <w:spacing w:before="120" w:after="0" w:line="240" w:lineRule="auto"/>
        <w:ind w:right="-454"/>
        <w:rPr>
          <w:sz w:val="24"/>
          <w:szCs w:val="24"/>
        </w:rPr>
      </w:pPr>
    </w:p>
    <w:p w14:paraId="15695A7C" w14:textId="6760F276" w:rsidR="00D4447F" w:rsidRPr="00FE0085" w:rsidRDefault="00D4447F" w:rsidP="00B329D3">
      <w:pPr>
        <w:pStyle w:val="Heading1"/>
      </w:pPr>
      <w:r>
        <w:t xml:space="preserve">What </w:t>
      </w:r>
      <w:proofErr w:type="gramStart"/>
      <w:r>
        <w:t>are</w:t>
      </w:r>
      <w:proofErr w:type="gramEnd"/>
      <w:r>
        <w:t xml:space="preserve"> </w:t>
      </w:r>
      <w:r w:rsidR="001245C8">
        <w:t>Sector</w:t>
      </w:r>
      <w:r>
        <w:t xml:space="preserve"> Sounding Papers?</w:t>
      </w:r>
    </w:p>
    <w:p w14:paraId="6533A6A9" w14:textId="69B78806" w:rsidR="00D4447F" w:rsidRPr="00D4447F" w:rsidRDefault="001245C8" w:rsidP="002C3B33">
      <w:pPr>
        <w:spacing w:before="120" w:after="0" w:line="240" w:lineRule="auto"/>
        <w:ind w:right="-454"/>
        <w:rPr>
          <w:color w:val="000000" w:themeColor="text1"/>
          <w:sz w:val="24"/>
          <w:szCs w:val="24"/>
        </w:rPr>
      </w:pPr>
      <w:r>
        <w:rPr>
          <w:color w:val="000000" w:themeColor="text1"/>
          <w:sz w:val="24"/>
          <w:szCs w:val="24"/>
        </w:rPr>
        <w:t>Sector</w:t>
      </w:r>
      <w:r w:rsidR="00D4447F" w:rsidRPr="00D4447F">
        <w:rPr>
          <w:color w:val="000000" w:themeColor="text1"/>
          <w:sz w:val="24"/>
          <w:szCs w:val="24"/>
        </w:rPr>
        <w:t xml:space="preserve"> sounding is a valuable research tool for a broad spectrum of procurement and grant processes. It provides interested parties the opportunity to challenge </w:t>
      </w:r>
      <w:r w:rsidR="00D4447F">
        <w:rPr>
          <w:color w:val="000000" w:themeColor="text1"/>
          <w:sz w:val="24"/>
          <w:szCs w:val="24"/>
        </w:rPr>
        <w:t xml:space="preserve">the </w:t>
      </w:r>
      <w:r w:rsidR="00734CBB">
        <w:rPr>
          <w:color w:val="000000" w:themeColor="text1"/>
          <w:sz w:val="24"/>
          <w:szCs w:val="24"/>
        </w:rPr>
        <w:t xml:space="preserve">directorate’s </w:t>
      </w:r>
      <w:r w:rsidR="00D4447F" w:rsidRPr="00D4447F">
        <w:rPr>
          <w:color w:val="000000" w:themeColor="text1"/>
          <w:sz w:val="24"/>
          <w:szCs w:val="24"/>
        </w:rPr>
        <w:t xml:space="preserve">assumptions and further inform the design of the services and the requirements for any future </w:t>
      </w:r>
      <w:r>
        <w:rPr>
          <w:color w:val="000000" w:themeColor="text1"/>
          <w:sz w:val="24"/>
          <w:szCs w:val="24"/>
        </w:rPr>
        <w:t>grant</w:t>
      </w:r>
      <w:r w:rsidR="00D4447F" w:rsidRPr="00D4447F">
        <w:rPr>
          <w:color w:val="000000" w:themeColor="text1"/>
          <w:sz w:val="24"/>
          <w:szCs w:val="24"/>
        </w:rPr>
        <w:t xml:space="preserve">. </w:t>
      </w:r>
    </w:p>
    <w:p w14:paraId="14E4E4F7" w14:textId="31B052F6" w:rsidR="00FC69E1" w:rsidRPr="00FC69E1" w:rsidRDefault="00FC69E1" w:rsidP="002C3B33">
      <w:pPr>
        <w:spacing w:before="120" w:after="0" w:line="240" w:lineRule="auto"/>
        <w:ind w:right="-454"/>
        <w:rPr>
          <w:color w:val="000000" w:themeColor="text1"/>
          <w:sz w:val="24"/>
          <w:szCs w:val="24"/>
        </w:rPr>
      </w:pPr>
      <w:r>
        <w:rPr>
          <w:color w:val="000000" w:themeColor="text1"/>
          <w:sz w:val="24"/>
          <w:szCs w:val="24"/>
        </w:rPr>
        <w:t>The</w:t>
      </w:r>
      <w:r w:rsidRPr="00FC69E1">
        <w:rPr>
          <w:color w:val="000000" w:themeColor="text1"/>
          <w:sz w:val="24"/>
          <w:szCs w:val="24"/>
        </w:rPr>
        <w:t xml:space="preserve"> </w:t>
      </w:r>
      <w:r>
        <w:rPr>
          <w:color w:val="000000" w:themeColor="text1"/>
          <w:sz w:val="24"/>
          <w:szCs w:val="24"/>
        </w:rPr>
        <w:t>S</w:t>
      </w:r>
      <w:r w:rsidRPr="00FC69E1">
        <w:rPr>
          <w:color w:val="000000" w:themeColor="text1"/>
          <w:sz w:val="24"/>
          <w:szCs w:val="24"/>
        </w:rPr>
        <w:t xml:space="preserve">ector sounding process is not part of the formal investment/procuring funding approach to engage service provision. Organisations can choose </w:t>
      </w:r>
      <w:proofErr w:type="gramStart"/>
      <w:r w:rsidRPr="00FC69E1">
        <w:rPr>
          <w:color w:val="000000" w:themeColor="text1"/>
          <w:sz w:val="24"/>
          <w:szCs w:val="24"/>
        </w:rPr>
        <w:t>whether or not</w:t>
      </w:r>
      <w:proofErr w:type="gramEnd"/>
      <w:r w:rsidRPr="00FC69E1">
        <w:rPr>
          <w:color w:val="000000" w:themeColor="text1"/>
          <w:sz w:val="24"/>
          <w:szCs w:val="24"/>
        </w:rPr>
        <w:t xml:space="preserve"> to respond to a Sector sounding </w:t>
      </w:r>
      <w:r w:rsidRPr="00FC69E1">
        <w:rPr>
          <w:color w:val="000000" w:themeColor="text1"/>
          <w:sz w:val="24"/>
          <w:szCs w:val="24"/>
        </w:rPr>
        <w:lastRenderedPageBreak/>
        <w:t xml:space="preserve">paper.  Not providing a response does not prevent an organisation participating in any future investment processes. </w:t>
      </w:r>
    </w:p>
    <w:p w14:paraId="7467F691" w14:textId="77777777" w:rsidR="00FC69E1" w:rsidRPr="00FC69E1" w:rsidRDefault="00FC69E1" w:rsidP="002C3B33">
      <w:pPr>
        <w:spacing w:before="120" w:after="0" w:line="240" w:lineRule="auto"/>
        <w:rPr>
          <w:sz w:val="24"/>
          <w:szCs w:val="24"/>
        </w:rPr>
      </w:pPr>
      <w:r w:rsidRPr="00FC69E1">
        <w:rPr>
          <w:sz w:val="24"/>
          <w:szCs w:val="24"/>
        </w:rPr>
        <w:t xml:space="preserve">CSD will write to each currently funded homelessness organisation and provide one (or more) Sector sounding papers.  </w:t>
      </w:r>
    </w:p>
    <w:p w14:paraId="536B108F" w14:textId="77777777" w:rsidR="00FC69E1" w:rsidRPr="00FC69E1" w:rsidRDefault="00FC69E1" w:rsidP="002C3B33">
      <w:pPr>
        <w:spacing w:before="120" w:after="0" w:line="240" w:lineRule="auto"/>
        <w:rPr>
          <w:sz w:val="24"/>
          <w:szCs w:val="24"/>
        </w:rPr>
      </w:pPr>
      <w:r w:rsidRPr="00FC69E1">
        <w:rPr>
          <w:sz w:val="24"/>
          <w:szCs w:val="24"/>
        </w:rPr>
        <w:t>Sector sounding papers will detail:</w:t>
      </w:r>
    </w:p>
    <w:p w14:paraId="4D672FC4" w14:textId="77777777" w:rsidR="00FC69E1" w:rsidRPr="00FC69E1" w:rsidRDefault="00FC69E1" w:rsidP="002C3B33">
      <w:pPr>
        <w:numPr>
          <w:ilvl w:val="0"/>
          <w:numId w:val="28"/>
        </w:numPr>
        <w:spacing w:before="120" w:after="0" w:line="240" w:lineRule="auto"/>
        <w:ind w:left="771" w:hanging="357"/>
        <w:rPr>
          <w:sz w:val="24"/>
          <w:szCs w:val="24"/>
        </w:rPr>
      </w:pPr>
      <w:r w:rsidRPr="00FC69E1">
        <w:rPr>
          <w:sz w:val="24"/>
          <w:szCs w:val="24"/>
        </w:rPr>
        <w:t>the purpose of commissioning,</w:t>
      </w:r>
    </w:p>
    <w:p w14:paraId="0AA048AD" w14:textId="77777777" w:rsidR="00FC69E1" w:rsidRPr="00FC69E1" w:rsidRDefault="00FC69E1" w:rsidP="002C3B33">
      <w:pPr>
        <w:numPr>
          <w:ilvl w:val="0"/>
          <w:numId w:val="28"/>
        </w:numPr>
        <w:spacing w:before="120" w:after="0" w:line="240" w:lineRule="auto"/>
        <w:ind w:left="771" w:hanging="357"/>
        <w:rPr>
          <w:sz w:val="24"/>
          <w:szCs w:val="24"/>
        </w:rPr>
      </w:pPr>
      <w:r w:rsidRPr="00FC69E1">
        <w:rPr>
          <w:sz w:val="24"/>
          <w:szCs w:val="24"/>
        </w:rPr>
        <w:t>proposed engagement methodology,</w:t>
      </w:r>
    </w:p>
    <w:p w14:paraId="4210B97D" w14:textId="77777777" w:rsidR="00FC69E1" w:rsidRPr="00FC69E1" w:rsidRDefault="00FC69E1" w:rsidP="002C3B33">
      <w:pPr>
        <w:numPr>
          <w:ilvl w:val="0"/>
          <w:numId w:val="28"/>
        </w:numPr>
        <w:spacing w:before="120" w:after="0" w:line="240" w:lineRule="auto"/>
        <w:ind w:left="771" w:hanging="357"/>
        <w:rPr>
          <w:sz w:val="24"/>
          <w:szCs w:val="24"/>
        </w:rPr>
      </w:pPr>
      <w:r w:rsidRPr="00FC69E1">
        <w:rPr>
          <w:sz w:val="24"/>
          <w:szCs w:val="24"/>
        </w:rPr>
        <w:t>definitions of service programs,</w:t>
      </w:r>
    </w:p>
    <w:p w14:paraId="16A8C36F" w14:textId="77777777" w:rsidR="00FC69E1" w:rsidRPr="00FC69E1" w:rsidRDefault="00FC69E1" w:rsidP="002C3B33">
      <w:pPr>
        <w:numPr>
          <w:ilvl w:val="0"/>
          <w:numId w:val="28"/>
        </w:numPr>
        <w:spacing w:before="120" w:after="0" w:line="240" w:lineRule="auto"/>
        <w:ind w:left="771" w:hanging="357"/>
        <w:rPr>
          <w:sz w:val="24"/>
          <w:szCs w:val="24"/>
        </w:rPr>
      </w:pPr>
      <w:r w:rsidRPr="00FC69E1">
        <w:rPr>
          <w:sz w:val="24"/>
          <w:szCs w:val="24"/>
        </w:rPr>
        <w:t xml:space="preserve">identified cohorts, needs and gaps, indicative outcomes and indicative performance indicators obtained from the Commissioning engagement process, </w:t>
      </w:r>
    </w:p>
    <w:p w14:paraId="635E36B0" w14:textId="77777777" w:rsidR="00FC69E1" w:rsidRPr="00FC69E1" w:rsidRDefault="00FC69E1" w:rsidP="002C3B33">
      <w:pPr>
        <w:numPr>
          <w:ilvl w:val="0"/>
          <w:numId w:val="28"/>
        </w:numPr>
        <w:spacing w:before="120" w:after="0" w:line="240" w:lineRule="auto"/>
        <w:ind w:left="771" w:hanging="357"/>
        <w:rPr>
          <w:sz w:val="24"/>
          <w:szCs w:val="24"/>
        </w:rPr>
      </w:pPr>
      <w:r w:rsidRPr="00FC69E1">
        <w:rPr>
          <w:sz w:val="24"/>
          <w:szCs w:val="24"/>
        </w:rPr>
        <w:t>proposed length of grants/contracts and why,</w:t>
      </w:r>
    </w:p>
    <w:p w14:paraId="3064F513" w14:textId="77777777" w:rsidR="00FC69E1" w:rsidRPr="00FC69E1" w:rsidRDefault="00FC69E1" w:rsidP="002C3B33">
      <w:pPr>
        <w:numPr>
          <w:ilvl w:val="0"/>
          <w:numId w:val="28"/>
        </w:numPr>
        <w:spacing w:before="120" w:after="0" w:line="240" w:lineRule="auto"/>
        <w:ind w:left="771" w:hanging="357"/>
        <w:rPr>
          <w:sz w:val="24"/>
          <w:szCs w:val="24"/>
        </w:rPr>
      </w:pPr>
      <w:r w:rsidRPr="00FC69E1">
        <w:rPr>
          <w:sz w:val="24"/>
          <w:szCs w:val="24"/>
        </w:rPr>
        <w:t>feedback sought on a sustainable rental remittance model for head leased properties (where applicable),</w:t>
      </w:r>
    </w:p>
    <w:p w14:paraId="2C1AAC66" w14:textId="77777777" w:rsidR="00FC69E1" w:rsidRPr="00FC69E1" w:rsidRDefault="00FC69E1" w:rsidP="002C3B33">
      <w:pPr>
        <w:numPr>
          <w:ilvl w:val="0"/>
          <w:numId w:val="28"/>
        </w:numPr>
        <w:spacing w:before="120" w:after="0" w:line="240" w:lineRule="auto"/>
        <w:ind w:left="771" w:hanging="357"/>
        <w:rPr>
          <w:sz w:val="24"/>
          <w:szCs w:val="24"/>
        </w:rPr>
      </w:pPr>
      <w:r w:rsidRPr="00FC69E1">
        <w:rPr>
          <w:sz w:val="24"/>
          <w:szCs w:val="24"/>
        </w:rPr>
        <w:t xml:space="preserve">threshold requirements (where applicable), </w:t>
      </w:r>
    </w:p>
    <w:p w14:paraId="16549E5F" w14:textId="77777777" w:rsidR="00FC69E1" w:rsidRPr="00FC69E1" w:rsidRDefault="00FC69E1" w:rsidP="002C3B33">
      <w:pPr>
        <w:numPr>
          <w:ilvl w:val="0"/>
          <w:numId w:val="28"/>
        </w:numPr>
        <w:spacing w:before="120" w:after="0" w:line="240" w:lineRule="auto"/>
        <w:ind w:left="771" w:hanging="357"/>
        <w:rPr>
          <w:sz w:val="24"/>
          <w:szCs w:val="24"/>
        </w:rPr>
      </w:pPr>
      <w:r w:rsidRPr="00FC69E1">
        <w:rPr>
          <w:sz w:val="24"/>
          <w:szCs w:val="24"/>
        </w:rPr>
        <w:t>timeframes, and</w:t>
      </w:r>
    </w:p>
    <w:p w14:paraId="474C69C5" w14:textId="77777777" w:rsidR="00FC69E1" w:rsidRPr="00FC69E1" w:rsidRDefault="00FC69E1" w:rsidP="002C3B33">
      <w:pPr>
        <w:numPr>
          <w:ilvl w:val="0"/>
          <w:numId w:val="28"/>
        </w:numPr>
        <w:spacing w:before="120" w:after="0" w:line="240" w:lineRule="auto"/>
        <w:ind w:left="771" w:hanging="357"/>
        <w:rPr>
          <w:sz w:val="24"/>
          <w:szCs w:val="24"/>
        </w:rPr>
      </w:pPr>
      <w:r w:rsidRPr="00FC69E1">
        <w:rPr>
          <w:sz w:val="24"/>
          <w:szCs w:val="24"/>
        </w:rPr>
        <w:t>provide advanced notice of assessment criterion.</w:t>
      </w:r>
    </w:p>
    <w:p w14:paraId="59827A70" w14:textId="77777777" w:rsidR="00FC69E1" w:rsidRPr="00FC69E1" w:rsidRDefault="00FC69E1" w:rsidP="002C3B33">
      <w:pPr>
        <w:spacing w:before="120" w:after="0" w:line="240" w:lineRule="auto"/>
        <w:rPr>
          <w:sz w:val="24"/>
          <w:szCs w:val="24"/>
        </w:rPr>
      </w:pPr>
      <w:r w:rsidRPr="00FC69E1">
        <w:rPr>
          <w:sz w:val="24"/>
          <w:szCs w:val="24"/>
        </w:rPr>
        <w:t xml:space="preserve">For open grants, Sector sounding papers will be released through the ACT Government grants website. </w:t>
      </w:r>
    </w:p>
    <w:p w14:paraId="7DA00CA6" w14:textId="77777777" w:rsidR="00FC69E1" w:rsidRPr="00FC69E1" w:rsidRDefault="00FC69E1" w:rsidP="002C3B33">
      <w:pPr>
        <w:spacing w:before="120" w:after="0" w:line="240" w:lineRule="auto"/>
        <w:rPr>
          <w:sz w:val="24"/>
          <w:szCs w:val="24"/>
        </w:rPr>
      </w:pPr>
      <w:r w:rsidRPr="00FC69E1">
        <w:rPr>
          <w:sz w:val="24"/>
          <w:szCs w:val="24"/>
        </w:rPr>
        <w:t xml:space="preserve">For open tenders, Sector sounding papers will be released through TendersACT.  </w:t>
      </w:r>
    </w:p>
    <w:p w14:paraId="00124713" w14:textId="77777777" w:rsidR="00FC69E1" w:rsidRPr="00FC69E1" w:rsidRDefault="00FC69E1" w:rsidP="002C3B33">
      <w:pPr>
        <w:spacing w:before="120" w:after="0" w:line="240" w:lineRule="auto"/>
        <w:rPr>
          <w:sz w:val="24"/>
          <w:szCs w:val="24"/>
        </w:rPr>
      </w:pPr>
      <w:r w:rsidRPr="00FC69E1">
        <w:rPr>
          <w:sz w:val="24"/>
          <w:szCs w:val="24"/>
        </w:rPr>
        <w:t>Notification of the release of the open grants/tenders will also be placed on the CSD Commissioning website.</w:t>
      </w:r>
    </w:p>
    <w:p w14:paraId="63B6BC65" w14:textId="77777777" w:rsidR="00FC69E1" w:rsidRPr="00D4447F" w:rsidRDefault="00FC69E1" w:rsidP="002C3B33">
      <w:pPr>
        <w:spacing w:before="120" w:after="0" w:line="240" w:lineRule="auto"/>
        <w:ind w:right="-454"/>
        <w:rPr>
          <w:color w:val="000000" w:themeColor="text1"/>
          <w:sz w:val="24"/>
          <w:szCs w:val="24"/>
        </w:rPr>
      </w:pPr>
    </w:p>
    <w:p w14:paraId="699F377A" w14:textId="5920BDC5" w:rsidR="00B9341E" w:rsidRPr="00FE0085" w:rsidRDefault="00B9341E" w:rsidP="00B329D3">
      <w:pPr>
        <w:pStyle w:val="Heading1"/>
      </w:pPr>
      <w:r>
        <w:t xml:space="preserve">When will </w:t>
      </w:r>
      <w:r w:rsidR="00E151D0">
        <w:t>Sector sounding papers</w:t>
      </w:r>
      <w:r>
        <w:t xml:space="preserve"> be released?</w:t>
      </w:r>
    </w:p>
    <w:p w14:paraId="097766FF" w14:textId="1C0ADB9D" w:rsidR="007A0612" w:rsidRDefault="00FC69E1" w:rsidP="002C3B33">
      <w:pPr>
        <w:spacing w:before="120" w:after="0" w:line="240" w:lineRule="auto"/>
        <w:ind w:right="-454"/>
        <w:rPr>
          <w:sz w:val="24"/>
          <w:szCs w:val="24"/>
        </w:rPr>
      </w:pPr>
      <w:r>
        <w:rPr>
          <w:sz w:val="24"/>
          <w:szCs w:val="24"/>
        </w:rPr>
        <w:t>Sector s</w:t>
      </w:r>
      <w:r w:rsidR="005C564F" w:rsidRPr="00403BC9">
        <w:rPr>
          <w:sz w:val="24"/>
          <w:szCs w:val="24"/>
        </w:rPr>
        <w:t xml:space="preserve">ounding </w:t>
      </w:r>
      <w:r>
        <w:rPr>
          <w:sz w:val="24"/>
          <w:szCs w:val="24"/>
        </w:rPr>
        <w:t>p</w:t>
      </w:r>
      <w:r w:rsidR="005C564F" w:rsidRPr="00403BC9">
        <w:rPr>
          <w:sz w:val="24"/>
          <w:szCs w:val="24"/>
        </w:rPr>
        <w:t xml:space="preserve">apers are anticipated to be released </w:t>
      </w:r>
      <w:r>
        <w:rPr>
          <w:sz w:val="24"/>
          <w:szCs w:val="24"/>
        </w:rPr>
        <w:t>from November</w:t>
      </w:r>
      <w:r w:rsidR="005C564F" w:rsidRPr="00403BC9">
        <w:rPr>
          <w:sz w:val="24"/>
          <w:szCs w:val="24"/>
        </w:rPr>
        <w:t xml:space="preserve"> 2022</w:t>
      </w:r>
      <w:r w:rsidR="00670C2A">
        <w:rPr>
          <w:sz w:val="24"/>
          <w:szCs w:val="24"/>
        </w:rPr>
        <w:t xml:space="preserve"> and will remain open for a period of three weeks</w:t>
      </w:r>
      <w:r w:rsidR="00B3460C">
        <w:rPr>
          <w:sz w:val="24"/>
          <w:szCs w:val="24"/>
        </w:rPr>
        <w:t>.</w:t>
      </w:r>
    </w:p>
    <w:p w14:paraId="6797D4D3" w14:textId="77777777" w:rsidR="002C3B33" w:rsidRDefault="002C3B33" w:rsidP="002C3B33">
      <w:pPr>
        <w:spacing w:before="120" w:after="0" w:line="240" w:lineRule="auto"/>
        <w:ind w:right="-454"/>
        <w:rPr>
          <w:sz w:val="24"/>
          <w:szCs w:val="24"/>
        </w:rPr>
      </w:pPr>
    </w:p>
    <w:p w14:paraId="288AD338" w14:textId="242EC421" w:rsidR="005C564F" w:rsidRPr="00FE0085" w:rsidRDefault="005C564F" w:rsidP="00B329D3">
      <w:pPr>
        <w:pStyle w:val="Heading1"/>
      </w:pPr>
      <w:r>
        <w:t>When will Grants be released?</w:t>
      </w:r>
    </w:p>
    <w:p w14:paraId="3AB6B4B3" w14:textId="77777777" w:rsidR="00E151D0" w:rsidRDefault="00E151D0" w:rsidP="002C3B33">
      <w:pPr>
        <w:spacing w:before="120" w:after="0" w:line="240" w:lineRule="auto"/>
        <w:ind w:right="-454"/>
        <w:rPr>
          <w:sz w:val="24"/>
          <w:szCs w:val="24"/>
        </w:rPr>
      </w:pPr>
      <w:r w:rsidRPr="00E151D0">
        <w:rPr>
          <w:sz w:val="24"/>
          <w:szCs w:val="24"/>
        </w:rPr>
        <w:t xml:space="preserve">Grants will not be released during the December/January period. Following consideration of the feedback from the Sector sounding papers, the formal release of Direct, Select and Open Grants will be issued from March 2023. </w:t>
      </w:r>
    </w:p>
    <w:p w14:paraId="405821E4" w14:textId="77777777" w:rsidR="00E151D0" w:rsidRDefault="00E151D0" w:rsidP="002C3B33">
      <w:pPr>
        <w:spacing w:before="120" w:after="0" w:line="240" w:lineRule="auto"/>
        <w:ind w:right="-454"/>
        <w:rPr>
          <w:sz w:val="24"/>
          <w:szCs w:val="24"/>
        </w:rPr>
      </w:pPr>
      <w:r w:rsidRPr="00E151D0">
        <w:rPr>
          <w:sz w:val="24"/>
          <w:szCs w:val="24"/>
        </w:rPr>
        <w:t xml:space="preserve">Grants will be open for a period of four weeks. </w:t>
      </w:r>
    </w:p>
    <w:p w14:paraId="00F77C5D" w14:textId="30441EA3" w:rsidR="00E151D0" w:rsidRDefault="00E151D0" w:rsidP="002C3B33">
      <w:pPr>
        <w:spacing w:before="120" w:after="0" w:line="240" w:lineRule="auto"/>
        <w:ind w:right="-454"/>
        <w:rPr>
          <w:sz w:val="24"/>
          <w:szCs w:val="24"/>
        </w:rPr>
      </w:pPr>
      <w:r w:rsidRPr="00E151D0">
        <w:rPr>
          <w:sz w:val="24"/>
          <w:szCs w:val="24"/>
        </w:rPr>
        <w:t>The commencement date of services for grants will be 1 July 2023.</w:t>
      </w:r>
    </w:p>
    <w:p w14:paraId="6855365C" w14:textId="77777777" w:rsidR="00E151D0" w:rsidRDefault="00E151D0" w:rsidP="002C3B33">
      <w:pPr>
        <w:spacing w:before="120" w:after="0" w:line="240" w:lineRule="auto"/>
        <w:ind w:right="-454"/>
        <w:rPr>
          <w:sz w:val="24"/>
          <w:szCs w:val="24"/>
        </w:rPr>
      </w:pPr>
    </w:p>
    <w:p w14:paraId="61EC670A" w14:textId="44A06C4A" w:rsidR="00B3460C" w:rsidRPr="00FE0085" w:rsidRDefault="00B3460C" w:rsidP="00B329D3">
      <w:pPr>
        <w:pStyle w:val="Heading1"/>
      </w:pPr>
      <w:r>
        <w:lastRenderedPageBreak/>
        <w:t>When will Tenders be released?</w:t>
      </w:r>
    </w:p>
    <w:p w14:paraId="644E5C58" w14:textId="0DBF3A8B" w:rsidR="00B3460C" w:rsidRDefault="00B3460C" w:rsidP="002C3B33">
      <w:pPr>
        <w:spacing w:before="120" w:after="0" w:line="240" w:lineRule="auto"/>
        <w:ind w:right="-454"/>
        <w:rPr>
          <w:sz w:val="24"/>
          <w:szCs w:val="24"/>
        </w:rPr>
      </w:pPr>
      <w:r w:rsidRPr="00403BC9">
        <w:rPr>
          <w:sz w:val="24"/>
          <w:szCs w:val="24"/>
        </w:rPr>
        <w:t xml:space="preserve">Recognising the number of grants being issued, the competing priorities of both the </w:t>
      </w:r>
      <w:r w:rsidR="00E151D0">
        <w:rPr>
          <w:sz w:val="24"/>
          <w:szCs w:val="24"/>
        </w:rPr>
        <w:t>S</w:t>
      </w:r>
      <w:r w:rsidRPr="00403BC9">
        <w:rPr>
          <w:sz w:val="24"/>
          <w:szCs w:val="24"/>
        </w:rPr>
        <w:t xml:space="preserve">ector and </w:t>
      </w:r>
      <w:r w:rsidR="00734CBB">
        <w:rPr>
          <w:sz w:val="24"/>
          <w:szCs w:val="24"/>
        </w:rPr>
        <w:t>g</w:t>
      </w:r>
      <w:r w:rsidR="00734CBB" w:rsidRPr="00403BC9">
        <w:rPr>
          <w:sz w:val="24"/>
          <w:szCs w:val="24"/>
        </w:rPr>
        <w:t>overnment</w:t>
      </w:r>
      <w:r w:rsidRPr="00403BC9">
        <w:rPr>
          <w:sz w:val="24"/>
          <w:szCs w:val="24"/>
        </w:rPr>
        <w:t xml:space="preserve">, a small number of programs will be released through </w:t>
      </w:r>
      <w:r w:rsidR="00CB1B74">
        <w:rPr>
          <w:sz w:val="24"/>
          <w:szCs w:val="24"/>
        </w:rPr>
        <w:t>open</w:t>
      </w:r>
      <w:r w:rsidRPr="00403BC9">
        <w:rPr>
          <w:sz w:val="24"/>
          <w:szCs w:val="24"/>
        </w:rPr>
        <w:t xml:space="preserve"> </w:t>
      </w:r>
      <w:r w:rsidR="007D0EA8">
        <w:rPr>
          <w:sz w:val="24"/>
          <w:szCs w:val="24"/>
        </w:rPr>
        <w:t xml:space="preserve">public </w:t>
      </w:r>
      <w:r w:rsidRPr="00403BC9">
        <w:rPr>
          <w:sz w:val="24"/>
          <w:szCs w:val="24"/>
        </w:rPr>
        <w:t>tender early in the 2023-24 financial year.</w:t>
      </w:r>
    </w:p>
    <w:p w14:paraId="1FE2997B" w14:textId="621B9F59" w:rsidR="00B3460C" w:rsidRDefault="00B3460C" w:rsidP="002C3B33">
      <w:pPr>
        <w:spacing w:before="120" w:after="0" w:line="240" w:lineRule="auto"/>
        <w:ind w:right="-454"/>
        <w:rPr>
          <w:sz w:val="24"/>
          <w:szCs w:val="24"/>
        </w:rPr>
      </w:pPr>
      <w:r w:rsidRPr="00403BC9">
        <w:rPr>
          <w:sz w:val="24"/>
          <w:szCs w:val="24"/>
        </w:rPr>
        <w:t xml:space="preserve">For those </w:t>
      </w:r>
      <w:r w:rsidR="00BA3A21">
        <w:rPr>
          <w:sz w:val="24"/>
          <w:szCs w:val="24"/>
        </w:rPr>
        <w:t xml:space="preserve">identified </w:t>
      </w:r>
      <w:r w:rsidR="007D0EA8">
        <w:rPr>
          <w:sz w:val="24"/>
          <w:szCs w:val="24"/>
        </w:rPr>
        <w:t xml:space="preserve">funded </w:t>
      </w:r>
      <w:r w:rsidR="00E151D0">
        <w:rPr>
          <w:sz w:val="24"/>
          <w:szCs w:val="24"/>
        </w:rPr>
        <w:t xml:space="preserve">service </w:t>
      </w:r>
      <w:r w:rsidRPr="00403BC9">
        <w:rPr>
          <w:sz w:val="24"/>
          <w:szCs w:val="24"/>
        </w:rPr>
        <w:t xml:space="preserve">programs, existing contracts will be extended a further 12 months with </w:t>
      </w:r>
      <w:r w:rsidR="00E151D0">
        <w:rPr>
          <w:sz w:val="24"/>
          <w:szCs w:val="24"/>
        </w:rPr>
        <w:t>a transition out clause</w:t>
      </w:r>
      <w:r w:rsidRPr="00403BC9">
        <w:rPr>
          <w:sz w:val="24"/>
          <w:szCs w:val="24"/>
        </w:rPr>
        <w:t xml:space="preserve"> to be </w:t>
      </w:r>
      <w:r w:rsidR="00E151D0">
        <w:rPr>
          <w:sz w:val="24"/>
          <w:szCs w:val="24"/>
        </w:rPr>
        <w:t>activated</w:t>
      </w:r>
      <w:r w:rsidRPr="00403BC9">
        <w:rPr>
          <w:sz w:val="24"/>
          <w:szCs w:val="24"/>
        </w:rPr>
        <w:t xml:space="preserve"> once a tender process and transition out arrangements have occurred.  </w:t>
      </w:r>
    </w:p>
    <w:p w14:paraId="2F0CF139" w14:textId="77777777" w:rsidR="002C3B33" w:rsidRDefault="002C3B33" w:rsidP="002C3B33">
      <w:pPr>
        <w:spacing w:before="120" w:after="0" w:line="240" w:lineRule="auto"/>
        <w:ind w:right="-454"/>
        <w:rPr>
          <w:sz w:val="24"/>
          <w:szCs w:val="24"/>
        </w:rPr>
      </w:pPr>
    </w:p>
    <w:p w14:paraId="789DCB68" w14:textId="54F9A30F" w:rsidR="00670C2A" w:rsidRDefault="00670C2A" w:rsidP="00B329D3">
      <w:pPr>
        <w:pStyle w:val="Heading1"/>
      </w:pPr>
      <w:r>
        <w:t>Will there be a funding increase to programs?</w:t>
      </w:r>
    </w:p>
    <w:p w14:paraId="14616640" w14:textId="77777777" w:rsidR="00E151D0" w:rsidRPr="00E151D0" w:rsidRDefault="00E151D0" w:rsidP="002C3B33">
      <w:pPr>
        <w:spacing w:before="120" w:after="0" w:line="240" w:lineRule="auto"/>
        <w:ind w:right="-454"/>
        <w:rPr>
          <w:sz w:val="24"/>
          <w:szCs w:val="24"/>
        </w:rPr>
      </w:pPr>
      <w:r w:rsidRPr="00E151D0">
        <w:rPr>
          <w:sz w:val="24"/>
          <w:szCs w:val="24"/>
        </w:rPr>
        <w:t>Commissioning aims to provide greater funding certainty for the Sector. This is because funding certainty supports organisations to confidently employ ongoing staff, safely innovate and test new approaches to achieve outcomes for clients and respond flexibly to client needs while reporting on service outcomes rather than service outputs.</w:t>
      </w:r>
    </w:p>
    <w:p w14:paraId="5A1B5253" w14:textId="779C68E8" w:rsidR="00E151D0" w:rsidRDefault="00E151D0" w:rsidP="002C3B33">
      <w:pPr>
        <w:spacing w:before="120" w:after="0" w:line="240" w:lineRule="auto"/>
        <w:ind w:right="-454"/>
        <w:rPr>
          <w:sz w:val="24"/>
          <w:szCs w:val="24"/>
        </w:rPr>
      </w:pPr>
      <w:r w:rsidRPr="00E151D0">
        <w:rPr>
          <w:sz w:val="24"/>
          <w:szCs w:val="24"/>
        </w:rPr>
        <w:t>ACT Government intends to provide this certainty by entering longer term contractual arrangements with organisations. While contract lengths may vary, many contractual arrangements will be extended across 10 years, with appropriate built-in review points. Following the assessment of applications, a risk-based approach will be used to determine potential fixed terms and options periods in discussion with the preferred organisations.</w:t>
      </w:r>
    </w:p>
    <w:p w14:paraId="48FFDDEE" w14:textId="7C68C35A" w:rsidR="00670C2A" w:rsidRDefault="00670C2A" w:rsidP="002C3B33">
      <w:pPr>
        <w:spacing w:before="120" w:after="0" w:line="240" w:lineRule="auto"/>
        <w:ind w:right="-454"/>
        <w:rPr>
          <w:sz w:val="24"/>
          <w:szCs w:val="24"/>
        </w:rPr>
      </w:pPr>
      <w:r>
        <w:rPr>
          <w:sz w:val="24"/>
          <w:szCs w:val="24"/>
        </w:rPr>
        <w:t>U</w:t>
      </w:r>
      <w:r w:rsidRPr="00E2222F">
        <w:rPr>
          <w:sz w:val="24"/>
          <w:szCs w:val="24"/>
        </w:rPr>
        <w:t xml:space="preserve">nder the Parliamentary and Governing Agreement, the </w:t>
      </w:r>
      <w:r w:rsidR="00734CBB">
        <w:rPr>
          <w:sz w:val="24"/>
          <w:szCs w:val="24"/>
        </w:rPr>
        <w:t>g</w:t>
      </w:r>
      <w:r w:rsidR="00734CBB" w:rsidRPr="00E2222F">
        <w:rPr>
          <w:sz w:val="24"/>
          <w:szCs w:val="24"/>
        </w:rPr>
        <w:t xml:space="preserve">overnment </w:t>
      </w:r>
      <w:r w:rsidRPr="00E2222F">
        <w:rPr>
          <w:sz w:val="24"/>
          <w:szCs w:val="24"/>
        </w:rPr>
        <w:t xml:space="preserve">has continued its commitment of addressing homelessness by investing a further $18 million over four years to expand the capacity of specialist homelessness services. </w:t>
      </w:r>
      <w:r>
        <w:rPr>
          <w:sz w:val="24"/>
          <w:szCs w:val="24"/>
        </w:rPr>
        <w:t>This funding has enabled these initiatives to continue and/or be expanded through to 30 June 2023.</w:t>
      </w:r>
    </w:p>
    <w:p w14:paraId="4AD94393" w14:textId="58BD03E1" w:rsidR="00670C2A" w:rsidRDefault="00D31CA8" w:rsidP="002C3B33">
      <w:pPr>
        <w:spacing w:before="120" w:after="0" w:line="240" w:lineRule="auto"/>
        <w:ind w:right="-454"/>
        <w:rPr>
          <w:sz w:val="24"/>
          <w:szCs w:val="24"/>
        </w:rPr>
      </w:pPr>
      <w:r>
        <w:rPr>
          <w:sz w:val="24"/>
          <w:szCs w:val="24"/>
        </w:rPr>
        <w:t>Funding has been declared in the market</w:t>
      </w:r>
      <w:r w:rsidR="00E151D0">
        <w:rPr>
          <w:sz w:val="24"/>
          <w:szCs w:val="24"/>
        </w:rPr>
        <w:t xml:space="preserve"> Sector</w:t>
      </w:r>
      <w:r>
        <w:rPr>
          <w:sz w:val="24"/>
          <w:szCs w:val="24"/>
        </w:rPr>
        <w:t xml:space="preserve"> sounding papers and will be detailed in </w:t>
      </w:r>
      <w:r w:rsidR="000B79ED">
        <w:rPr>
          <w:sz w:val="24"/>
          <w:szCs w:val="24"/>
        </w:rPr>
        <w:t>g</w:t>
      </w:r>
      <w:r>
        <w:rPr>
          <w:sz w:val="24"/>
          <w:szCs w:val="24"/>
        </w:rPr>
        <w:t>rant/</w:t>
      </w:r>
      <w:r w:rsidR="000B79ED">
        <w:rPr>
          <w:sz w:val="24"/>
          <w:szCs w:val="24"/>
        </w:rPr>
        <w:t>t</w:t>
      </w:r>
      <w:r>
        <w:rPr>
          <w:sz w:val="24"/>
          <w:szCs w:val="24"/>
        </w:rPr>
        <w:t>ender documentation.</w:t>
      </w:r>
      <w:r w:rsidR="00670C2A">
        <w:rPr>
          <w:sz w:val="24"/>
          <w:szCs w:val="24"/>
        </w:rPr>
        <w:t xml:space="preserve">  </w:t>
      </w:r>
    </w:p>
    <w:p w14:paraId="072E200A" w14:textId="77777777" w:rsidR="00E151D0" w:rsidRDefault="00E151D0" w:rsidP="002C3B33">
      <w:pPr>
        <w:spacing w:before="120" w:after="0" w:line="240" w:lineRule="auto"/>
        <w:ind w:right="-454"/>
        <w:rPr>
          <w:sz w:val="24"/>
          <w:szCs w:val="24"/>
        </w:rPr>
      </w:pPr>
    </w:p>
    <w:p w14:paraId="35D14B17" w14:textId="28B98699" w:rsidR="000B79ED" w:rsidRDefault="000B79ED" w:rsidP="00B329D3">
      <w:pPr>
        <w:pStyle w:val="Heading1"/>
      </w:pPr>
      <w:r>
        <w:t>Will information sessions be held?</w:t>
      </w:r>
    </w:p>
    <w:p w14:paraId="3EF56BBE" w14:textId="664AB3D1" w:rsidR="0087732D" w:rsidRDefault="000B79ED" w:rsidP="002C3B33">
      <w:pPr>
        <w:spacing w:before="120" w:after="0" w:line="240" w:lineRule="auto"/>
        <w:ind w:right="-454"/>
        <w:rPr>
          <w:sz w:val="24"/>
          <w:szCs w:val="24"/>
        </w:rPr>
      </w:pPr>
      <w:r w:rsidRPr="000B79ED">
        <w:rPr>
          <w:sz w:val="24"/>
          <w:szCs w:val="24"/>
        </w:rPr>
        <w:t>Regardless of the approach (direct</w:t>
      </w:r>
      <w:r w:rsidR="00E151D0">
        <w:rPr>
          <w:sz w:val="24"/>
          <w:szCs w:val="24"/>
        </w:rPr>
        <w:t xml:space="preserve"> </w:t>
      </w:r>
      <w:r w:rsidR="00F6762E">
        <w:rPr>
          <w:sz w:val="24"/>
          <w:szCs w:val="24"/>
        </w:rPr>
        <w:t>approach grant</w:t>
      </w:r>
      <w:r w:rsidR="00E151D0">
        <w:rPr>
          <w:sz w:val="24"/>
          <w:szCs w:val="24"/>
        </w:rPr>
        <w:t xml:space="preserve">, select </w:t>
      </w:r>
      <w:r w:rsidR="0087732D">
        <w:rPr>
          <w:sz w:val="24"/>
          <w:szCs w:val="24"/>
        </w:rPr>
        <w:t>approach</w:t>
      </w:r>
      <w:r w:rsidR="00E151D0">
        <w:rPr>
          <w:sz w:val="24"/>
          <w:szCs w:val="24"/>
        </w:rPr>
        <w:t xml:space="preserve"> grant or </w:t>
      </w:r>
      <w:r w:rsidR="0087732D">
        <w:rPr>
          <w:sz w:val="24"/>
          <w:szCs w:val="24"/>
        </w:rPr>
        <w:t>o</w:t>
      </w:r>
      <w:r w:rsidR="00E151D0">
        <w:rPr>
          <w:sz w:val="24"/>
          <w:szCs w:val="24"/>
        </w:rPr>
        <w:t xml:space="preserve">pen </w:t>
      </w:r>
      <w:r w:rsidR="00BA3A21">
        <w:rPr>
          <w:sz w:val="24"/>
          <w:szCs w:val="24"/>
        </w:rPr>
        <w:t xml:space="preserve">public </w:t>
      </w:r>
      <w:r w:rsidR="00E151D0">
        <w:rPr>
          <w:sz w:val="24"/>
          <w:szCs w:val="24"/>
        </w:rPr>
        <w:t xml:space="preserve">grant or open </w:t>
      </w:r>
      <w:r w:rsidR="00BA3A21">
        <w:rPr>
          <w:sz w:val="24"/>
          <w:szCs w:val="24"/>
        </w:rPr>
        <w:t xml:space="preserve">public </w:t>
      </w:r>
      <w:r w:rsidR="00E151D0">
        <w:rPr>
          <w:sz w:val="24"/>
          <w:szCs w:val="24"/>
        </w:rPr>
        <w:t>tender</w:t>
      </w:r>
      <w:r w:rsidRPr="000B79ED">
        <w:rPr>
          <w:sz w:val="24"/>
          <w:szCs w:val="24"/>
        </w:rPr>
        <w:t xml:space="preserve">) an information session will be held for </w:t>
      </w:r>
      <w:r w:rsidR="0087732D">
        <w:rPr>
          <w:sz w:val="24"/>
          <w:szCs w:val="24"/>
        </w:rPr>
        <w:t>grant</w:t>
      </w:r>
      <w:r w:rsidR="00BA3A21">
        <w:rPr>
          <w:sz w:val="24"/>
          <w:szCs w:val="24"/>
        </w:rPr>
        <w:t>s</w:t>
      </w:r>
      <w:r w:rsidR="0087732D">
        <w:rPr>
          <w:sz w:val="24"/>
          <w:szCs w:val="24"/>
        </w:rPr>
        <w:t xml:space="preserve"> or tender</w:t>
      </w:r>
      <w:r w:rsidR="00BA3A21">
        <w:rPr>
          <w:sz w:val="24"/>
          <w:szCs w:val="24"/>
        </w:rPr>
        <w:t>s</w:t>
      </w:r>
      <w:r w:rsidR="0087732D">
        <w:rPr>
          <w:sz w:val="24"/>
          <w:szCs w:val="24"/>
        </w:rPr>
        <w:t xml:space="preserve"> released</w:t>
      </w:r>
      <w:r w:rsidRPr="000B79ED">
        <w:rPr>
          <w:sz w:val="24"/>
          <w:szCs w:val="24"/>
        </w:rPr>
        <w:t xml:space="preserve">. </w:t>
      </w:r>
    </w:p>
    <w:p w14:paraId="1C65F194" w14:textId="56546B2E" w:rsidR="0087732D" w:rsidRPr="0087732D" w:rsidRDefault="00832B3C" w:rsidP="002C3B33">
      <w:pPr>
        <w:tabs>
          <w:tab w:val="left" w:pos="709"/>
        </w:tabs>
        <w:spacing w:before="120" w:after="0" w:line="240" w:lineRule="auto"/>
        <w:rPr>
          <w:sz w:val="24"/>
          <w:szCs w:val="24"/>
        </w:rPr>
      </w:pPr>
      <w:r>
        <w:rPr>
          <w:sz w:val="24"/>
          <w:szCs w:val="24"/>
        </w:rPr>
        <w:t xml:space="preserve">Organisation CEO’s can request an invitation to an </w:t>
      </w:r>
      <w:r w:rsidR="00BA3A21">
        <w:rPr>
          <w:sz w:val="24"/>
          <w:szCs w:val="24"/>
        </w:rPr>
        <w:t xml:space="preserve">optional </w:t>
      </w:r>
      <w:r>
        <w:rPr>
          <w:sz w:val="24"/>
          <w:szCs w:val="24"/>
        </w:rPr>
        <w:t>information session</w:t>
      </w:r>
      <w:r w:rsidR="007D0EA8">
        <w:rPr>
          <w:sz w:val="24"/>
          <w:szCs w:val="24"/>
        </w:rPr>
        <w:t xml:space="preserve"> for the direct and select grants.  Open, public grant and tender documents will provide </w:t>
      </w:r>
      <w:r w:rsidR="00483BFB">
        <w:rPr>
          <w:sz w:val="24"/>
          <w:szCs w:val="24"/>
        </w:rPr>
        <w:t>details</w:t>
      </w:r>
      <w:r w:rsidR="007D0EA8">
        <w:rPr>
          <w:sz w:val="24"/>
          <w:szCs w:val="24"/>
        </w:rPr>
        <w:t xml:space="preserve"> of </w:t>
      </w:r>
      <w:r w:rsidR="00483BFB">
        <w:rPr>
          <w:sz w:val="24"/>
          <w:szCs w:val="24"/>
        </w:rPr>
        <w:t xml:space="preserve">the </w:t>
      </w:r>
      <w:r w:rsidR="007D0EA8">
        <w:rPr>
          <w:sz w:val="24"/>
          <w:szCs w:val="24"/>
        </w:rPr>
        <w:t>information session</w:t>
      </w:r>
      <w:r w:rsidR="00483BFB">
        <w:rPr>
          <w:sz w:val="24"/>
          <w:szCs w:val="24"/>
        </w:rPr>
        <w:t>(s)</w:t>
      </w:r>
      <w:r w:rsidR="007D0EA8">
        <w:rPr>
          <w:sz w:val="24"/>
          <w:szCs w:val="24"/>
        </w:rPr>
        <w:t xml:space="preserve"> when released.  </w:t>
      </w:r>
    </w:p>
    <w:p w14:paraId="5118AE07" w14:textId="77777777" w:rsidR="00E151D0" w:rsidRDefault="00E151D0" w:rsidP="00CF4532">
      <w:pPr>
        <w:tabs>
          <w:tab w:val="left" w:pos="709"/>
        </w:tabs>
        <w:spacing w:before="120" w:after="0" w:line="240" w:lineRule="auto"/>
        <w:rPr>
          <w:sz w:val="24"/>
          <w:szCs w:val="24"/>
        </w:rPr>
      </w:pPr>
    </w:p>
    <w:p w14:paraId="6AD08151" w14:textId="28129324" w:rsidR="00AE5583" w:rsidRPr="00FE0085" w:rsidRDefault="00AE5583" w:rsidP="00B329D3">
      <w:pPr>
        <w:pStyle w:val="Heading1"/>
      </w:pPr>
      <w:r>
        <w:t>My funded program has a delayed release. What will happen with my contract?</w:t>
      </w:r>
    </w:p>
    <w:p w14:paraId="51D902E8" w14:textId="46831A63" w:rsidR="0087732D" w:rsidRDefault="0087732D" w:rsidP="002C3B33">
      <w:pPr>
        <w:spacing w:before="120" w:after="0" w:line="240" w:lineRule="auto"/>
        <w:ind w:right="-454"/>
        <w:rPr>
          <w:sz w:val="24"/>
          <w:szCs w:val="24"/>
        </w:rPr>
      </w:pPr>
      <w:r w:rsidRPr="0087732D">
        <w:rPr>
          <w:sz w:val="24"/>
          <w:szCs w:val="24"/>
        </w:rPr>
        <w:t>CSD will write to each funded organisation and will be providing relevant Sector sounding paper/s outlining which investment approach is proposed for their funded service program/s and seeking feedback about the assumptions outlined.</w:t>
      </w:r>
    </w:p>
    <w:p w14:paraId="3BDEA44E" w14:textId="6EEBA6E8" w:rsidR="0087732D" w:rsidRDefault="0087732D" w:rsidP="002C3B33">
      <w:pPr>
        <w:spacing w:before="120" w:after="0" w:line="240" w:lineRule="auto"/>
        <w:ind w:right="-454"/>
        <w:rPr>
          <w:sz w:val="24"/>
          <w:szCs w:val="24"/>
        </w:rPr>
      </w:pPr>
      <w:r>
        <w:rPr>
          <w:sz w:val="24"/>
          <w:szCs w:val="24"/>
        </w:rPr>
        <w:lastRenderedPageBreak/>
        <w:t>For programs that have a delayed release, CSD will be extend</w:t>
      </w:r>
      <w:r w:rsidR="00F6762E">
        <w:rPr>
          <w:sz w:val="24"/>
          <w:szCs w:val="24"/>
        </w:rPr>
        <w:t xml:space="preserve">ing </w:t>
      </w:r>
      <w:r>
        <w:rPr>
          <w:sz w:val="24"/>
          <w:szCs w:val="24"/>
        </w:rPr>
        <w:t xml:space="preserve">the identified program </w:t>
      </w:r>
      <w:r w:rsidR="00E50923">
        <w:rPr>
          <w:sz w:val="24"/>
          <w:szCs w:val="24"/>
        </w:rPr>
        <w:t>for a period of 12 months with a transition out clause. The transition out clause will enable the Territory to terminate the contractual agreement with a minimum of 60 days’ notice</w:t>
      </w:r>
      <w:r w:rsidR="0020371C">
        <w:rPr>
          <w:sz w:val="24"/>
          <w:szCs w:val="24"/>
        </w:rPr>
        <w:t xml:space="preserve"> to. </w:t>
      </w:r>
      <w:r w:rsidR="009717CC">
        <w:rPr>
          <w:sz w:val="24"/>
          <w:szCs w:val="24"/>
        </w:rPr>
        <w:t xml:space="preserve">allow services time to smoothly transition out from the </w:t>
      </w:r>
      <w:r w:rsidR="00BA3A21">
        <w:rPr>
          <w:sz w:val="24"/>
          <w:szCs w:val="24"/>
        </w:rPr>
        <w:t xml:space="preserve">current </w:t>
      </w:r>
      <w:r w:rsidR="009717CC">
        <w:rPr>
          <w:sz w:val="24"/>
          <w:szCs w:val="24"/>
        </w:rPr>
        <w:t>service with minimal impact as possible on clients.</w:t>
      </w:r>
    </w:p>
    <w:p w14:paraId="2DE001E0" w14:textId="77777777" w:rsidR="0087732D" w:rsidRDefault="0087732D" w:rsidP="002C3B33">
      <w:pPr>
        <w:spacing w:before="120" w:after="0" w:line="240" w:lineRule="auto"/>
        <w:ind w:right="-454"/>
        <w:rPr>
          <w:sz w:val="24"/>
          <w:szCs w:val="24"/>
        </w:rPr>
      </w:pPr>
    </w:p>
    <w:p w14:paraId="5778EAE8" w14:textId="0C26F510" w:rsidR="00AE5583" w:rsidRPr="00AE5583" w:rsidRDefault="00AE5583" w:rsidP="00B329D3">
      <w:pPr>
        <w:pStyle w:val="Heading1"/>
      </w:pPr>
      <w:r w:rsidRPr="00AE5583">
        <w:t>What is being done to respond to the needs of clients who face barriers in accessing suitable homelessness accommodation services, including single fathers with children, people with disabilities and LGBTIQ+ clients?</w:t>
      </w:r>
    </w:p>
    <w:p w14:paraId="7D84FE15" w14:textId="70D5074B" w:rsidR="00AE5583" w:rsidRPr="009A48FB" w:rsidRDefault="00AE5583" w:rsidP="002C3B33">
      <w:pPr>
        <w:spacing w:before="120" w:after="0" w:line="240" w:lineRule="auto"/>
        <w:ind w:right="-454"/>
        <w:rPr>
          <w:sz w:val="24"/>
          <w:szCs w:val="24"/>
        </w:rPr>
      </w:pPr>
      <w:r>
        <w:rPr>
          <w:sz w:val="24"/>
          <w:szCs w:val="24"/>
        </w:rPr>
        <w:t>Through the commissioning engagement process, we</w:t>
      </w:r>
      <w:r w:rsidRPr="009A48FB">
        <w:rPr>
          <w:sz w:val="24"/>
          <w:szCs w:val="24"/>
        </w:rPr>
        <w:t xml:space="preserve"> heard </w:t>
      </w:r>
      <w:r>
        <w:rPr>
          <w:sz w:val="24"/>
          <w:szCs w:val="24"/>
        </w:rPr>
        <w:t xml:space="preserve">of the need for more </w:t>
      </w:r>
      <w:r w:rsidRPr="009A48FB">
        <w:rPr>
          <w:sz w:val="24"/>
          <w:szCs w:val="24"/>
        </w:rPr>
        <w:t>accommodation options</w:t>
      </w:r>
      <w:r w:rsidR="00BD5395">
        <w:rPr>
          <w:sz w:val="24"/>
          <w:szCs w:val="24"/>
        </w:rPr>
        <w:t>, including</w:t>
      </w:r>
      <w:r w:rsidRPr="009A48FB">
        <w:rPr>
          <w:sz w:val="24"/>
          <w:szCs w:val="24"/>
        </w:rPr>
        <w:t xml:space="preserve"> for families</w:t>
      </w:r>
      <w:r>
        <w:rPr>
          <w:sz w:val="24"/>
          <w:szCs w:val="24"/>
        </w:rPr>
        <w:t xml:space="preserve"> (</w:t>
      </w:r>
      <w:r w:rsidRPr="009A48FB">
        <w:rPr>
          <w:sz w:val="24"/>
          <w:szCs w:val="24"/>
        </w:rPr>
        <w:t>including single fathers with children</w:t>
      </w:r>
      <w:r>
        <w:rPr>
          <w:sz w:val="24"/>
          <w:szCs w:val="24"/>
        </w:rPr>
        <w:t>)</w:t>
      </w:r>
      <w:r w:rsidRPr="009A48FB">
        <w:rPr>
          <w:sz w:val="24"/>
          <w:szCs w:val="24"/>
        </w:rPr>
        <w:t>, people with disabilities, and the LGBTIQ+ community</w:t>
      </w:r>
      <w:r>
        <w:rPr>
          <w:sz w:val="24"/>
          <w:szCs w:val="24"/>
        </w:rPr>
        <w:t xml:space="preserve"> who can face </w:t>
      </w:r>
      <w:proofErr w:type="gramStart"/>
      <w:r>
        <w:rPr>
          <w:sz w:val="24"/>
          <w:szCs w:val="24"/>
        </w:rPr>
        <w:t>particular barriers</w:t>
      </w:r>
      <w:proofErr w:type="gramEnd"/>
      <w:r>
        <w:rPr>
          <w:sz w:val="24"/>
          <w:szCs w:val="24"/>
        </w:rPr>
        <w:t xml:space="preserve"> to accessing suitable accommodation within the homelessness sector</w:t>
      </w:r>
      <w:r w:rsidRPr="009A48FB">
        <w:rPr>
          <w:sz w:val="24"/>
          <w:szCs w:val="24"/>
        </w:rPr>
        <w:t xml:space="preserve">.  </w:t>
      </w:r>
    </w:p>
    <w:p w14:paraId="02844DDE" w14:textId="3A5DE1A6" w:rsidR="00AE5583" w:rsidRDefault="00AE5583" w:rsidP="002C3B33">
      <w:pPr>
        <w:spacing w:before="120" w:after="0" w:line="240" w:lineRule="auto"/>
        <w:ind w:right="-454"/>
        <w:rPr>
          <w:sz w:val="24"/>
          <w:szCs w:val="24"/>
        </w:rPr>
      </w:pPr>
      <w:r>
        <w:rPr>
          <w:sz w:val="24"/>
          <w:szCs w:val="24"/>
        </w:rPr>
        <w:t>The needs of these clients will be considered as part of the further co-design process for proposed new programs.</w:t>
      </w:r>
    </w:p>
    <w:p w14:paraId="3EA677AB" w14:textId="24DBCE26" w:rsidR="00AE5583" w:rsidRDefault="00431B90" w:rsidP="002C3B33">
      <w:pPr>
        <w:spacing w:before="120" w:after="0" w:line="240" w:lineRule="auto"/>
        <w:ind w:right="-454"/>
        <w:rPr>
          <w:sz w:val="24"/>
          <w:szCs w:val="24"/>
        </w:rPr>
      </w:pPr>
      <w:r>
        <w:rPr>
          <w:sz w:val="24"/>
          <w:szCs w:val="24"/>
        </w:rPr>
        <w:t xml:space="preserve">Organisations applying for grants and tenders will </w:t>
      </w:r>
      <w:r w:rsidR="00F6762E">
        <w:rPr>
          <w:sz w:val="24"/>
          <w:szCs w:val="24"/>
        </w:rPr>
        <w:t xml:space="preserve">also </w:t>
      </w:r>
      <w:r>
        <w:rPr>
          <w:sz w:val="24"/>
          <w:szCs w:val="24"/>
        </w:rPr>
        <w:t>need to demonstrate how their proposed service model will include and address the needs of client</w:t>
      </w:r>
      <w:r w:rsidR="00BD5395">
        <w:rPr>
          <w:sz w:val="24"/>
          <w:szCs w:val="24"/>
        </w:rPr>
        <w:t>s</w:t>
      </w:r>
      <w:r>
        <w:rPr>
          <w:sz w:val="24"/>
          <w:szCs w:val="24"/>
        </w:rPr>
        <w:t xml:space="preserve"> who face barriers in accessing suitable homelessness accommodation services.</w:t>
      </w:r>
    </w:p>
    <w:p w14:paraId="07E15E52" w14:textId="77777777" w:rsidR="00E50923" w:rsidRDefault="00E50923" w:rsidP="002C3B33">
      <w:pPr>
        <w:spacing w:before="120" w:after="0" w:line="240" w:lineRule="auto"/>
        <w:ind w:right="-454"/>
        <w:rPr>
          <w:sz w:val="24"/>
          <w:szCs w:val="24"/>
        </w:rPr>
      </w:pPr>
    </w:p>
    <w:p w14:paraId="1E9D0731" w14:textId="77777777" w:rsidR="00431B90" w:rsidRPr="00431B90" w:rsidRDefault="00431B90" w:rsidP="00B329D3">
      <w:pPr>
        <w:pStyle w:val="Heading1"/>
      </w:pPr>
      <w:r w:rsidRPr="00431B90">
        <w:t>What is being done to respond to needs of Aboriginal and Torres Strait Islanders?</w:t>
      </w:r>
    </w:p>
    <w:p w14:paraId="14A72079" w14:textId="77777777" w:rsidR="00431B90" w:rsidRPr="002C3B33" w:rsidRDefault="00431B90" w:rsidP="002C3B33">
      <w:pPr>
        <w:spacing w:before="120" w:after="0" w:line="240" w:lineRule="auto"/>
        <w:ind w:right="-454"/>
        <w:rPr>
          <w:sz w:val="24"/>
          <w:szCs w:val="24"/>
        </w:rPr>
      </w:pPr>
      <w:r w:rsidRPr="002C3B33">
        <w:rPr>
          <w:sz w:val="24"/>
          <w:szCs w:val="24"/>
        </w:rPr>
        <w:t xml:space="preserve">Through the commissioning engagement phase, we heard that there is a need for mainstream homelessness services to continue to build their cultural capacity so that Aboriginal and Torres Strait Islander people feel culturally safe when accessing their services. </w:t>
      </w:r>
    </w:p>
    <w:p w14:paraId="6A957B6D" w14:textId="77777777" w:rsidR="00431B90" w:rsidRPr="002C3B33" w:rsidRDefault="00431B90" w:rsidP="002C3B33">
      <w:pPr>
        <w:spacing w:before="120" w:after="0" w:line="240" w:lineRule="auto"/>
        <w:ind w:right="-454"/>
        <w:rPr>
          <w:sz w:val="24"/>
          <w:szCs w:val="24"/>
        </w:rPr>
      </w:pPr>
      <w:r w:rsidRPr="002C3B33">
        <w:rPr>
          <w:sz w:val="24"/>
          <w:szCs w:val="24"/>
        </w:rPr>
        <w:t xml:space="preserve">There is also a need to build workplaces that are culturally safe and supportive </w:t>
      </w:r>
      <w:proofErr w:type="gramStart"/>
      <w:r w:rsidRPr="002C3B33">
        <w:rPr>
          <w:sz w:val="24"/>
          <w:szCs w:val="24"/>
        </w:rPr>
        <w:t>in order to</w:t>
      </w:r>
      <w:proofErr w:type="gramEnd"/>
      <w:r w:rsidRPr="002C3B33">
        <w:rPr>
          <w:sz w:val="24"/>
          <w:szCs w:val="24"/>
        </w:rPr>
        <w:t xml:space="preserve"> attract and retain Aboriginal and Torres Strait workers.</w:t>
      </w:r>
    </w:p>
    <w:p w14:paraId="03ACEAA7" w14:textId="616EF8EE" w:rsidR="00431B90" w:rsidRPr="002C3B33" w:rsidRDefault="00431B90" w:rsidP="002C3B33">
      <w:pPr>
        <w:spacing w:before="120" w:after="0" w:line="240" w:lineRule="auto"/>
        <w:ind w:right="-454"/>
        <w:rPr>
          <w:sz w:val="24"/>
          <w:szCs w:val="24"/>
        </w:rPr>
      </w:pPr>
      <w:r w:rsidRPr="002C3B33">
        <w:rPr>
          <w:sz w:val="24"/>
          <w:szCs w:val="24"/>
        </w:rPr>
        <w:t xml:space="preserve">As part of the investment </w:t>
      </w:r>
      <w:proofErr w:type="gramStart"/>
      <w:r w:rsidRPr="002C3B33">
        <w:rPr>
          <w:sz w:val="24"/>
          <w:szCs w:val="24"/>
        </w:rPr>
        <w:t>strategy</w:t>
      </w:r>
      <w:r w:rsidR="00F6762E">
        <w:rPr>
          <w:sz w:val="24"/>
          <w:szCs w:val="24"/>
        </w:rPr>
        <w:t>,</w:t>
      </w:r>
      <w:r w:rsidRPr="002C3B33">
        <w:rPr>
          <w:sz w:val="24"/>
          <w:szCs w:val="24"/>
        </w:rPr>
        <w:t>,</w:t>
      </w:r>
      <w:proofErr w:type="gramEnd"/>
      <w:r w:rsidRPr="002C3B33">
        <w:rPr>
          <w:sz w:val="24"/>
          <w:szCs w:val="24"/>
        </w:rPr>
        <w:t xml:space="preserve"> Aboriginal and Torres Strait Islander services will be invited through either a direct or select approach to deliver homelessness funded services to provide accommodation and/or support to </w:t>
      </w:r>
      <w:r w:rsidR="00E50923" w:rsidRPr="002C3B33">
        <w:rPr>
          <w:sz w:val="24"/>
          <w:szCs w:val="24"/>
        </w:rPr>
        <w:t>Aboriginal and Torres Strait Islanders</w:t>
      </w:r>
      <w:r w:rsidRPr="002C3B33">
        <w:rPr>
          <w:sz w:val="24"/>
          <w:szCs w:val="24"/>
        </w:rPr>
        <w:t>.</w:t>
      </w:r>
    </w:p>
    <w:p w14:paraId="2F23395C" w14:textId="255AF170" w:rsidR="00431B90" w:rsidRPr="002C3B33" w:rsidRDefault="00431B90" w:rsidP="002C3B33">
      <w:pPr>
        <w:spacing w:before="120" w:after="0" w:line="240" w:lineRule="auto"/>
        <w:ind w:right="-454"/>
        <w:rPr>
          <w:sz w:val="24"/>
          <w:szCs w:val="24"/>
        </w:rPr>
      </w:pPr>
      <w:r w:rsidRPr="002C3B33">
        <w:rPr>
          <w:sz w:val="24"/>
          <w:szCs w:val="24"/>
        </w:rPr>
        <w:t xml:space="preserve">Building the capacity of mainstream homelessness services to provide culturally safe workplaces and services to </w:t>
      </w:r>
      <w:r w:rsidR="00E50923" w:rsidRPr="002C3B33">
        <w:rPr>
          <w:sz w:val="24"/>
          <w:szCs w:val="24"/>
        </w:rPr>
        <w:t xml:space="preserve">Aboriginal and Torres Strait Islanders </w:t>
      </w:r>
      <w:r w:rsidRPr="002C3B33">
        <w:rPr>
          <w:sz w:val="24"/>
          <w:szCs w:val="24"/>
        </w:rPr>
        <w:t xml:space="preserve">will also be part of the of the focus of developing a whole of sector practice framework. </w:t>
      </w:r>
    </w:p>
    <w:p w14:paraId="349785B2" w14:textId="7114158B" w:rsidR="00431B90" w:rsidRPr="002C3B33" w:rsidRDefault="00431B90" w:rsidP="002C3B33">
      <w:pPr>
        <w:spacing w:before="120" w:after="0" w:line="240" w:lineRule="auto"/>
        <w:rPr>
          <w:b/>
          <w:bCs/>
          <w:color w:val="7030A0"/>
          <w:sz w:val="24"/>
          <w:szCs w:val="24"/>
        </w:rPr>
      </w:pPr>
      <w:r w:rsidRPr="002C3B33">
        <w:rPr>
          <w:b/>
          <w:bCs/>
          <w:color w:val="7030A0"/>
          <w:sz w:val="24"/>
          <w:szCs w:val="24"/>
        </w:rPr>
        <w:t>Aboriginal Community Controlled Organisations (ACCOs)</w:t>
      </w:r>
    </w:p>
    <w:p w14:paraId="4D97258B" w14:textId="77777777" w:rsidR="00E50923" w:rsidRPr="00E50923" w:rsidRDefault="00E50923" w:rsidP="002C3B33">
      <w:pPr>
        <w:spacing w:before="120" w:after="0" w:line="240" w:lineRule="auto"/>
        <w:ind w:right="-454"/>
        <w:rPr>
          <w:sz w:val="24"/>
          <w:szCs w:val="24"/>
        </w:rPr>
      </w:pPr>
      <w:r w:rsidRPr="00E50923">
        <w:rPr>
          <w:sz w:val="24"/>
          <w:szCs w:val="24"/>
        </w:rPr>
        <w:t>Under the Parliamentary and Government Agreement for the 10th Legislative Assembly, the ACT Government committed to the establishment of ACT Aboriginal and Torres Strait Islander Community Controlled Organisations for housing.</w:t>
      </w:r>
    </w:p>
    <w:p w14:paraId="3A8826AE" w14:textId="77777777" w:rsidR="00E50923" w:rsidRPr="00E50923" w:rsidRDefault="00E50923" w:rsidP="002C3B33">
      <w:pPr>
        <w:spacing w:before="120" w:after="0" w:line="240" w:lineRule="auto"/>
        <w:ind w:right="-454"/>
        <w:rPr>
          <w:sz w:val="24"/>
          <w:szCs w:val="24"/>
        </w:rPr>
      </w:pPr>
      <w:r w:rsidRPr="00E50923">
        <w:rPr>
          <w:sz w:val="24"/>
          <w:szCs w:val="24"/>
        </w:rPr>
        <w:t>Funding more Aboriginal Community Controlled Organisations was also discussed during Commissioning engagement. The ACT Government is committed to developing and providing better culturally appropriate housing options for Aboriginal and Torres Strait Islander people in the Territory.</w:t>
      </w:r>
    </w:p>
    <w:p w14:paraId="2A8B69DD" w14:textId="5E1FE7F2" w:rsidR="00431B90" w:rsidRPr="002C3B33" w:rsidRDefault="004D0A9C" w:rsidP="002C3B33">
      <w:pPr>
        <w:spacing w:before="120" w:after="0" w:line="240" w:lineRule="auto"/>
        <w:rPr>
          <w:b/>
          <w:bCs/>
          <w:color w:val="7030A0"/>
          <w:sz w:val="24"/>
          <w:szCs w:val="24"/>
        </w:rPr>
      </w:pPr>
      <w:r w:rsidRPr="002C3B33">
        <w:rPr>
          <w:b/>
          <w:bCs/>
          <w:color w:val="7030A0"/>
          <w:sz w:val="24"/>
          <w:szCs w:val="24"/>
        </w:rPr>
        <w:t>Community Participation Approach and Implementation Framework</w:t>
      </w:r>
    </w:p>
    <w:p w14:paraId="1CFF9470" w14:textId="77777777" w:rsidR="00E50923" w:rsidRPr="002C3B33" w:rsidRDefault="00E50923" w:rsidP="002C3B33">
      <w:pPr>
        <w:spacing w:before="120" w:after="0" w:line="240" w:lineRule="auto"/>
        <w:ind w:right="-454"/>
        <w:rPr>
          <w:sz w:val="24"/>
          <w:szCs w:val="24"/>
        </w:rPr>
      </w:pPr>
      <w:r w:rsidRPr="002C3B33">
        <w:rPr>
          <w:sz w:val="24"/>
          <w:szCs w:val="24"/>
        </w:rPr>
        <w:lastRenderedPageBreak/>
        <w:t xml:space="preserve">CSD has engaged </w:t>
      </w:r>
      <w:proofErr w:type="spellStart"/>
      <w:r w:rsidRPr="002C3B33">
        <w:rPr>
          <w:sz w:val="24"/>
          <w:szCs w:val="24"/>
        </w:rPr>
        <w:t>Curijo</w:t>
      </w:r>
      <w:proofErr w:type="spellEnd"/>
      <w:r w:rsidRPr="002C3B33">
        <w:rPr>
          <w:sz w:val="24"/>
          <w:szCs w:val="24"/>
        </w:rPr>
        <w:t xml:space="preserve">, an experienced Aboriginal owned and controlled consultant, to assist in the development of a Community Participation Approach and Implementation Framework. The framework will support, strengthen, and guide CSD engagement with the Aboriginal and Torres Strait Islander community.  </w:t>
      </w:r>
    </w:p>
    <w:p w14:paraId="082CF957" w14:textId="77777777" w:rsidR="00E50923" w:rsidRPr="002C3B33" w:rsidRDefault="00E50923" w:rsidP="002C3B33">
      <w:pPr>
        <w:spacing w:before="120" w:after="0" w:line="240" w:lineRule="auto"/>
        <w:ind w:right="-454"/>
        <w:rPr>
          <w:sz w:val="24"/>
          <w:szCs w:val="24"/>
        </w:rPr>
      </w:pPr>
      <w:r w:rsidRPr="002C3B33">
        <w:rPr>
          <w:sz w:val="24"/>
          <w:szCs w:val="24"/>
        </w:rPr>
        <w:t>The development and implementation of the community participation approach will lead to the design of the next steps in working with the community to address the unique housing and support needs of Aboriginal and Torres Strait Islander people.</w:t>
      </w:r>
    </w:p>
    <w:p w14:paraId="3CABC748" w14:textId="77777777" w:rsidR="00E50923" w:rsidRDefault="00E50923" w:rsidP="002C3B33">
      <w:pPr>
        <w:spacing w:before="120" w:after="0" w:line="240" w:lineRule="auto"/>
        <w:ind w:right="-454"/>
      </w:pPr>
    </w:p>
    <w:p w14:paraId="3546C057" w14:textId="592D5F3F" w:rsidR="004D0A9C" w:rsidRPr="004D0A9C" w:rsidRDefault="004D0A9C" w:rsidP="00B329D3">
      <w:pPr>
        <w:pStyle w:val="Heading1"/>
      </w:pPr>
      <w:r w:rsidRPr="004D0A9C">
        <w:t>What Housing properties will be available for the Programs?</w:t>
      </w:r>
    </w:p>
    <w:p w14:paraId="4B17D234" w14:textId="77777777" w:rsidR="00E50923" w:rsidRPr="00E50923" w:rsidRDefault="00E50923" w:rsidP="002C3B33">
      <w:pPr>
        <w:tabs>
          <w:tab w:val="left" w:pos="709"/>
        </w:tabs>
        <w:spacing w:before="120" w:after="0" w:line="240" w:lineRule="auto"/>
        <w:rPr>
          <w:sz w:val="24"/>
          <w:szCs w:val="24"/>
        </w:rPr>
      </w:pPr>
      <w:r w:rsidRPr="00E50923">
        <w:rPr>
          <w:sz w:val="24"/>
          <w:szCs w:val="24"/>
        </w:rPr>
        <w:t>Where relevant, grant and tender documents will provide details on the number of properties and bedroom composition available for each service program element.</w:t>
      </w:r>
    </w:p>
    <w:p w14:paraId="52B24DA4" w14:textId="77777777" w:rsidR="00E50923" w:rsidRDefault="00E50923" w:rsidP="002C3B33">
      <w:pPr>
        <w:spacing w:before="120" w:after="0" w:line="240" w:lineRule="auto"/>
        <w:ind w:right="-454"/>
        <w:rPr>
          <w:sz w:val="24"/>
          <w:szCs w:val="24"/>
        </w:rPr>
      </w:pPr>
    </w:p>
    <w:p w14:paraId="14613736" w14:textId="2F48C70F" w:rsidR="004D0A9C" w:rsidRPr="004D0A9C" w:rsidRDefault="004D0A9C" w:rsidP="00B329D3">
      <w:pPr>
        <w:pStyle w:val="Heading1"/>
      </w:pPr>
      <w:r w:rsidRPr="004D0A9C">
        <w:t>What is being done to meet the need for more social, community and affordable housing options?</w:t>
      </w:r>
    </w:p>
    <w:p w14:paraId="4B390DB6" w14:textId="6896F09C" w:rsidR="00D049D8" w:rsidRPr="002C3B33" w:rsidRDefault="00D049D8" w:rsidP="002C3B33">
      <w:pPr>
        <w:tabs>
          <w:tab w:val="left" w:pos="709"/>
        </w:tabs>
        <w:spacing w:before="120" w:after="0" w:line="240" w:lineRule="auto"/>
        <w:rPr>
          <w:sz w:val="24"/>
          <w:szCs w:val="24"/>
        </w:rPr>
      </w:pPr>
      <w:r w:rsidRPr="00D049D8">
        <w:rPr>
          <w:sz w:val="24"/>
          <w:szCs w:val="24"/>
        </w:rPr>
        <w:t xml:space="preserve">Commissioning engagement also identified the need for more social, community and affordable housing to address current blockages in the Sector and provide more longer-term housing pathways for Canberrans experiencing homelessness.  </w:t>
      </w:r>
    </w:p>
    <w:p w14:paraId="493E99CE" w14:textId="77777777" w:rsidR="00D049D8" w:rsidRPr="00D049D8" w:rsidRDefault="00D049D8" w:rsidP="002C3B33">
      <w:pPr>
        <w:tabs>
          <w:tab w:val="left" w:pos="709"/>
        </w:tabs>
        <w:spacing w:before="120" w:after="0" w:line="240" w:lineRule="auto"/>
        <w:rPr>
          <w:sz w:val="24"/>
          <w:szCs w:val="24"/>
        </w:rPr>
      </w:pPr>
      <w:r w:rsidRPr="00D049D8">
        <w:rPr>
          <w:sz w:val="24"/>
          <w:szCs w:val="24"/>
        </w:rPr>
        <w:t xml:space="preserve">The ACT Government recognises this is not something the Sector can solve alone; we are committed to working with the Sector to increase housing supply. For example, the recent opening of Common Ground Dickson has created an exit pathway for </w:t>
      </w:r>
      <w:proofErr w:type="gramStart"/>
      <w:r w:rsidRPr="00D049D8">
        <w:rPr>
          <w:sz w:val="24"/>
          <w:szCs w:val="24"/>
        </w:rPr>
        <w:t>a number of</w:t>
      </w:r>
      <w:proofErr w:type="gramEnd"/>
      <w:r w:rsidRPr="00D049D8">
        <w:rPr>
          <w:sz w:val="24"/>
          <w:szCs w:val="24"/>
        </w:rPr>
        <w:t xml:space="preserve"> people previously in homelessness accommodation services. </w:t>
      </w:r>
    </w:p>
    <w:p w14:paraId="019F61FC" w14:textId="77777777" w:rsidR="00D049D8" w:rsidRPr="00D049D8" w:rsidRDefault="00D049D8" w:rsidP="002C3B33">
      <w:pPr>
        <w:tabs>
          <w:tab w:val="left" w:pos="709"/>
        </w:tabs>
        <w:spacing w:before="120" w:after="0" w:line="240" w:lineRule="auto"/>
        <w:rPr>
          <w:sz w:val="24"/>
          <w:szCs w:val="24"/>
        </w:rPr>
      </w:pPr>
      <w:r w:rsidRPr="00D049D8">
        <w:rPr>
          <w:iCs/>
          <w:sz w:val="24"/>
          <w:szCs w:val="24"/>
        </w:rPr>
        <w:t>In support of this goal, m</w:t>
      </w:r>
      <w:r w:rsidRPr="00D049D8">
        <w:rPr>
          <w:sz w:val="24"/>
          <w:szCs w:val="24"/>
        </w:rPr>
        <w:t>ost of the ACT Government’s Growth and Renewal properties are due to come on</w:t>
      </w:r>
      <w:r w:rsidRPr="00D049D8">
        <w:rPr>
          <w:sz w:val="24"/>
          <w:szCs w:val="24"/>
        </w:rPr>
        <w:noBreakHyphen/>
        <w:t>line in the next couple of years. This significant boost to the number of social housing properties available reflects the ACT Government’s unprecedented program of public housing renewal, representing more than $1.2 billion investment over 10 years from 2015, and the renewal of over 20 per cent of the ACT public housing portfolio.</w:t>
      </w:r>
    </w:p>
    <w:p w14:paraId="5A7EB479" w14:textId="77777777" w:rsidR="00D049D8" w:rsidRPr="00D049D8" w:rsidRDefault="00D049D8" w:rsidP="002C3B33">
      <w:pPr>
        <w:tabs>
          <w:tab w:val="left" w:pos="709"/>
        </w:tabs>
        <w:spacing w:before="120" w:after="0" w:line="240" w:lineRule="auto"/>
        <w:rPr>
          <w:sz w:val="24"/>
          <w:szCs w:val="24"/>
        </w:rPr>
      </w:pPr>
      <w:r w:rsidRPr="00D049D8">
        <w:rPr>
          <w:sz w:val="24"/>
          <w:szCs w:val="24"/>
        </w:rPr>
        <w:t>Additionally, in late 2020 the Growing and Renewing Public Housing Program targets were expanded to deliver an additional 60 new public housing dwellings as part of the economic stimulus package, and an additional 140 as part of the Parliamentary and Government Agreement. This results in the Program renewing 1,000 existing public housing properties and growing the portfolio by 400.</w:t>
      </w:r>
    </w:p>
    <w:p w14:paraId="49DE5B14" w14:textId="77777777" w:rsidR="00D049D8" w:rsidRPr="00D049D8" w:rsidRDefault="00D049D8" w:rsidP="002C3B33">
      <w:pPr>
        <w:tabs>
          <w:tab w:val="left" w:pos="709"/>
        </w:tabs>
        <w:spacing w:before="120" w:after="0" w:line="240" w:lineRule="auto"/>
        <w:rPr>
          <w:sz w:val="24"/>
          <w:szCs w:val="24"/>
        </w:rPr>
      </w:pPr>
      <w:r w:rsidRPr="00D049D8">
        <w:rPr>
          <w:sz w:val="24"/>
          <w:szCs w:val="24"/>
        </w:rPr>
        <w:t xml:space="preserve">In recognition of the impact of decreasing rental affordability and cost of living pressures on low income and vulnerable Canberrans at risk of or experiencing homelessness, the ACT Government will continue to explore more medium and longer-term solutions.  </w:t>
      </w:r>
      <w:proofErr w:type="gramStart"/>
      <w:r w:rsidRPr="00D049D8">
        <w:rPr>
          <w:sz w:val="24"/>
          <w:szCs w:val="24"/>
        </w:rPr>
        <w:t>In particular, we</w:t>
      </w:r>
      <w:proofErr w:type="gramEnd"/>
      <w:r w:rsidRPr="00D049D8">
        <w:rPr>
          <w:sz w:val="24"/>
          <w:szCs w:val="24"/>
        </w:rPr>
        <w:t xml:space="preserve"> are working closely with the Commonwealth Government on proposals to increase supply.</w:t>
      </w:r>
    </w:p>
    <w:p w14:paraId="019975D4" w14:textId="6D315A38" w:rsidR="00D049D8" w:rsidRPr="002C3B33" w:rsidRDefault="00D049D8" w:rsidP="002C3B33">
      <w:pPr>
        <w:tabs>
          <w:tab w:val="left" w:pos="709"/>
        </w:tabs>
        <w:spacing w:before="120" w:after="0" w:line="240" w:lineRule="auto"/>
        <w:rPr>
          <w:sz w:val="24"/>
          <w:szCs w:val="24"/>
        </w:rPr>
      </w:pPr>
    </w:p>
    <w:p w14:paraId="4DDA662D" w14:textId="46D02263" w:rsidR="00670C2A" w:rsidRPr="00670C2A" w:rsidRDefault="00670C2A" w:rsidP="00B329D3">
      <w:pPr>
        <w:pStyle w:val="Heading1"/>
      </w:pPr>
      <w:r>
        <w:lastRenderedPageBreak/>
        <w:t>How are c</w:t>
      </w:r>
      <w:r w:rsidRPr="00670C2A">
        <w:t>lients with high and complex needs and/or facing barriers in accessing homelessness accommodation services</w:t>
      </w:r>
      <w:r>
        <w:t xml:space="preserve"> being considered?</w:t>
      </w:r>
    </w:p>
    <w:p w14:paraId="4E8EBB9E" w14:textId="2C5CE776" w:rsidR="00670C2A" w:rsidRPr="002C3B33" w:rsidRDefault="00670C2A" w:rsidP="002C3B33">
      <w:pPr>
        <w:spacing w:before="120" w:after="0" w:line="240" w:lineRule="auto"/>
        <w:ind w:right="-454"/>
        <w:rPr>
          <w:sz w:val="24"/>
          <w:szCs w:val="24"/>
        </w:rPr>
      </w:pPr>
      <w:r w:rsidRPr="002C3B33">
        <w:rPr>
          <w:sz w:val="24"/>
          <w:szCs w:val="24"/>
        </w:rPr>
        <w:t>Another important theme identified through the commissioning process are the increasing number of clients with high and complex support needs and the requirement for:</w:t>
      </w:r>
    </w:p>
    <w:p w14:paraId="54C06C1F" w14:textId="29F653CB" w:rsidR="00670C2A" w:rsidRPr="002C3B33" w:rsidRDefault="00670C2A" w:rsidP="002C3B33">
      <w:pPr>
        <w:pStyle w:val="ListParagraph"/>
        <w:numPr>
          <w:ilvl w:val="0"/>
          <w:numId w:val="24"/>
        </w:numPr>
        <w:spacing w:before="120" w:after="0" w:line="240" w:lineRule="auto"/>
        <w:ind w:hanging="765"/>
        <w:contextualSpacing w:val="0"/>
        <w:rPr>
          <w:sz w:val="24"/>
          <w:szCs w:val="24"/>
        </w:rPr>
      </w:pPr>
      <w:r w:rsidRPr="002C3B33">
        <w:rPr>
          <w:sz w:val="24"/>
          <w:szCs w:val="24"/>
        </w:rPr>
        <w:t>a sustainable and flexible funding model</w:t>
      </w:r>
      <w:r w:rsidR="00DF5059" w:rsidRPr="002C3B33">
        <w:rPr>
          <w:sz w:val="24"/>
          <w:szCs w:val="24"/>
        </w:rPr>
        <w:t>;</w:t>
      </w:r>
    </w:p>
    <w:p w14:paraId="7500C54A" w14:textId="12D7FB3F" w:rsidR="00670C2A" w:rsidRPr="002C3B33" w:rsidRDefault="00670C2A" w:rsidP="002C3B33">
      <w:pPr>
        <w:pStyle w:val="ListParagraph"/>
        <w:numPr>
          <w:ilvl w:val="0"/>
          <w:numId w:val="24"/>
        </w:numPr>
        <w:spacing w:before="120" w:after="0" w:line="240" w:lineRule="auto"/>
        <w:ind w:hanging="765"/>
        <w:contextualSpacing w:val="0"/>
        <w:rPr>
          <w:sz w:val="24"/>
          <w:szCs w:val="24"/>
        </w:rPr>
      </w:pPr>
      <w:r w:rsidRPr="002C3B33">
        <w:rPr>
          <w:sz w:val="24"/>
          <w:szCs w:val="24"/>
        </w:rPr>
        <w:t xml:space="preserve">supported housing models, like </w:t>
      </w:r>
      <w:r w:rsidR="002C3B33" w:rsidRPr="002C3B33">
        <w:rPr>
          <w:sz w:val="24"/>
          <w:szCs w:val="24"/>
        </w:rPr>
        <w:t>H</w:t>
      </w:r>
      <w:r w:rsidRPr="002C3B33">
        <w:rPr>
          <w:sz w:val="24"/>
          <w:szCs w:val="24"/>
        </w:rPr>
        <w:t xml:space="preserve">ousing </w:t>
      </w:r>
      <w:r w:rsidR="002C3B33" w:rsidRPr="002C3B33">
        <w:rPr>
          <w:sz w:val="24"/>
          <w:szCs w:val="24"/>
        </w:rPr>
        <w:t>F</w:t>
      </w:r>
      <w:r w:rsidRPr="002C3B33">
        <w:rPr>
          <w:sz w:val="24"/>
          <w:szCs w:val="24"/>
        </w:rPr>
        <w:t>irst</w:t>
      </w:r>
      <w:r w:rsidR="00DF5059" w:rsidRPr="002C3B33">
        <w:rPr>
          <w:sz w:val="24"/>
          <w:szCs w:val="24"/>
        </w:rPr>
        <w:t>;</w:t>
      </w:r>
    </w:p>
    <w:p w14:paraId="399D9488" w14:textId="176E18D7" w:rsidR="00670C2A" w:rsidRPr="002C3B33" w:rsidRDefault="00670C2A" w:rsidP="002C3B33">
      <w:pPr>
        <w:pStyle w:val="ListParagraph"/>
        <w:numPr>
          <w:ilvl w:val="0"/>
          <w:numId w:val="24"/>
        </w:numPr>
        <w:spacing w:before="120" w:after="0" w:line="240" w:lineRule="auto"/>
        <w:ind w:hanging="765"/>
        <w:contextualSpacing w:val="0"/>
        <w:rPr>
          <w:sz w:val="24"/>
          <w:szCs w:val="24"/>
        </w:rPr>
      </w:pPr>
      <w:r w:rsidRPr="002C3B33">
        <w:rPr>
          <w:sz w:val="24"/>
          <w:szCs w:val="24"/>
        </w:rPr>
        <w:t>appropriate and suitable accommodation options</w:t>
      </w:r>
      <w:r w:rsidR="00BE50C2" w:rsidRPr="002C3B33">
        <w:rPr>
          <w:sz w:val="24"/>
          <w:szCs w:val="24"/>
        </w:rPr>
        <w:t>;</w:t>
      </w:r>
    </w:p>
    <w:p w14:paraId="6D57E791" w14:textId="59E17D2F" w:rsidR="00670C2A" w:rsidRPr="002C3B33" w:rsidRDefault="00670C2A" w:rsidP="002C3B33">
      <w:pPr>
        <w:pStyle w:val="ListParagraph"/>
        <w:numPr>
          <w:ilvl w:val="0"/>
          <w:numId w:val="24"/>
        </w:numPr>
        <w:spacing w:before="120" w:after="0" w:line="240" w:lineRule="auto"/>
        <w:ind w:hanging="765"/>
        <w:contextualSpacing w:val="0"/>
        <w:rPr>
          <w:sz w:val="24"/>
          <w:szCs w:val="24"/>
        </w:rPr>
      </w:pPr>
      <w:r w:rsidRPr="002C3B33">
        <w:rPr>
          <w:sz w:val="24"/>
          <w:szCs w:val="24"/>
        </w:rPr>
        <w:t>assertive outreach</w:t>
      </w:r>
      <w:r w:rsidR="00BE50C2" w:rsidRPr="002C3B33">
        <w:rPr>
          <w:sz w:val="24"/>
          <w:szCs w:val="24"/>
        </w:rPr>
        <w:t>;</w:t>
      </w:r>
      <w:r w:rsidRPr="002C3B33">
        <w:rPr>
          <w:sz w:val="24"/>
          <w:szCs w:val="24"/>
        </w:rPr>
        <w:t xml:space="preserve"> and</w:t>
      </w:r>
      <w:r w:rsidR="00BE50C2" w:rsidRPr="002C3B33">
        <w:rPr>
          <w:sz w:val="24"/>
          <w:szCs w:val="24"/>
        </w:rPr>
        <w:t>,</w:t>
      </w:r>
      <w:r w:rsidRPr="002C3B33">
        <w:rPr>
          <w:sz w:val="24"/>
          <w:szCs w:val="24"/>
        </w:rPr>
        <w:t xml:space="preserve"> </w:t>
      </w:r>
    </w:p>
    <w:p w14:paraId="605B8E6D" w14:textId="77777777" w:rsidR="00670C2A" w:rsidRPr="002C3B33" w:rsidRDefault="00670C2A" w:rsidP="002C3B33">
      <w:pPr>
        <w:pStyle w:val="ListParagraph"/>
        <w:numPr>
          <w:ilvl w:val="0"/>
          <w:numId w:val="24"/>
        </w:numPr>
        <w:spacing w:before="120" w:after="0" w:line="240" w:lineRule="auto"/>
        <w:ind w:hanging="765"/>
        <w:contextualSpacing w:val="0"/>
        <w:rPr>
          <w:sz w:val="24"/>
          <w:szCs w:val="24"/>
        </w:rPr>
      </w:pPr>
      <w:r w:rsidRPr="002C3B33">
        <w:rPr>
          <w:sz w:val="24"/>
          <w:szCs w:val="24"/>
        </w:rPr>
        <w:t>greater cross sector collaboration.</w:t>
      </w:r>
    </w:p>
    <w:p w14:paraId="3373C30A" w14:textId="0F093F83" w:rsidR="00670C2A" w:rsidRDefault="00670C2A" w:rsidP="002C3B33">
      <w:pPr>
        <w:spacing w:before="120" w:after="0" w:line="240" w:lineRule="auto"/>
        <w:ind w:right="-454"/>
        <w:rPr>
          <w:sz w:val="24"/>
          <w:szCs w:val="24"/>
        </w:rPr>
      </w:pPr>
      <w:r w:rsidRPr="002C3B33">
        <w:rPr>
          <w:sz w:val="24"/>
          <w:szCs w:val="24"/>
        </w:rPr>
        <w:t xml:space="preserve">In reviewing the insights and feedback received through the commissioning engagement </w:t>
      </w:r>
      <w:r w:rsidR="002C3B33" w:rsidRPr="002C3B33">
        <w:rPr>
          <w:sz w:val="24"/>
          <w:szCs w:val="24"/>
        </w:rPr>
        <w:t>process</w:t>
      </w:r>
      <w:r w:rsidRPr="002C3B33">
        <w:rPr>
          <w:sz w:val="24"/>
          <w:szCs w:val="24"/>
        </w:rPr>
        <w:t>, it has been recognised that further co-design is needed in the development of a proposed new program</w:t>
      </w:r>
      <w:r w:rsidR="002C3B33" w:rsidRPr="002C3B33">
        <w:rPr>
          <w:sz w:val="24"/>
          <w:szCs w:val="24"/>
        </w:rPr>
        <w:t>/s</w:t>
      </w:r>
      <w:r w:rsidRPr="002C3B33">
        <w:rPr>
          <w:sz w:val="24"/>
          <w:szCs w:val="24"/>
        </w:rPr>
        <w:t xml:space="preserve"> for clients with high and complex needs and/or other barriers.</w:t>
      </w:r>
      <w:r w:rsidR="0019587E">
        <w:rPr>
          <w:sz w:val="24"/>
          <w:szCs w:val="24"/>
        </w:rPr>
        <w:t xml:space="preserve"> This </w:t>
      </w:r>
      <w:r w:rsidR="00CB1B74">
        <w:rPr>
          <w:sz w:val="24"/>
          <w:szCs w:val="24"/>
        </w:rPr>
        <w:t>additional</w:t>
      </w:r>
      <w:r w:rsidR="0019587E">
        <w:rPr>
          <w:sz w:val="24"/>
          <w:szCs w:val="24"/>
        </w:rPr>
        <w:t xml:space="preserve"> co-design </w:t>
      </w:r>
      <w:r w:rsidR="007D0EA8">
        <w:rPr>
          <w:sz w:val="24"/>
          <w:szCs w:val="24"/>
        </w:rPr>
        <w:t xml:space="preserve">for clients with high and complex needs </w:t>
      </w:r>
      <w:r w:rsidR="0019587E">
        <w:rPr>
          <w:sz w:val="24"/>
          <w:szCs w:val="24"/>
        </w:rPr>
        <w:t>is expected to commence in February 2023.</w:t>
      </w:r>
    </w:p>
    <w:p w14:paraId="302E35A4" w14:textId="77777777" w:rsidR="007D0EA8" w:rsidRDefault="00BA3A21" w:rsidP="002C3B33">
      <w:pPr>
        <w:spacing w:before="120" w:after="0" w:line="240" w:lineRule="auto"/>
        <w:ind w:right="-454"/>
        <w:rPr>
          <w:sz w:val="24"/>
          <w:szCs w:val="24"/>
        </w:rPr>
      </w:pPr>
      <w:r>
        <w:rPr>
          <w:sz w:val="24"/>
          <w:szCs w:val="24"/>
        </w:rPr>
        <w:t>Information on c</w:t>
      </w:r>
      <w:r w:rsidR="007D0EA8">
        <w:rPr>
          <w:sz w:val="24"/>
          <w:szCs w:val="24"/>
        </w:rPr>
        <w:t>o</w:t>
      </w:r>
      <w:r>
        <w:rPr>
          <w:sz w:val="24"/>
          <w:szCs w:val="24"/>
        </w:rPr>
        <w:t xml:space="preserve">-design activities will be released on the CSD Commissioning website. </w:t>
      </w:r>
      <w:hyperlink r:id="rId20" w:history="1">
        <w:r w:rsidRPr="00D7381B">
          <w:rPr>
            <w:rStyle w:val="Hyperlink"/>
            <w:sz w:val="24"/>
            <w:szCs w:val="24"/>
          </w:rPr>
          <w:t>https://www.communityservices.act.gov.au/commissioning</w:t>
        </w:r>
      </w:hyperlink>
      <w:r>
        <w:rPr>
          <w:sz w:val="24"/>
          <w:szCs w:val="24"/>
        </w:rPr>
        <w:t xml:space="preserve"> </w:t>
      </w:r>
      <w:r w:rsidR="007D0EA8">
        <w:rPr>
          <w:sz w:val="24"/>
          <w:szCs w:val="24"/>
        </w:rPr>
        <w:t xml:space="preserve">. </w:t>
      </w:r>
    </w:p>
    <w:p w14:paraId="53D6E17C" w14:textId="28E826D5" w:rsidR="00BA3A21" w:rsidRPr="002C3B33" w:rsidRDefault="00BA3A21" w:rsidP="002C3B33">
      <w:pPr>
        <w:spacing w:before="120" w:after="0" w:line="240" w:lineRule="auto"/>
        <w:ind w:right="-454"/>
        <w:rPr>
          <w:sz w:val="24"/>
          <w:szCs w:val="24"/>
        </w:rPr>
      </w:pPr>
      <w:r>
        <w:rPr>
          <w:sz w:val="24"/>
          <w:szCs w:val="24"/>
        </w:rPr>
        <w:t xml:space="preserve">Housing ACT will also be </w:t>
      </w:r>
      <w:r w:rsidR="007D0EA8">
        <w:rPr>
          <w:sz w:val="24"/>
          <w:szCs w:val="24"/>
        </w:rPr>
        <w:t xml:space="preserve">providing written notification to </w:t>
      </w:r>
      <w:r>
        <w:rPr>
          <w:sz w:val="24"/>
          <w:szCs w:val="24"/>
        </w:rPr>
        <w:t>key stakeholders.</w:t>
      </w:r>
    </w:p>
    <w:p w14:paraId="63AC1271" w14:textId="77777777" w:rsidR="002C3B33" w:rsidRDefault="002C3B33" w:rsidP="002C3B33">
      <w:pPr>
        <w:spacing w:before="120" w:after="0" w:line="240" w:lineRule="auto"/>
        <w:ind w:right="-454"/>
        <w:rPr>
          <w:sz w:val="24"/>
          <w:szCs w:val="24"/>
        </w:rPr>
      </w:pPr>
    </w:p>
    <w:p w14:paraId="04B95D56" w14:textId="050E37FD" w:rsidR="009B32DA" w:rsidRPr="009B32DA" w:rsidRDefault="009B32DA" w:rsidP="00B329D3">
      <w:pPr>
        <w:pStyle w:val="Heading1"/>
      </w:pPr>
      <w:r w:rsidRPr="009B32DA">
        <w:t>Will there be any financial assistance for smaller o</w:t>
      </w:r>
      <w:r w:rsidR="00D31CA8">
        <w:t>r</w:t>
      </w:r>
      <w:r w:rsidRPr="009B32DA">
        <w:t>ganisations to assist with the completion of grant/tender documentation?</w:t>
      </w:r>
    </w:p>
    <w:p w14:paraId="049BCCFE" w14:textId="77777777" w:rsidR="005750C6" w:rsidRPr="002C3B33" w:rsidRDefault="005750C6" w:rsidP="005750C6">
      <w:pPr>
        <w:tabs>
          <w:tab w:val="left" w:pos="709"/>
        </w:tabs>
        <w:spacing w:before="120" w:after="0" w:line="240" w:lineRule="auto"/>
        <w:rPr>
          <w:sz w:val="24"/>
          <w:szCs w:val="24"/>
        </w:rPr>
      </w:pPr>
      <w:r w:rsidRPr="002C3B33">
        <w:rPr>
          <w:sz w:val="24"/>
          <w:szCs w:val="24"/>
        </w:rPr>
        <w:t xml:space="preserve">To support sector participation in the formal investment phase, CSD will conduct an Expression of Interest (EOI) </w:t>
      </w:r>
      <w:bookmarkStart w:id="2" w:name="_Hlk117687086"/>
      <w:r>
        <w:rPr>
          <w:sz w:val="24"/>
          <w:szCs w:val="24"/>
        </w:rPr>
        <w:t xml:space="preserve">with an amount of </w:t>
      </w:r>
      <w:r w:rsidRPr="002C3B33">
        <w:rPr>
          <w:sz w:val="24"/>
          <w:szCs w:val="24"/>
        </w:rPr>
        <w:t xml:space="preserve">up to $2,000.00 (GST </w:t>
      </w:r>
      <w:proofErr w:type="spellStart"/>
      <w:r w:rsidRPr="002C3B33">
        <w:rPr>
          <w:sz w:val="24"/>
          <w:szCs w:val="24"/>
        </w:rPr>
        <w:t>inc</w:t>
      </w:r>
      <w:proofErr w:type="spellEnd"/>
      <w:r w:rsidRPr="002C3B33">
        <w:rPr>
          <w:sz w:val="24"/>
          <w:szCs w:val="24"/>
        </w:rPr>
        <w:t xml:space="preserve">) </w:t>
      </w:r>
      <w:r>
        <w:rPr>
          <w:sz w:val="24"/>
          <w:szCs w:val="24"/>
        </w:rPr>
        <w:t xml:space="preserve">available as a contribution towards grant costs </w:t>
      </w:r>
      <w:r w:rsidRPr="002C3B33">
        <w:rPr>
          <w:sz w:val="24"/>
          <w:szCs w:val="24"/>
        </w:rPr>
        <w:t xml:space="preserve">for </w:t>
      </w:r>
      <w:bookmarkEnd w:id="2"/>
      <w:r w:rsidRPr="002C3B33">
        <w:rPr>
          <w:sz w:val="24"/>
          <w:szCs w:val="24"/>
        </w:rPr>
        <w:t xml:space="preserve">small to medium size organisations to engage a professional consultant to assist with the completion of grant/tender documentation. </w:t>
      </w:r>
    </w:p>
    <w:p w14:paraId="3C492CE6" w14:textId="77777777" w:rsidR="003300C3" w:rsidRPr="003300C3" w:rsidRDefault="003300C3" w:rsidP="003300C3">
      <w:pPr>
        <w:tabs>
          <w:tab w:val="left" w:pos="709"/>
        </w:tabs>
        <w:spacing w:before="120" w:after="0" w:line="240" w:lineRule="auto"/>
        <w:rPr>
          <w:sz w:val="24"/>
          <w:szCs w:val="24"/>
        </w:rPr>
      </w:pPr>
      <w:proofErr w:type="gramStart"/>
      <w:r w:rsidRPr="003300C3">
        <w:rPr>
          <w:sz w:val="24"/>
          <w:szCs w:val="24"/>
        </w:rPr>
        <w:t>For the purpose of</w:t>
      </w:r>
      <w:proofErr w:type="gramEnd"/>
      <w:r w:rsidRPr="003300C3">
        <w:rPr>
          <w:sz w:val="24"/>
          <w:szCs w:val="24"/>
        </w:rPr>
        <w:t xml:space="preserve"> the Expression of Interest grants available for small to medium size organisations; is defined as:</w:t>
      </w:r>
    </w:p>
    <w:p w14:paraId="2E05E71A" w14:textId="77777777" w:rsidR="003300C3" w:rsidRPr="003300C3" w:rsidRDefault="003300C3" w:rsidP="003300C3">
      <w:pPr>
        <w:pStyle w:val="ListParagraph"/>
        <w:numPr>
          <w:ilvl w:val="0"/>
          <w:numId w:val="29"/>
        </w:numPr>
        <w:tabs>
          <w:tab w:val="left" w:pos="709"/>
        </w:tabs>
        <w:spacing w:before="120" w:after="0" w:line="240" w:lineRule="auto"/>
        <w:rPr>
          <w:sz w:val="24"/>
          <w:szCs w:val="24"/>
        </w:rPr>
      </w:pPr>
      <w:r w:rsidRPr="003300C3">
        <w:rPr>
          <w:sz w:val="24"/>
          <w:szCs w:val="24"/>
        </w:rPr>
        <w:t xml:space="preserve">Small Organisations employing between 1 – 25 </w:t>
      </w:r>
      <w:proofErr w:type="gramStart"/>
      <w:r w:rsidRPr="003300C3">
        <w:rPr>
          <w:sz w:val="24"/>
          <w:szCs w:val="24"/>
        </w:rPr>
        <w:t>people</w:t>
      </w:r>
      <w:proofErr w:type="gramEnd"/>
    </w:p>
    <w:p w14:paraId="12CFE232" w14:textId="400E4E39" w:rsidR="003300C3" w:rsidRPr="003300C3" w:rsidRDefault="003300C3" w:rsidP="003300C3">
      <w:pPr>
        <w:pStyle w:val="ListParagraph"/>
        <w:numPr>
          <w:ilvl w:val="0"/>
          <w:numId w:val="29"/>
        </w:numPr>
        <w:tabs>
          <w:tab w:val="left" w:pos="709"/>
        </w:tabs>
        <w:spacing w:before="120" w:after="0" w:line="240" w:lineRule="auto"/>
        <w:rPr>
          <w:sz w:val="24"/>
          <w:szCs w:val="24"/>
        </w:rPr>
      </w:pPr>
      <w:r w:rsidRPr="003300C3">
        <w:rPr>
          <w:sz w:val="24"/>
          <w:szCs w:val="24"/>
        </w:rPr>
        <w:t xml:space="preserve">Medium Organisations employing between 25 – 100 </w:t>
      </w:r>
      <w:proofErr w:type="gramStart"/>
      <w:r w:rsidRPr="003300C3">
        <w:rPr>
          <w:sz w:val="24"/>
          <w:szCs w:val="24"/>
        </w:rPr>
        <w:t>people</w:t>
      </w:r>
      <w:proofErr w:type="gramEnd"/>
    </w:p>
    <w:p w14:paraId="6EF99283" w14:textId="25143735" w:rsidR="002C3B33" w:rsidRDefault="002C3B33" w:rsidP="002C3B33">
      <w:pPr>
        <w:tabs>
          <w:tab w:val="left" w:pos="709"/>
        </w:tabs>
        <w:spacing w:before="120" w:after="0" w:line="240" w:lineRule="auto"/>
        <w:rPr>
          <w:sz w:val="24"/>
          <w:szCs w:val="24"/>
        </w:rPr>
      </w:pPr>
      <w:r w:rsidRPr="002C3B33">
        <w:rPr>
          <w:sz w:val="24"/>
          <w:szCs w:val="24"/>
        </w:rPr>
        <w:t xml:space="preserve">Further details about the EOI process and timeframes will be released with Sector sounding papers. </w:t>
      </w:r>
    </w:p>
    <w:p w14:paraId="3D36DC16" w14:textId="418CC831" w:rsidR="009B32DA" w:rsidRDefault="009B32DA" w:rsidP="002C3B33">
      <w:pPr>
        <w:pBdr>
          <w:bottom w:val="single" w:sz="6" w:space="1" w:color="auto"/>
        </w:pBdr>
        <w:spacing w:before="120" w:after="0" w:line="240" w:lineRule="auto"/>
        <w:ind w:right="-454"/>
        <w:rPr>
          <w:sz w:val="24"/>
          <w:szCs w:val="24"/>
        </w:rPr>
      </w:pPr>
    </w:p>
    <w:p w14:paraId="1B6D999B" w14:textId="77777777" w:rsidR="008A72B2" w:rsidRDefault="008A72B2">
      <w:pPr>
        <w:spacing w:before="0" w:after="160" w:line="259" w:lineRule="auto"/>
        <w:rPr>
          <w:sz w:val="24"/>
          <w:szCs w:val="24"/>
        </w:rPr>
      </w:pPr>
    </w:p>
    <w:p w14:paraId="268B8DDB" w14:textId="2529E09A" w:rsidR="008A72B2" w:rsidRPr="00CF4532" w:rsidRDefault="008A72B2" w:rsidP="008A72B2">
      <w:pPr>
        <w:spacing w:before="0" w:after="160" w:line="259" w:lineRule="auto"/>
        <w:jc w:val="right"/>
        <w:rPr>
          <w:b/>
          <w:bCs/>
          <w:sz w:val="24"/>
          <w:szCs w:val="24"/>
        </w:rPr>
      </w:pPr>
      <w:r w:rsidRPr="00CF4532">
        <w:rPr>
          <w:b/>
          <w:bCs/>
          <w:sz w:val="24"/>
          <w:szCs w:val="24"/>
        </w:rPr>
        <w:br w:type="page"/>
      </w:r>
    </w:p>
    <w:p w14:paraId="29C260E6" w14:textId="068F754F" w:rsidR="00BD48C8" w:rsidRDefault="00BD48C8" w:rsidP="00B329D3">
      <w:pPr>
        <w:pStyle w:val="Heading1"/>
      </w:pPr>
      <w:proofErr w:type="gramStart"/>
      <w:r>
        <w:lastRenderedPageBreak/>
        <w:t>Are</w:t>
      </w:r>
      <w:proofErr w:type="gramEnd"/>
      <w:r>
        <w:t xml:space="preserve"> the </w:t>
      </w:r>
      <w:r w:rsidR="00EA542B">
        <w:t xml:space="preserve">sector </w:t>
      </w:r>
      <w:r>
        <w:t>sounding papers proposed to give us more context in terms of what the process is going to look like?</w:t>
      </w:r>
    </w:p>
    <w:p w14:paraId="231BCCE5" w14:textId="1586C355" w:rsidR="00F52917" w:rsidRPr="00F52917" w:rsidRDefault="00755F4A" w:rsidP="00F52917">
      <w:pPr>
        <w:spacing w:before="120" w:after="0" w:line="240" w:lineRule="auto"/>
        <w:rPr>
          <w:sz w:val="24"/>
          <w:szCs w:val="24"/>
        </w:rPr>
      </w:pPr>
      <w:r>
        <w:rPr>
          <w:sz w:val="24"/>
          <w:szCs w:val="24"/>
        </w:rPr>
        <w:t xml:space="preserve">Yes, the </w:t>
      </w:r>
      <w:r w:rsidR="00F52917" w:rsidRPr="00F52917">
        <w:rPr>
          <w:sz w:val="24"/>
          <w:szCs w:val="24"/>
        </w:rPr>
        <w:t>Sector sounding papers detail:</w:t>
      </w:r>
    </w:p>
    <w:p w14:paraId="7C9040BC" w14:textId="77777777" w:rsidR="00F52917" w:rsidRPr="00F52917" w:rsidRDefault="00F52917" w:rsidP="00F52917">
      <w:pPr>
        <w:numPr>
          <w:ilvl w:val="0"/>
          <w:numId w:val="28"/>
        </w:numPr>
        <w:spacing w:before="120" w:after="0" w:line="240" w:lineRule="auto"/>
        <w:ind w:left="567" w:hanging="567"/>
        <w:rPr>
          <w:sz w:val="24"/>
          <w:szCs w:val="24"/>
        </w:rPr>
      </w:pPr>
      <w:r w:rsidRPr="00F52917">
        <w:rPr>
          <w:sz w:val="24"/>
          <w:szCs w:val="24"/>
        </w:rPr>
        <w:t>the purpose of commissioning,</w:t>
      </w:r>
    </w:p>
    <w:p w14:paraId="45105A71" w14:textId="77777777" w:rsidR="00F52917" w:rsidRPr="00F52917" w:rsidRDefault="00F52917" w:rsidP="00F52917">
      <w:pPr>
        <w:numPr>
          <w:ilvl w:val="0"/>
          <w:numId w:val="28"/>
        </w:numPr>
        <w:spacing w:before="120" w:after="0" w:line="240" w:lineRule="auto"/>
        <w:ind w:left="567" w:hanging="567"/>
        <w:rPr>
          <w:sz w:val="24"/>
          <w:szCs w:val="24"/>
        </w:rPr>
      </w:pPr>
      <w:r w:rsidRPr="00F52917">
        <w:rPr>
          <w:sz w:val="24"/>
          <w:szCs w:val="24"/>
        </w:rPr>
        <w:t>proposed engagement methodology,</w:t>
      </w:r>
    </w:p>
    <w:p w14:paraId="1F6A7B7E" w14:textId="77777777" w:rsidR="00F52917" w:rsidRPr="00F52917" w:rsidRDefault="00F52917" w:rsidP="00F52917">
      <w:pPr>
        <w:numPr>
          <w:ilvl w:val="0"/>
          <w:numId w:val="28"/>
        </w:numPr>
        <w:spacing w:before="120" w:after="0" w:line="240" w:lineRule="auto"/>
        <w:ind w:left="567" w:hanging="567"/>
        <w:rPr>
          <w:sz w:val="24"/>
          <w:szCs w:val="24"/>
        </w:rPr>
      </w:pPr>
      <w:r w:rsidRPr="00F52917">
        <w:rPr>
          <w:sz w:val="24"/>
          <w:szCs w:val="24"/>
        </w:rPr>
        <w:t>definitions of service programs,</w:t>
      </w:r>
    </w:p>
    <w:p w14:paraId="53104D77" w14:textId="77777777" w:rsidR="00F52917" w:rsidRPr="00F52917" w:rsidRDefault="00F52917" w:rsidP="00F52917">
      <w:pPr>
        <w:numPr>
          <w:ilvl w:val="0"/>
          <w:numId w:val="28"/>
        </w:numPr>
        <w:spacing w:before="120" w:after="0" w:line="240" w:lineRule="auto"/>
        <w:ind w:left="567" w:hanging="567"/>
        <w:rPr>
          <w:sz w:val="24"/>
          <w:szCs w:val="24"/>
        </w:rPr>
      </w:pPr>
      <w:r w:rsidRPr="00F52917">
        <w:rPr>
          <w:sz w:val="24"/>
          <w:szCs w:val="24"/>
        </w:rPr>
        <w:t xml:space="preserve">identified cohorts, needs and gaps, indicative outcomes and indicative performance indicators obtained from the Commissioning engagement process, </w:t>
      </w:r>
    </w:p>
    <w:p w14:paraId="3378AD04" w14:textId="77777777" w:rsidR="00F52917" w:rsidRPr="00F52917" w:rsidRDefault="00F52917" w:rsidP="00F52917">
      <w:pPr>
        <w:numPr>
          <w:ilvl w:val="0"/>
          <w:numId w:val="28"/>
        </w:numPr>
        <w:spacing w:before="120" w:after="0" w:line="240" w:lineRule="auto"/>
        <w:ind w:left="567" w:hanging="567"/>
        <w:rPr>
          <w:sz w:val="24"/>
          <w:szCs w:val="24"/>
        </w:rPr>
      </w:pPr>
      <w:r w:rsidRPr="00F52917">
        <w:rPr>
          <w:sz w:val="24"/>
          <w:szCs w:val="24"/>
        </w:rPr>
        <w:t>proposed length of grants/contracts and why,</w:t>
      </w:r>
    </w:p>
    <w:p w14:paraId="379243AD" w14:textId="77777777" w:rsidR="00F52917" w:rsidRPr="00F52917" w:rsidRDefault="00F52917" w:rsidP="00F52917">
      <w:pPr>
        <w:numPr>
          <w:ilvl w:val="0"/>
          <w:numId w:val="28"/>
        </w:numPr>
        <w:spacing w:before="120" w:after="0" w:line="240" w:lineRule="auto"/>
        <w:ind w:left="567" w:hanging="567"/>
        <w:rPr>
          <w:sz w:val="24"/>
          <w:szCs w:val="24"/>
        </w:rPr>
      </w:pPr>
      <w:r w:rsidRPr="00F52917">
        <w:rPr>
          <w:sz w:val="24"/>
          <w:szCs w:val="24"/>
        </w:rPr>
        <w:t>feedback sought on a sustainable rental remittance model for head leased properties (where applicable),</w:t>
      </w:r>
    </w:p>
    <w:p w14:paraId="013B19CB" w14:textId="77777777" w:rsidR="00F52917" w:rsidRPr="00F52917" w:rsidRDefault="00F52917" w:rsidP="00F52917">
      <w:pPr>
        <w:numPr>
          <w:ilvl w:val="0"/>
          <w:numId w:val="28"/>
        </w:numPr>
        <w:spacing w:before="120" w:after="0" w:line="240" w:lineRule="auto"/>
        <w:ind w:left="567" w:hanging="567"/>
        <w:rPr>
          <w:sz w:val="24"/>
          <w:szCs w:val="24"/>
        </w:rPr>
      </w:pPr>
      <w:r w:rsidRPr="00F52917">
        <w:rPr>
          <w:sz w:val="24"/>
          <w:szCs w:val="24"/>
        </w:rPr>
        <w:t xml:space="preserve">threshold requirements (where applicable), </w:t>
      </w:r>
    </w:p>
    <w:p w14:paraId="53594155" w14:textId="77777777" w:rsidR="00F52917" w:rsidRPr="00F52917" w:rsidRDefault="00F52917" w:rsidP="00F52917">
      <w:pPr>
        <w:numPr>
          <w:ilvl w:val="0"/>
          <w:numId w:val="28"/>
        </w:numPr>
        <w:spacing w:before="120" w:after="0" w:line="240" w:lineRule="auto"/>
        <w:ind w:left="567" w:hanging="567"/>
        <w:rPr>
          <w:sz w:val="24"/>
          <w:szCs w:val="24"/>
        </w:rPr>
      </w:pPr>
      <w:r w:rsidRPr="00F52917">
        <w:rPr>
          <w:sz w:val="24"/>
          <w:szCs w:val="24"/>
        </w:rPr>
        <w:t>timeframes, and</w:t>
      </w:r>
    </w:p>
    <w:p w14:paraId="222C49C0" w14:textId="77777777" w:rsidR="00F52917" w:rsidRPr="00F52917" w:rsidRDefault="00F52917" w:rsidP="00F52917">
      <w:pPr>
        <w:numPr>
          <w:ilvl w:val="0"/>
          <w:numId w:val="28"/>
        </w:numPr>
        <w:spacing w:before="120" w:after="0" w:line="240" w:lineRule="auto"/>
        <w:ind w:left="567" w:hanging="567"/>
        <w:rPr>
          <w:sz w:val="24"/>
          <w:szCs w:val="24"/>
        </w:rPr>
      </w:pPr>
      <w:r w:rsidRPr="00F52917">
        <w:rPr>
          <w:sz w:val="24"/>
          <w:szCs w:val="24"/>
        </w:rPr>
        <w:t>provide advanced notice of assessment criterion.</w:t>
      </w:r>
    </w:p>
    <w:p w14:paraId="2543CE5F" w14:textId="3E918F4B" w:rsidR="00BD48C8" w:rsidRDefault="00755F4A" w:rsidP="00755F4A">
      <w:pPr>
        <w:tabs>
          <w:tab w:val="left" w:pos="709"/>
        </w:tabs>
        <w:spacing w:before="120" w:after="0" w:line="240" w:lineRule="auto"/>
        <w:rPr>
          <w:sz w:val="24"/>
          <w:szCs w:val="24"/>
        </w:rPr>
      </w:pPr>
      <w:r w:rsidRPr="00755F4A">
        <w:rPr>
          <w:sz w:val="24"/>
          <w:szCs w:val="24"/>
        </w:rPr>
        <w:t xml:space="preserve">Feedback from </w:t>
      </w:r>
      <w:r>
        <w:rPr>
          <w:sz w:val="24"/>
          <w:szCs w:val="24"/>
        </w:rPr>
        <w:t xml:space="preserve">sector sounding will further inform the design of the services and the requirements for any future grant/tender.  </w:t>
      </w:r>
    </w:p>
    <w:p w14:paraId="71330224" w14:textId="77777777" w:rsidR="00755F4A" w:rsidRPr="00755F4A" w:rsidRDefault="00755F4A" w:rsidP="00755F4A">
      <w:pPr>
        <w:tabs>
          <w:tab w:val="left" w:pos="709"/>
        </w:tabs>
        <w:spacing w:before="120" w:after="0" w:line="240" w:lineRule="auto"/>
        <w:rPr>
          <w:sz w:val="24"/>
          <w:szCs w:val="24"/>
        </w:rPr>
      </w:pPr>
    </w:p>
    <w:p w14:paraId="3944E37F" w14:textId="3443BA03" w:rsidR="008A72B2" w:rsidRPr="009B32DA" w:rsidRDefault="008A72B2" w:rsidP="00B329D3">
      <w:pPr>
        <w:pStyle w:val="Heading1"/>
      </w:pPr>
      <w:r>
        <w:t>Are organisations responsible for proposing the service model?</w:t>
      </w:r>
      <w:r w:rsidR="00E263BF" w:rsidRPr="00E263BF">
        <w:t xml:space="preserve"> </w:t>
      </w:r>
      <w:r w:rsidR="00E263BF">
        <w:t>Will the sounding papers provide an overview of the design and rationale for the service models and typologies that will constitute the sector or sub-sectors.</w:t>
      </w:r>
    </w:p>
    <w:p w14:paraId="0AC5654B" w14:textId="56ADE3B0" w:rsidR="008A30B7" w:rsidRDefault="008A30B7" w:rsidP="00E263BF">
      <w:pPr>
        <w:tabs>
          <w:tab w:val="left" w:pos="709"/>
        </w:tabs>
        <w:spacing w:before="120" w:after="0" w:line="240" w:lineRule="auto"/>
        <w:rPr>
          <w:sz w:val="24"/>
          <w:szCs w:val="24"/>
        </w:rPr>
      </w:pPr>
      <w:r>
        <w:rPr>
          <w:sz w:val="24"/>
          <w:szCs w:val="24"/>
        </w:rPr>
        <w:t xml:space="preserve">As part of the grant/tender application process, organisations will be responsible for proposing a service model. </w:t>
      </w:r>
    </w:p>
    <w:p w14:paraId="156FE46A" w14:textId="6AD4C269" w:rsidR="00BB6607" w:rsidRPr="00E263BF" w:rsidRDefault="008A30B7" w:rsidP="00E263BF">
      <w:pPr>
        <w:tabs>
          <w:tab w:val="left" w:pos="709"/>
        </w:tabs>
        <w:spacing w:before="120" w:after="0" w:line="240" w:lineRule="auto"/>
        <w:rPr>
          <w:sz w:val="24"/>
          <w:szCs w:val="24"/>
        </w:rPr>
      </w:pPr>
      <w:r>
        <w:rPr>
          <w:sz w:val="24"/>
          <w:szCs w:val="24"/>
        </w:rPr>
        <w:t>I</w:t>
      </w:r>
      <w:r w:rsidR="00BB6607" w:rsidRPr="00E263BF">
        <w:rPr>
          <w:sz w:val="24"/>
          <w:szCs w:val="24"/>
        </w:rPr>
        <w:t xml:space="preserve">nformation on service elements, outcomes and approaches </w:t>
      </w:r>
      <w:r w:rsidR="00F557F2">
        <w:rPr>
          <w:sz w:val="24"/>
          <w:szCs w:val="24"/>
        </w:rPr>
        <w:t xml:space="preserve">collectively </w:t>
      </w:r>
      <w:r w:rsidR="00BB6607" w:rsidRPr="00E263BF">
        <w:rPr>
          <w:sz w:val="24"/>
          <w:szCs w:val="24"/>
        </w:rPr>
        <w:t xml:space="preserve">identified </w:t>
      </w:r>
      <w:r w:rsidR="00F557F2">
        <w:rPr>
          <w:sz w:val="24"/>
          <w:szCs w:val="24"/>
        </w:rPr>
        <w:t xml:space="preserve">by the Sector and ACT Government </w:t>
      </w:r>
      <w:r w:rsidR="00BB6607" w:rsidRPr="00E263BF">
        <w:rPr>
          <w:sz w:val="24"/>
          <w:szCs w:val="24"/>
        </w:rPr>
        <w:t>as important during Commissioning engagement will be detailed in the sector sounding paper and the grant/tender for consideration in the proposed service delivery model.</w:t>
      </w:r>
    </w:p>
    <w:p w14:paraId="232EA8C2" w14:textId="77777777" w:rsidR="00E263BF" w:rsidRPr="00E263BF" w:rsidRDefault="00BB6607" w:rsidP="00E263BF">
      <w:pPr>
        <w:tabs>
          <w:tab w:val="left" w:pos="709"/>
        </w:tabs>
        <w:spacing w:before="120" w:after="0" w:line="240" w:lineRule="auto"/>
        <w:rPr>
          <w:sz w:val="24"/>
          <w:szCs w:val="24"/>
        </w:rPr>
      </w:pPr>
      <w:r w:rsidRPr="00E263BF">
        <w:rPr>
          <w:sz w:val="24"/>
          <w:szCs w:val="24"/>
        </w:rPr>
        <w:t xml:space="preserve">The proposed service model, </w:t>
      </w:r>
      <w:proofErr w:type="gramStart"/>
      <w:r w:rsidRPr="00E263BF">
        <w:rPr>
          <w:sz w:val="24"/>
          <w:szCs w:val="24"/>
        </w:rPr>
        <w:t>resources</w:t>
      </w:r>
      <w:proofErr w:type="gramEnd"/>
      <w:r w:rsidRPr="00E263BF">
        <w:rPr>
          <w:sz w:val="24"/>
          <w:szCs w:val="24"/>
        </w:rPr>
        <w:t xml:space="preserve"> and the amount of funding within the declared funding envelope is at the discretion of the applicant.</w:t>
      </w:r>
      <w:r w:rsidR="008A72B2" w:rsidRPr="00E263BF">
        <w:rPr>
          <w:sz w:val="24"/>
          <w:szCs w:val="24"/>
        </w:rPr>
        <w:t xml:space="preserve">  </w:t>
      </w:r>
      <w:r w:rsidRPr="00E263BF">
        <w:rPr>
          <w:sz w:val="24"/>
          <w:szCs w:val="24"/>
        </w:rPr>
        <w:t>Applicants when preparing their proposed service model should reflect the outcomes to date of the commissioning process</w:t>
      </w:r>
      <w:r w:rsidR="00E263BF" w:rsidRPr="00E263BF">
        <w:rPr>
          <w:sz w:val="24"/>
          <w:szCs w:val="24"/>
        </w:rPr>
        <w:t>.</w:t>
      </w:r>
    </w:p>
    <w:p w14:paraId="6D48832A" w14:textId="00D75407" w:rsidR="008A72B2" w:rsidRDefault="00E263BF" w:rsidP="00E263BF">
      <w:pPr>
        <w:tabs>
          <w:tab w:val="left" w:pos="709"/>
        </w:tabs>
        <w:spacing w:before="120" w:after="0" w:line="240" w:lineRule="auto"/>
        <w:rPr>
          <w:sz w:val="24"/>
          <w:szCs w:val="24"/>
        </w:rPr>
      </w:pPr>
      <w:r w:rsidRPr="00E263BF">
        <w:rPr>
          <w:sz w:val="24"/>
          <w:szCs w:val="24"/>
        </w:rPr>
        <w:t xml:space="preserve">The overarching funding for the homelessness sector and the funding envelope for each sub sector remains the same. </w:t>
      </w:r>
      <w:r w:rsidR="00BB6607" w:rsidRPr="00E263BF">
        <w:rPr>
          <w:sz w:val="24"/>
          <w:szCs w:val="24"/>
        </w:rPr>
        <w:t xml:space="preserve"> </w:t>
      </w:r>
      <w:r w:rsidRPr="00E263BF">
        <w:rPr>
          <w:sz w:val="24"/>
          <w:szCs w:val="24"/>
        </w:rPr>
        <w:t xml:space="preserve">Funding for 2023/24 will remain as per current funding levels plus indexation. </w:t>
      </w:r>
    </w:p>
    <w:p w14:paraId="5FBF315C" w14:textId="6A490068" w:rsidR="00755F4A" w:rsidRPr="00E263BF" w:rsidRDefault="00755F4A" w:rsidP="00E263BF">
      <w:pPr>
        <w:tabs>
          <w:tab w:val="left" w:pos="709"/>
        </w:tabs>
        <w:spacing w:before="120" w:after="0" w:line="240" w:lineRule="auto"/>
        <w:rPr>
          <w:sz w:val="24"/>
          <w:szCs w:val="24"/>
        </w:rPr>
      </w:pPr>
      <w:r>
        <w:rPr>
          <w:sz w:val="24"/>
          <w:szCs w:val="24"/>
        </w:rPr>
        <w:t xml:space="preserve">The final landscape of </w:t>
      </w:r>
      <w:r w:rsidR="00664330">
        <w:rPr>
          <w:sz w:val="24"/>
          <w:szCs w:val="24"/>
        </w:rPr>
        <w:t xml:space="preserve">the </w:t>
      </w:r>
      <w:r>
        <w:rPr>
          <w:sz w:val="24"/>
          <w:szCs w:val="24"/>
        </w:rPr>
        <w:t xml:space="preserve">sub-sectors </w:t>
      </w:r>
      <w:r w:rsidR="00C32E16">
        <w:rPr>
          <w:sz w:val="24"/>
          <w:szCs w:val="24"/>
        </w:rPr>
        <w:t xml:space="preserve">including composition and funding </w:t>
      </w:r>
      <w:r>
        <w:rPr>
          <w:sz w:val="24"/>
          <w:szCs w:val="24"/>
        </w:rPr>
        <w:t xml:space="preserve">will be determined following assessment of </w:t>
      </w:r>
      <w:r w:rsidR="00664330">
        <w:rPr>
          <w:sz w:val="24"/>
          <w:szCs w:val="24"/>
        </w:rPr>
        <w:t xml:space="preserve">grant/tender </w:t>
      </w:r>
      <w:r>
        <w:rPr>
          <w:sz w:val="24"/>
          <w:szCs w:val="24"/>
        </w:rPr>
        <w:t xml:space="preserve">applications, service models and outcomes. </w:t>
      </w:r>
      <w:r w:rsidR="00055740">
        <w:rPr>
          <w:sz w:val="24"/>
          <w:szCs w:val="24"/>
        </w:rPr>
        <w:t xml:space="preserve">Information on the interim landscape </w:t>
      </w:r>
      <w:r w:rsidR="00CF4532">
        <w:rPr>
          <w:sz w:val="24"/>
          <w:szCs w:val="24"/>
        </w:rPr>
        <w:t>will be released post sector sounding and with</w:t>
      </w:r>
      <w:r w:rsidR="00055740">
        <w:rPr>
          <w:sz w:val="24"/>
          <w:szCs w:val="24"/>
        </w:rPr>
        <w:t>in</w:t>
      </w:r>
      <w:r w:rsidR="00CF4532">
        <w:rPr>
          <w:sz w:val="24"/>
          <w:szCs w:val="24"/>
        </w:rPr>
        <w:t xml:space="preserve"> grant/tenders. </w:t>
      </w:r>
    </w:p>
    <w:p w14:paraId="12BC585F" w14:textId="77777777" w:rsidR="00EA542B" w:rsidRDefault="00EA542B" w:rsidP="00B329D3">
      <w:pPr>
        <w:pStyle w:val="Heading1"/>
      </w:pPr>
    </w:p>
    <w:p w14:paraId="18D82280" w14:textId="5A75B4A3" w:rsidR="00BB6607" w:rsidRPr="00E263BF" w:rsidRDefault="00EA542B" w:rsidP="00B329D3">
      <w:pPr>
        <w:pStyle w:val="Heading1"/>
      </w:pPr>
      <w:r>
        <w:t>W</w:t>
      </w:r>
      <w:r w:rsidR="00BB6607" w:rsidRPr="00E263BF">
        <w:t xml:space="preserve">e are </w:t>
      </w:r>
      <w:r>
        <w:t xml:space="preserve">a </w:t>
      </w:r>
      <w:r w:rsidR="00BB6607" w:rsidRPr="00E263BF">
        <w:t>peak for the youth sector – including the youth homelessness services?</w:t>
      </w:r>
      <w:r w:rsidR="00C32E16">
        <w:t xml:space="preserve"> Will we be provided the opportunity to view the Sector Sounding Papers?</w:t>
      </w:r>
    </w:p>
    <w:p w14:paraId="4BFF05CE" w14:textId="77777777" w:rsidR="00BA3A21" w:rsidRDefault="00E263BF" w:rsidP="00E263BF">
      <w:pPr>
        <w:tabs>
          <w:tab w:val="left" w:pos="709"/>
        </w:tabs>
        <w:spacing w:before="120" w:after="0" w:line="240" w:lineRule="auto"/>
        <w:rPr>
          <w:sz w:val="24"/>
          <w:szCs w:val="24"/>
        </w:rPr>
      </w:pPr>
      <w:r>
        <w:rPr>
          <w:sz w:val="24"/>
          <w:szCs w:val="24"/>
        </w:rPr>
        <w:t xml:space="preserve">Sector sounding papers for direct and select approach grants will be issued to existing funded organisations.  Organisations have the discretion to share with a peak body or advocacy group and seek feedback and/or assistance. </w:t>
      </w:r>
    </w:p>
    <w:p w14:paraId="57A0FDDE" w14:textId="296E4F43" w:rsidR="00BB6607" w:rsidRDefault="00E263BF" w:rsidP="00E263BF">
      <w:pPr>
        <w:tabs>
          <w:tab w:val="left" w:pos="709"/>
        </w:tabs>
        <w:spacing w:before="120" w:after="0" w:line="240" w:lineRule="auto"/>
        <w:rPr>
          <w:sz w:val="24"/>
          <w:szCs w:val="24"/>
        </w:rPr>
      </w:pPr>
      <w:r>
        <w:rPr>
          <w:sz w:val="24"/>
          <w:szCs w:val="24"/>
        </w:rPr>
        <w:t xml:space="preserve">In 2023 </w:t>
      </w:r>
      <w:r w:rsidR="0019587E">
        <w:rPr>
          <w:sz w:val="24"/>
          <w:szCs w:val="24"/>
        </w:rPr>
        <w:t xml:space="preserve">Sector Sounding Papers for </w:t>
      </w:r>
      <w:r w:rsidR="00F557F2">
        <w:rPr>
          <w:sz w:val="24"/>
          <w:szCs w:val="24"/>
        </w:rPr>
        <w:t>o</w:t>
      </w:r>
      <w:r>
        <w:rPr>
          <w:sz w:val="24"/>
          <w:szCs w:val="24"/>
        </w:rPr>
        <w:t xml:space="preserve">pen </w:t>
      </w:r>
      <w:r w:rsidR="00F557F2">
        <w:rPr>
          <w:sz w:val="24"/>
          <w:szCs w:val="24"/>
        </w:rPr>
        <w:t>p</w:t>
      </w:r>
      <w:r>
        <w:rPr>
          <w:sz w:val="24"/>
          <w:szCs w:val="24"/>
        </w:rPr>
        <w:t xml:space="preserve">ublic grants and </w:t>
      </w:r>
      <w:r w:rsidR="00EA542B">
        <w:rPr>
          <w:sz w:val="24"/>
          <w:szCs w:val="24"/>
        </w:rPr>
        <w:t xml:space="preserve">open </w:t>
      </w:r>
      <w:r w:rsidR="00BA3A21">
        <w:rPr>
          <w:sz w:val="24"/>
          <w:szCs w:val="24"/>
        </w:rPr>
        <w:t xml:space="preserve">public </w:t>
      </w:r>
      <w:r>
        <w:rPr>
          <w:sz w:val="24"/>
          <w:szCs w:val="24"/>
        </w:rPr>
        <w:t>tenders will be released for public feedback</w:t>
      </w:r>
      <w:r w:rsidR="0019587E">
        <w:rPr>
          <w:sz w:val="24"/>
          <w:szCs w:val="24"/>
        </w:rPr>
        <w:t xml:space="preserve">, prior to the formal </w:t>
      </w:r>
      <w:r w:rsidR="00BA3A21">
        <w:rPr>
          <w:sz w:val="24"/>
          <w:szCs w:val="24"/>
        </w:rPr>
        <w:t>grant or tender process on the ACT Grants website and TendersACT.</w:t>
      </w:r>
    </w:p>
    <w:p w14:paraId="6ACA9538" w14:textId="78CB6C38" w:rsidR="00A84EA1" w:rsidRDefault="00A84EA1" w:rsidP="00E263BF">
      <w:pPr>
        <w:tabs>
          <w:tab w:val="left" w:pos="709"/>
        </w:tabs>
        <w:spacing w:before="120" w:after="0" w:line="240" w:lineRule="auto"/>
        <w:rPr>
          <w:sz w:val="24"/>
          <w:szCs w:val="24"/>
        </w:rPr>
      </w:pPr>
    </w:p>
    <w:p w14:paraId="2F038952" w14:textId="1BE3C6C1" w:rsidR="00A84EA1" w:rsidRPr="00A84EA1" w:rsidRDefault="00A84EA1" w:rsidP="00B329D3">
      <w:pPr>
        <w:pStyle w:val="Heading1"/>
      </w:pPr>
      <w:r w:rsidRPr="00A84EA1">
        <w:t>Am I correct in understanding that only organisations that are currently funded will be able to apply for funding in this process?</w:t>
      </w:r>
    </w:p>
    <w:p w14:paraId="140DFF9B" w14:textId="7BE1B66D" w:rsidR="00440B46" w:rsidRPr="00AC0519" w:rsidRDefault="00440B46" w:rsidP="00440B46">
      <w:pPr>
        <w:spacing w:before="120" w:after="0" w:line="240" w:lineRule="auto"/>
        <w:rPr>
          <w:sz w:val="24"/>
          <w:szCs w:val="24"/>
        </w:rPr>
      </w:pPr>
      <w:r w:rsidRPr="00AC0519">
        <w:rPr>
          <w:sz w:val="24"/>
          <w:szCs w:val="24"/>
        </w:rPr>
        <w:t>Five key approaches to investing in the delivery of services (Figure 5 in the Strategic Investment Plan) are proposed; including:</w:t>
      </w:r>
    </w:p>
    <w:p w14:paraId="781391D5" w14:textId="409A7F66" w:rsidR="00440B46" w:rsidRPr="00AC0519" w:rsidRDefault="00440B46" w:rsidP="00440B46">
      <w:pPr>
        <w:numPr>
          <w:ilvl w:val="0"/>
          <w:numId w:val="31"/>
        </w:numPr>
        <w:spacing w:before="120" w:after="0" w:line="240" w:lineRule="auto"/>
        <w:rPr>
          <w:sz w:val="24"/>
          <w:szCs w:val="24"/>
        </w:rPr>
      </w:pPr>
      <w:r w:rsidRPr="00AC0519">
        <w:rPr>
          <w:b/>
          <w:bCs/>
          <w:color w:val="000000" w:themeColor="text1"/>
          <w:sz w:val="24"/>
          <w:szCs w:val="24"/>
        </w:rPr>
        <w:t>Direct approach grant</w:t>
      </w:r>
      <w:r w:rsidRPr="00AC0519">
        <w:rPr>
          <w:color w:val="000000" w:themeColor="text1"/>
          <w:sz w:val="24"/>
          <w:szCs w:val="24"/>
        </w:rPr>
        <w:t xml:space="preserve"> </w:t>
      </w:r>
      <w:r w:rsidRPr="00AC0519">
        <w:rPr>
          <w:rFonts w:asciiTheme="minorHAnsi" w:eastAsiaTheme="minorHAnsi" w:hAnsiTheme="minorHAnsi" w:cstheme="minorHAnsi"/>
          <w:bCs/>
          <w:kern w:val="28"/>
          <w:sz w:val="24"/>
          <w:szCs w:val="24"/>
        </w:rPr>
        <w:t>is an individual invitation to a specific provider to submit a grant application</w:t>
      </w:r>
      <w:r w:rsidRPr="00AC0519">
        <w:rPr>
          <w:rFonts w:asciiTheme="minorHAnsi" w:eastAsiaTheme="minorHAnsi" w:hAnsiTheme="minorHAnsi" w:cstheme="minorHAnsi"/>
          <w:bCs/>
          <w:color w:val="FF0000"/>
          <w:kern w:val="28"/>
          <w:sz w:val="24"/>
          <w:szCs w:val="24"/>
        </w:rPr>
        <w:t xml:space="preserve"> </w:t>
      </w:r>
      <w:r w:rsidRPr="00AC0519">
        <w:rPr>
          <w:rFonts w:asciiTheme="minorHAnsi" w:eastAsiaTheme="minorHAnsi" w:hAnsiTheme="minorHAnsi" w:cstheme="minorHAnsi"/>
          <w:bCs/>
          <w:kern w:val="28"/>
          <w:sz w:val="24"/>
          <w:szCs w:val="24"/>
        </w:rPr>
        <w:t xml:space="preserve">to deliver a specified service(s).  </w:t>
      </w:r>
    </w:p>
    <w:p w14:paraId="21CE7EE2" w14:textId="77777777" w:rsidR="00440B46" w:rsidRPr="00AC0519" w:rsidRDefault="00440B46" w:rsidP="00440B46">
      <w:pPr>
        <w:numPr>
          <w:ilvl w:val="0"/>
          <w:numId w:val="31"/>
        </w:numPr>
        <w:spacing w:before="120" w:after="0" w:line="240" w:lineRule="auto"/>
        <w:rPr>
          <w:rFonts w:asciiTheme="minorHAnsi" w:eastAsiaTheme="minorHAnsi" w:hAnsiTheme="minorHAnsi" w:cstheme="minorHAnsi"/>
          <w:kern w:val="28"/>
          <w:sz w:val="24"/>
          <w:szCs w:val="24"/>
        </w:rPr>
      </w:pPr>
      <w:r w:rsidRPr="00AC0519">
        <w:rPr>
          <w:b/>
          <w:bCs/>
          <w:color w:val="000000" w:themeColor="text1"/>
          <w:sz w:val="24"/>
          <w:szCs w:val="24"/>
        </w:rPr>
        <w:t xml:space="preserve">Select approach grants </w:t>
      </w:r>
      <w:r w:rsidRPr="00AC0519">
        <w:rPr>
          <w:color w:val="000000" w:themeColor="text1"/>
          <w:sz w:val="24"/>
          <w:szCs w:val="24"/>
        </w:rPr>
        <w:t>involve</w:t>
      </w:r>
      <w:r w:rsidRPr="00AC0519">
        <w:rPr>
          <w:rFonts w:asciiTheme="minorHAnsi" w:eastAsiaTheme="minorHAnsi" w:hAnsiTheme="minorHAnsi" w:cstheme="minorHAnsi"/>
          <w:kern w:val="28"/>
          <w:sz w:val="24"/>
          <w:szCs w:val="24"/>
        </w:rPr>
        <w:t xml:space="preserve"> </w:t>
      </w:r>
      <w:r w:rsidRPr="00AC0519">
        <w:rPr>
          <w:rFonts w:asciiTheme="minorHAnsi" w:eastAsiaTheme="minorHAnsi" w:hAnsiTheme="minorHAnsi" w:cstheme="minorHAnsi"/>
          <w:bCs/>
          <w:kern w:val="28"/>
          <w:sz w:val="24"/>
          <w:szCs w:val="24"/>
        </w:rPr>
        <w:t>inviting several organisations to submit a grant application(s) for a limited number of service programs.</w:t>
      </w:r>
    </w:p>
    <w:p w14:paraId="09E66A2A" w14:textId="77777777" w:rsidR="00440B46" w:rsidRPr="00AC0519" w:rsidRDefault="00440B46" w:rsidP="00440B46">
      <w:pPr>
        <w:numPr>
          <w:ilvl w:val="0"/>
          <w:numId w:val="31"/>
        </w:numPr>
        <w:spacing w:before="120" w:after="0" w:line="240" w:lineRule="auto"/>
        <w:rPr>
          <w:sz w:val="24"/>
          <w:szCs w:val="24"/>
        </w:rPr>
      </w:pPr>
      <w:r w:rsidRPr="00AC0519">
        <w:rPr>
          <w:b/>
          <w:bCs/>
          <w:sz w:val="24"/>
          <w:szCs w:val="24"/>
        </w:rPr>
        <w:t>Open grants or open tenders</w:t>
      </w:r>
      <w:r w:rsidRPr="00AC0519">
        <w:rPr>
          <w:sz w:val="24"/>
          <w:szCs w:val="24"/>
        </w:rPr>
        <w:t xml:space="preserve"> are familiar to the Sector and issued </w:t>
      </w:r>
      <w:r w:rsidRPr="00AC0519">
        <w:rPr>
          <w:color w:val="000000" w:themeColor="text1"/>
          <w:sz w:val="24"/>
          <w:szCs w:val="24"/>
        </w:rPr>
        <w:t>through TendersACT or the ACT Government Grants website.</w:t>
      </w:r>
    </w:p>
    <w:p w14:paraId="67837A5D" w14:textId="77777777" w:rsidR="00440B46" w:rsidRPr="00AC0519" w:rsidRDefault="00440B46" w:rsidP="00440B46">
      <w:pPr>
        <w:numPr>
          <w:ilvl w:val="0"/>
          <w:numId w:val="31"/>
        </w:numPr>
        <w:spacing w:before="120" w:after="0" w:line="240" w:lineRule="auto"/>
        <w:rPr>
          <w:color w:val="000000" w:themeColor="text1"/>
          <w:sz w:val="24"/>
          <w:szCs w:val="24"/>
        </w:rPr>
      </w:pPr>
      <w:r w:rsidRPr="00AC0519">
        <w:rPr>
          <w:b/>
          <w:bCs/>
          <w:color w:val="000000" w:themeColor="text1"/>
          <w:sz w:val="24"/>
          <w:szCs w:val="24"/>
        </w:rPr>
        <w:t>General support services</w:t>
      </w:r>
      <w:r w:rsidRPr="00AC0519">
        <w:rPr>
          <w:color w:val="000000" w:themeColor="text1"/>
          <w:sz w:val="24"/>
          <w:szCs w:val="24"/>
        </w:rPr>
        <w:t xml:space="preserve"> </w:t>
      </w:r>
      <w:r w:rsidRPr="00AC0519">
        <w:rPr>
          <w:b/>
          <w:bCs/>
          <w:color w:val="000000" w:themeColor="text1"/>
          <w:sz w:val="24"/>
          <w:szCs w:val="24"/>
        </w:rPr>
        <w:t>extensions</w:t>
      </w:r>
      <w:r w:rsidRPr="00AC0519">
        <w:rPr>
          <w:color w:val="000000" w:themeColor="text1"/>
          <w:sz w:val="24"/>
          <w:szCs w:val="24"/>
        </w:rPr>
        <w:t xml:space="preserve"> involve a small number of general support services contracts being extended for 12-months to align to their other service programs within CSD. These programs will be incorporated into the CSD Commissioning process </w:t>
      </w:r>
      <w:proofErr w:type="gramStart"/>
      <w:r w:rsidRPr="00AC0519">
        <w:rPr>
          <w:color w:val="000000" w:themeColor="text1"/>
          <w:sz w:val="24"/>
          <w:szCs w:val="24"/>
        </w:rPr>
        <w:t>at a later date</w:t>
      </w:r>
      <w:proofErr w:type="gramEnd"/>
      <w:r w:rsidRPr="00AC0519">
        <w:rPr>
          <w:color w:val="000000" w:themeColor="text1"/>
          <w:sz w:val="24"/>
          <w:szCs w:val="24"/>
        </w:rPr>
        <w:t xml:space="preserve">. </w:t>
      </w:r>
    </w:p>
    <w:p w14:paraId="39FA28F6" w14:textId="77777777" w:rsidR="00440B46" w:rsidRPr="00AC0519" w:rsidRDefault="00440B46" w:rsidP="00440B46">
      <w:pPr>
        <w:numPr>
          <w:ilvl w:val="0"/>
          <w:numId w:val="31"/>
        </w:numPr>
        <w:spacing w:before="120" w:after="0" w:line="240" w:lineRule="auto"/>
        <w:rPr>
          <w:b/>
          <w:bCs/>
          <w:sz w:val="24"/>
          <w:szCs w:val="24"/>
        </w:rPr>
      </w:pPr>
      <w:r w:rsidRPr="00AC0519">
        <w:rPr>
          <w:b/>
          <w:bCs/>
          <w:sz w:val="24"/>
          <w:szCs w:val="24"/>
        </w:rPr>
        <w:t xml:space="preserve">Service programs limited extensions </w:t>
      </w:r>
      <w:r w:rsidRPr="00AC0519">
        <w:rPr>
          <w:sz w:val="24"/>
          <w:szCs w:val="24"/>
        </w:rPr>
        <w:t>will</w:t>
      </w:r>
      <w:r w:rsidRPr="00AC0519">
        <w:rPr>
          <w:b/>
          <w:bCs/>
          <w:sz w:val="24"/>
          <w:szCs w:val="24"/>
        </w:rPr>
        <w:t xml:space="preserve"> </w:t>
      </w:r>
      <w:r w:rsidRPr="00AC0519">
        <w:rPr>
          <w:sz w:val="24"/>
          <w:szCs w:val="24"/>
        </w:rPr>
        <w:t>involve</w:t>
      </w:r>
      <w:r w:rsidRPr="00AC0519">
        <w:rPr>
          <w:b/>
          <w:bCs/>
          <w:sz w:val="24"/>
          <w:szCs w:val="24"/>
        </w:rPr>
        <w:t xml:space="preserve"> </w:t>
      </w:r>
      <w:r w:rsidRPr="00AC0519">
        <w:rPr>
          <w:color w:val="000000" w:themeColor="text1"/>
          <w:sz w:val="24"/>
          <w:szCs w:val="24"/>
        </w:rPr>
        <w:t xml:space="preserve">a small number of identified service programs with a transition out (termination of contract) clause being extended to enable further co-design. </w:t>
      </w:r>
      <w:r w:rsidRPr="00AC0519">
        <w:rPr>
          <w:sz w:val="24"/>
          <w:szCs w:val="24"/>
        </w:rPr>
        <w:t>Limited extensions to service programs will focus on clients with high and complex needs and the current Central Intake Service (OneLink).</w:t>
      </w:r>
    </w:p>
    <w:p w14:paraId="5BC1EF1C" w14:textId="1E669BBB" w:rsidR="00DC3249" w:rsidRPr="00AC0519" w:rsidRDefault="00DC3249" w:rsidP="00E263BF">
      <w:pPr>
        <w:tabs>
          <w:tab w:val="left" w:pos="709"/>
        </w:tabs>
        <w:spacing w:before="120" w:after="0" w:line="240" w:lineRule="auto"/>
        <w:rPr>
          <w:sz w:val="24"/>
          <w:szCs w:val="24"/>
        </w:rPr>
      </w:pPr>
      <w:r w:rsidRPr="00AC0519">
        <w:rPr>
          <w:sz w:val="24"/>
          <w:szCs w:val="24"/>
        </w:rPr>
        <w:t xml:space="preserve">Organisations currently not funded are encouraged to apply for the open grants or open </w:t>
      </w:r>
      <w:proofErr w:type="gramStart"/>
      <w:r w:rsidRPr="00AC0519">
        <w:rPr>
          <w:sz w:val="24"/>
          <w:szCs w:val="24"/>
        </w:rPr>
        <w:t>tenders, when</w:t>
      </w:r>
      <w:proofErr w:type="gramEnd"/>
      <w:r w:rsidRPr="00AC0519">
        <w:rPr>
          <w:sz w:val="24"/>
          <w:szCs w:val="24"/>
        </w:rPr>
        <w:t xml:space="preserve"> they are released</w:t>
      </w:r>
      <w:r w:rsidR="00AC0519">
        <w:rPr>
          <w:sz w:val="24"/>
          <w:szCs w:val="24"/>
        </w:rPr>
        <w:t xml:space="preserve"> during 2023</w:t>
      </w:r>
      <w:r w:rsidRPr="00AC0519">
        <w:rPr>
          <w:sz w:val="24"/>
          <w:szCs w:val="24"/>
        </w:rPr>
        <w:t xml:space="preserve">. </w:t>
      </w:r>
    </w:p>
    <w:p w14:paraId="3975F7BF" w14:textId="77777777" w:rsidR="00AC0519" w:rsidRDefault="00AC0519" w:rsidP="00E263BF">
      <w:pPr>
        <w:tabs>
          <w:tab w:val="left" w:pos="709"/>
        </w:tabs>
        <w:spacing w:before="120" w:after="0" w:line="240" w:lineRule="auto"/>
        <w:rPr>
          <w:sz w:val="24"/>
          <w:szCs w:val="24"/>
        </w:rPr>
      </w:pPr>
    </w:p>
    <w:p w14:paraId="3177E96B" w14:textId="60765B89" w:rsidR="00440B46" w:rsidRPr="00DC3249" w:rsidRDefault="00DC3249" w:rsidP="00B329D3">
      <w:pPr>
        <w:pStyle w:val="Heading1"/>
      </w:pPr>
      <w:r w:rsidRPr="00DC3249">
        <w:t>If an organisation is interested in expanding service delivery, I am presuming we wait to be invited</w:t>
      </w:r>
      <w:r>
        <w:t>?</w:t>
      </w:r>
    </w:p>
    <w:p w14:paraId="0E99C086" w14:textId="737DAFAC" w:rsidR="00A84EA1" w:rsidRDefault="00DC3249" w:rsidP="00E263BF">
      <w:pPr>
        <w:tabs>
          <w:tab w:val="left" w:pos="709"/>
        </w:tabs>
        <w:spacing w:before="120" w:after="0" w:line="240" w:lineRule="auto"/>
        <w:rPr>
          <w:sz w:val="24"/>
          <w:szCs w:val="24"/>
        </w:rPr>
      </w:pPr>
      <w:r>
        <w:rPr>
          <w:sz w:val="24"/>
          <w:szCs w:val="24"/>
        </w:rPr>
        <w:t>Currently the following service programs have been identified as select approach:</w:t>
      </w:r>
    </w:p>
    <w:p w14:paraId="3041EF06" w14:textId="26F323BD" w:rsidR="00DC3249" w:rsidRDefault="00DC3249" w:rsidP="00DC3249">
      <w:pPr>
        <w:pStyle w:val="ListParagraph"/>
        <w:numPr>
          <w:ilvl w:val="0"/>
          <w:numId w:val="32"/>
        </w:numPr>
        <w:tabs>
          <w:tab w:val="left" w:pos="709"/>
        </w:tabs>
        <w:spacing w:before="120" w:after="0" w:line="240" w:lineRule="auto"/>
        <w:rPr>
          <w:sz w:val="24"/>
          <w:szCs w:val="24"/>
        </w:rPr>
      </w:pPr>
      <w:r>
        <w:rPr>
          <w:sz w:val="24"/>
          <w:szCs w:val="24"/>
        </w:rPr>
        <w:t>Tenancy/Property Management and/or support services for Aboriginal and Torres Strait Islanders.</w:t>
      </w:r>
    </w:p>
    <w:p w14:paraId="58AECFF1" w14:textId="654F756F" w:rsidR="00DC3249" w:rsidRDefault="00DC3249" w:rsidP="00DC3249">
      <w:pPr>
        <w:pStyle w:val="ListParagraph"/>
        <w:numPr>
          <w:ilvl w:val="0"/>
          <w:numId w:val="32"/>
        </w:numPr>
        <w:tabs>
          <w:tab w:val="left" w:pos="709"/>
        </w:tabs>
        <w:spacing w:before="120" w:after="0" w:line="240" w:lineRule="auto"/>
        <w:rPr>
          <w:sz w:val="24"/>
          <w:szCs w:val="24"/>
        </w:rPr>
      </w:pPr>
      <w:r>
        <w:rPr>
          <w:sz w:val="24"/>
          <w:szCs w:val="24"/>
        </w:rPr>
        <w:t>Support Services for young people.</w:t>
      </w:r>
    </w:p>
    <w:p w14:paraId="6E95D908" w14:textId="719CFBED" w:rsidR="00DC3249" w:rsidRDefault="00DC3249" w:rsidP="00E263BF">
      <w:pPr>
        <w:tabs>
          <w:tab w:val="left" w:pos="709"/>
        </w:tabs>
        <w:spacing w:before="120" w:after="0" w:line="240" w:lineRule="auto"/>
        <w:rPr>
          <w:sz w:val="24"/>
          <w:szCs w:val="24"/>
        </w:rPr>
      </w:pPr>
      <w:r>
        <w:rPr>
          <w:sz w:val="24"/>
          <w:szCs w:val="24"/>
        </w:rPr>
        <w:lastRenderedPageBreak/>
        <w:t xml:space="preserve">The Community Services Directorate is </w:t>
      </w:r>
      <w:r w:rsidR="00E779DD">
        <w:rPr>
          <w:sz w:val="24"/>
          <w:szCs w:val="24"/>
        </w:rPr>
        <w:t xml:space="preserve">encouraging organisations interested in being </w:t>
      </w:r>
      <w:r w:rsidR="00AC0519">
        <w:rPr>
          <w:sz w:val="24"/>
          <w:szCs w:val="24"/>
        </w:rPr>
        <w:t>invited to submit a grant application for one or both of these services</w:t>
      </w:r>
      <w:r w:rsidR="00E779DD">
        <w:rPr>
          <w:sz w:val="24"/>
          <w:szCs w:val="24"/>
        </w:rPr>
        <w:t xml:space="preserve"> to send an email </w:t>
      </w:r>
      <w:r w:rsidR="00EA542B">
        <w:rPr>
          <w:sz w:val="24"/>
          <w:szCs w:val="24"/>
        </w:rPr>
        <w:t xml:space="preserve">to </w:t>
      </w:r>
      <w:hyperlink r:id="rId21" w:history="1">
        <w:r w:rsidR="00EA542B" w:rsidRPr="00A64C78">
          <w:rPr>
            <w:rStyle w:val="Hyperlink"/>
            <w:sz w:val="24"/>
            <w:szCs w:val="24"/>
          </w:rPr>
          <w:t>ACTHousingProcurement@act.gov.au</w:t>
        </w:r>
      </w:hyperlink>
      <w:r w:rsidR="00EA542B">
        <w:rPr>
          <w:sz w:val="24"/>
          <w:szCs w:val="24"/>
        </w:rPr>
        <w:t xml:space="preserve"> </w:t>
      </w:r>
      <w:r w:rsidR="00E779DD">
        <w:rPr>
          <w:sz w:val="24"/>
          <w:szCs w:val="24"/>
        </w:rPr>
        <w:t xml:space="preserve">outlining your interest and why </w:t>
      </w:r>
      <w:r w:rsidR="00EA542B">
        <w:rPr>
          <w:sz w:val="24"/>
          <w:szCs w:val="24"/>
        </w:rPr>
        <w:t>your organisation</w:t>
      </w:r>
      <w:r w:rsidR="00E779DD">
        <w:rPr>
          <w:sz w:val="24"/>
          <w:szCs w:val="24"/>
        </w:rPr>
        <w:t xml:space="preserve"> should be considered.</w:t>
      </w:r>
      <w:r w:rsidR="00C8682D">
        <w:rPr>
          <w:sz w:val="24"/>
          <w:szCs w:val="24"/>
        </w:rPr>
        <w:t xml:space="preserve"> Please limit your response to 250 words.</w:t>
      </w:r>
    </w:p>
    <w:p w14:paraId="0A530270" w14:textId="165E6662" w:rsidR="00E779DD" w:rsidRPr="00E779DD" w:rsidRDefault="00E779DD" w:rsidP="00E779DD">
      <w:pPr>
        <w:tabs>
          <w:tab w:val="left" w:pos="709"/>
        </w:tabs>
        <w:spacing w:before="120" w:after="0" w:line="240" w:lineRule="auto"/>
        <w:rPr>
          <w:sz w:val="24"/>
          <w:szCs w:val="24"/>
        </w:rPr>
      </w:pPr>
      <w:r w:rsidRPr="00E779DD">
        <w:rPr>
          <w:sz w:val="24"/>
          <w:szCs w:val="24"/>
        </w:rPr>
        <w:t>For the Tenancy/Property Management and/or support services for Aboriginal and Torres Strait Islanders</w:t>
      </w:r>
      <w:r>
        <w:rPr>
          <w:sz w:val="24"/>
          <w:szCs w:val="24"/>
        </w:rPr>
        <w:t xml:space="preserve">, the Directorate is seeking </w:t>
      </w:r>
      <w:r w:rsidR="00C8682D">
        <w:rPr>
          <w:sz w:val="24"/>
          <w:szCs w:val="24"/>
        </w:rPr>
        <w:t>to engage a</w:t>
      </w:r>
      <w:r w:rsidR="00EA542B">
        <w:rPr>
          <w:sz w:val="24"/>
          <w:szCs w:val="24"/>
        </w:rPr>
        <w:t>n</w:t>
      </w:r>
      <w:r w:rsidR="00C8682D">
        <w:rPr>
          <w:sz w:val="24"/>
          <w:szCs w:val="24"/>
        </w:rPr>
        <w:t xml:space="preserve"> Aboriginal Community Controlled Organisation (ACCO)</w:t>
      </w:r>
      <w:r w:rsidR="00BA1BDA">
        <w:rPr>
          <w:sz w:val="24"/>
          <w:szCs w:val="24"/>
        </w:rPr>
        <w:t>,</w:t>
      </w:r>
      <w:r w:rsidR="00C8682D">
        <w:rPr>
          <w:sz w:val="24"/>
          <w:szCs w:val="24"/>
        </w:rPr>
        <w:t xml:space="preserve"> or an organisation that will auspice with an ACCO. </w:t>
      </w:r>
    </w:p>
    <w:p w14:paraId="625DDD52" w14:textId="77777777" w:rsidR="00DC3249" w:rsidRDefault="00DC3249" w:rsidP="00E263BF">
      <w:pPr>
        <w:tabs>
          <w:tab w:val="left" w:pos="709"/>
        </w:tabs>
        <w:spacing w:before="120" w:after="0" w:line="240" w:lineRule="auto"/>
        <w:rPr>
          <w:sz w:val="24"/>
          <w:szCs w:val="24"/>
        </w:rPr>
      </w:pPr>
    </w:p>
    <w:p w14:paraId="176A8293" w14:textId="0AFB20E9" w:rsidR="00E263BF" w:rsidRPr="00E263BF" w:rsidRDefault="00E263BF" w:rsidP="00B329D3">
      <w:pPr>
        <w:pStyle w:val="Heading1"/>
      </w:pPr>
      <w:r w:rsidRPr="00E263BF">
        <w:t>What is probity?</w:t>
      </w:r>
    </w:p>
    <w:p w14:paraId="5ADD9A93" w14:textId="027FDB1D" w:rsidR="00B70832" w:rsidRDefault="00E263BF" w:rsidP="00E263BF">
      <w:pPr>
        <w:tabs>
          <w:tab w:val="left" w:pos="709"/>
        </w:tabs>
        <w:spacing w:before="120" w:after="0" w:line="240" w:lineRule="auto"/>
        <w:rPr>
          <w:sz w:val="24"/>
          <w:szCs w:val="24"/>
        </w:rPr>
      </w:pPr>
      <w:r w:rsidRPr="00E263BF">
        <w:rPr>
          <w:sz w:val="24"/>
          <w:szCs w:val="24"/>
        </w:rPr>
        <w:t xml:space="preserve">The ACT Government values sound governance practices, with a focus on transparency and ethical engagement. It is important to note that any Government entity is accountable for the probity of a process. </w:t>
      </w:r>
    </w:p>
    <w:p w14:paraId="6BF502E7" w14:textId="7E05959D" w:rsidR="008A72B2" w:rsidRDefault="00E263BF" w:rsidP="00E263BF">
      <w:pPr>
        <w:tabs>
          <w:tab w:val="left" w:pos="709"/>
        </w:tabs>
        <w:spacing w:before="120" w:after="0" w:line="240" w:lineRule="auto"/>
        <w:rPr>
          <w:sz w:val="24"/>
          <w:szCs w:val="24"/>
        </w:rPr>
      </w:pPr>
      <w:r w:rsidRPr="00E263BF">
        <w:rPr>
          <w:sz w:val="24"/>
          <w:szCs w:val="24"/>
        </w:rPr>
        <w:t xml:space="preserve">Probity is the evidence of ethical behaviour, and can be defined as complete and confirmed integrity, </w:t>
      </w:r>
      <w:proofErr w:type="gramStart"/>
      <w:r w:rsidRPr="00E263BF">
        <w:rPr>
          <w:sz w:val="24"/>
          <w:szCs w:val="24"/>
        </w:rPr>
        <w:t>uprightness</w:t>
      </w:r>
      <w:proofErr w:type="gramEnd"/>
      <w:r w:rsidRPr="00E263BF">
        <w:rPr>
          <w:sz w:val="24"/>
          <w:szCs w:val="24"/>
        </w:rPr>
        <w:t xml:space="preserve"> and honesty in a particular process.</w:t>
      </w:r>
    </w:p>
    <w:p w14:paraId="37499D14" w14:textId="1A6F808C" w:rsidR="00B70832" w:rsidRDefault="00B70832" w:rsidP="00E263BF">
      <w:pPr>
        <w:tabs>
          <w:tab w:val="left" w:pos="709"/>
        </w:tabs>
        <w:spacing w:before="120" w:after="0" w:line="240" w:lineRule="auto"/>
        <w:rPr>
          <w:sz w:val="24"/>
          <w:szCs w:val="24"/>
        </w:rPr>
      </w:pPr>
      <w:r>
        <w:rPr>
          <w:sz w:val="24"/>
          <w:szCs w:val="24"/>
        </w:rPr>
        <w:t>Queries raised throughout the sector sounding process will be addressed in this document, which will be updated on a fortnightly basis. This ensures all interested parties receive the same information.</w:t>
      </w:r>
    </w:p>
    <w:p w14:paraId="5A50F9DC" w14:textId="77777777" w:rsidR="00E263BF" w:rsidRDefault="00E263BF" w:rsidP="002C3B33">
      <w:pPr>
        <w:spacing w:before="120" w:after="0" w:line="240" w:lineRule="auto"/>
        <w:ind w:right="-454"/>
        <w:rPr>
          <w:sz w:val="24"/>
          <w:szCs w:val="24"/>
        </w:rPr>
      </w:pPr>
    </w:p>
    <w:p w14:paraId="32D9ED54" w14:textId="28C644BB" w:rsidR="00170D40" w:rsidRPr="00B70832" w:rsidRDefault="00170D40" w:rsidP="00B329D3">
      <w:pPr>
        <w:pStyle w:val="Heading1"/>
      </w:pPr>
      <w:r w:rsidRPr="00B70832">
        <w:t xml:space="preserve">Are children included in the high and complex needs cohort?  </w:t>
      </w:r>
    </w:p>
    <w:p w14:paraId="71E97088" w14:textId="07E376D0" w:rsidR="0023385E" w:rsidRPr="00EA542B" w:rsidRDefault="00C8682D" w:rsidP="00EA542B">
      <w:pPr>
        <w:tabs>
          <w:tab w:val="left" w:pos="709"/>
        </w:tabs>
        <w:spacing w:before="120" w:after="0" w:line="240" w:lineRule="auto"/>
        <w:rPr>
          <w:sz w:val="24"/>
          <w:szCs w:val="24"/>
        </w:rPr>
      </w:pPr>
      <w:r w:rsidRPr="00EA542B">
        <w:rPr>
          <w:sz w:val="24"/>
          <w:szCs w:val="24"/>
        </w:rPr>
        <w:t xml:space="preserve">Further co-design of the high and complex needs cohort will need to </w:t>
      </w:r>
      <w:r w:rsidR="00EA542B" w:rsidRPr="00EA542B">
        <w:rPr>
          <w:sz w:val="24"/>
          <w:szCs w:val="24"/>
        </w:rPr>
        <w:t>consider</w:t>
      </w:r>
      <w:r w:rsidRPr="00EA542B">
        <w:rPr>
          <w:sz w:val="24"/>
          <w:szCs w:val="24"/>
        </w:rPr>
        <w:t xml:space="preserve"> the voice of children accompanying adults. The common assessment tool will also </w:t>
      </w:r>
      <w:r w:rsidR="006C6874">
        <w:rPr>
          <w:sz w:val="24"/>
          <w:szCs w:val="24"/>
        </w:rPr>
        <w:t xml:space="preserve">include </w:t>
      </w:r>
      <w:r w:rsidRPr="00EA542B">
        <w:rPr>
          <w:sz w:val="24"/>
          <w:szCs w:val="24"/>
        </w:rPr>
        <w:t>children.</w:t>
      </w:r>
    </w:p>
    <w:p w14:paraId="279E5FE4" w14:textId="3C51C941" w:rsidR="00B70832" w:rsidRDefault="00BA1BDA" w:rsidP="00EA542B">
      <w:pPr>
        <w:tabs>
          <w:tab w:val="left" w:pos="709"/>
        </w:tabs>
        <w:spacing w:before="120" w:after="0" w:line="240" w:lineRule="auto"/>
        <w:rPr>
          <w:sz w:val="24"/>
          <w:szCs w:val="24"/>
        </w:rPr>
      </w:pPr>
      <w:r>
        <w:rPr>
          <w:sz w:val="24"/>
          <w:szCs w:val="24"/>
        </w:rPr>
        <w:t>Currently, i</w:t>
      </w:r>
      <w:r w:rsidR="005E6DF8" w:rsidRPr="00EA542B">
        <w:rPr>
          <w:sz w:val="24"/>
          <w:szCs w:val="24"/>
        </w:rPr>
        <w:t>n SHIP</w:t>
      </w:r>
      <w:r w:rsidR="00EA542B">
        <w:rPr>
          <w:sz w:val="24"/>
          <w:szCs w:val="24"/>
        </w:rPr>
        <w:t xml:space="preserve"> (Specialist Homelessness Information Platform)</w:t>
      </w:r>
      <w:r>
        <w:rPr>
          <w:sz w:val="24"/>
          <w:szCs w:val="24"/>
        </w:rPr>
        <w:t xml:space="preserve"> children </w:t>
      </w:r>
      <w:r w:rsidR="005E6DF8" w:rsidRPr="00EA542B">
        <w:rPr>
          <w:sz w:val="24"/>
          <w:szCs w:val="24"/>
        </w:rPr>
        <w:t xml:space="preserve">are </w:t>
      </w:r>
      <w:r w:rsidR="006C6874">
        <w:rPr>
          <w:sz w:val="24"/>
          <w:szCs w:val="24"/>
        </w:rPr>
        <w:t>included</w:t>
      </w:r>
      <w:r w:rsidR="006C6874" w:rsidRPr="00EA542B">
        <w:rPr>
          <w:sz w:val="24"/>
          <w:szCs w:val="24"/>
        </w:rPr>
        <w:t xml:space="preserve"> </w:t>
      </w:r>
      <w:r w:rsidR="005E6DF8" w:rsidRPr="00EA542B">
        <w:rPr>
          <w:sz w:val="24"/>
          <w:szCs w:val="24"/>
        </w:rPr>
        <w:t xml:space="preserve">as </w:t>
      </w:r>
      <w:r w:rsidR="001F68FD" w:rsidRPr="00EA542B">
        <w:rPr>
          <w:sz w:val="24"/>
          <w:szCs w:val="24"/>
        </w:rPr>
        <w:t>accompanying children of adult</w:t>
      </w:r>
      <w:r w:rsidR="00EA542B">
        <w:rPr>
          <w:sz w:val="24"/>
          <w:szCs w:val="24"/>
        </w:rPr>
        <w:t>s</w:t>
      </w:r>
      <w:r w:rsidR="001F68FD" w:rsidRPr="00EA542B">
        <w:rPr>
          <w:sz w:val="24"/>
          <w:szCs w:val="24"/>
        </w:rPr>
        <w:t xml:space="preserve"> who are</w:t>
      </w:r>
      <w:r>
        <w:rPr>
          <w:sz w:val="24"/>
          <w:szCs w:val="24"/>
        </w:rPr>
        <w:t xml:space="preserve"> recorded as</w:t>
      </w:r>
      <w:r w:rsidR="001F68FD" w:rsidRPr="00EA542B">
        <w:rPr>
          <w:sz w:val="24"/>
          <w:szCs w:val="24"/>
        </w:rPr>
        <w:t xml:space="preserve"> the primar</w:t>
      </w:r>
      <w:r>
        <w:rPr>
          <w:sz w:val="24"/>
          <w:szCs w:val="24"/>
        </w:rPr>
        <w:t>y</w:t>
      </w:r>
      <w:r w:rsidR="001F68FD" w:rsidRPr="00EA542B">
        <w:rPr>
          <w:sz w:val="24"/>
          <w:szCs w:val="24"/>
        </w:rPr>
        <w:t xml:space="preserve"> client</w:t>
      </w:r>
      <w:r>
        <w:rPr>
          <w:sz w:val="24"/>
          <w:szCs w:val="24"/>
        </w:rPr>
        <w:t xml:space="preserve">, unless a specific service is being delivered directly to a child, and then they are recorded in SHIP as a </w:t>
      </w:r>
      <w:proofErr w:type="gramStart"/>
      <w:r>
        <w:rPr>
          <w:sz w:val="24"/>
          <w:szCs w:val="24"/>
        </w:rPr>
        <w:t>client in their own right</w:t>
      </w:r>
      <w:proofErr w:type="gramEnd"/>
      <w:r>
        <w:rPr>
          <w:sz w:val="24"/>
          <w:szCs w:val="24"/>
        </w:rPr>
        <w:t>.</w:t>
      </w:r>
      <w:r w:rsidR="001F68FD" w:rsidRPr="00EA542B">
        <w:rPr>
          <w:sz w:val="24"/>
          <w:szCs w:val="24"/>
        </w:rPr>
        <w:t xml:space="preserve"> </w:t>
      </w:r>
    </w:p>
    <w:p w14:paraId="083F21DC" w14:textId="77777777" w:rsidR="001F68FD" w:rsidRPr="001F68FD" w:rsidRDefault="001F68FD" w:rsidP="00EA542B">
      <w:pPr>
        <w:tabs>
          <w:tab w:val="left" w:pos="709"/>
        </w:tabs>
        <w:spacing w:before="120" w:after="0" w:line="240" w:lineRule="auto"/>
        <w:rPr>
          <w:sz w:val="24"/>
          <w:szCs w:val="24"/>
        </w:rPr>
      </w:pPr>
      <w:r w:rsidRPr="001F68FD">
        <w:rPr>
          <w:sz w:val="24"/>
          <w:szCs w:val="24"/>
        </w:rPr>
        <w:t xml:space="preserve">We need to promote an early support approach throughout our service system and to build in early support elements within our crisis services. The system should focus on supporting young people, </w:t>
      </w:r>
      <w:proofErr w:type="gramStart"/>
      <w:r w:rsidRPr="001F68FD">
        <w:rPr>
          <w:sz w:val="24"/>
          <w:szCs w:val="24"/>
        </w:rPr>
        <w:t>children</w:t>
      </w:r>
      <w:proofErr w:type="gramEnd"/>
      <w:r w:rsidRPr="001F68FD">
        <w:rPr>
          <w:sz w:val="24"/>
          <w:szCs w:val="24"/>
        </w:rPr>
        <w:t xml:space="preserve"> and parents, and provide additional counselling services for children who have experienced trauma including from domestic and family violence.  </w:t>
      </w:r>
    </w:p>
    <w:p w14:paraId="5C51B3AF" w14:textId="45671A7E" w:rsidR="00B70832" w:rsidRDefault="00B70832" w:rsidP="002C3B33">
      <w:pPr>
        <w:spacing w:before="120" w:after="0" w:line="240" w:lineRule="auto"/>
        <w:ind w:right="-454"/>
        <w:rPr>
          <w:sz w:val="24"/>
          <w:szCs w:val="24"/>
        </w:rPr>
      </w:pPr>
    </w:p>
    <w:p w14:paraId="3F1CC807" w14:textId="5D015F9A" w:rsidR="0023385E" w:rsidRDefault="0023385E" w:rsidP="00B329D3">
      <w:pPr>
        <w:pStyle w:val="Heading1"/>
      </w:pPr>
      <w:r>
        <w:t xml:space="preserve">Will a list of consultants/services that </w:t>
      </w:r>
      <w:proofErr w:type="gramStart"/>
      <w:r>
        <w:t>provide assistance</w:t>
      </w:r>
      <w:proofErr w:type="gramEnd"/>
      <w:r>
        <w:t xml:space="preserve"> with grant writing be made available as part of the EOI information?  </w:t>
      </w:r>
    </w:p>
    <w:p w14:paraId="18BD6EB0" w14:textId="31540AB6" w:rsidR="00B70832" w:rsidRDefault="00B70832" w:rsidP="00B70832">
      <w:pPr>
        <w:tabs>
          <w:tab w:val="left" w:pos="709"/>
        </w:tabs>
        <w:spacing w:before="120" w:after="0" w:line="240" w:lineRule="auto"/>
        <w:rPr>
          <w:sz w:val="24"/>
          <w:szCs w:val="24"/>
        </w:rPr>
      </w:pPr>
      <w:r w:rsidRPr="00B70832">
        <w:rPr>
          <w:sz w:val="24"/>
          <w:szCs w:val="24"/>
        </w:rPr>
        <w:t xml:space="preserve">We are </w:t>
      </w:r>
      <w:r>
        <w:rPr>
          <w:sz w:val="24"/>
          <w:szCs w:val="24"/>
        </w:rPr>
        <w:t xml:space="preserve">unable </w:t>
      </w:r>
      <w:r w:rsidRPr="00B70832">
        <w:rPr>
          <w:sz w:val="24"/>
          <w:szCs w:val="24"/>
        </w:rPr>
        <w:t xml:space="preserve">to supply a list of consultants </w:t>
      </w:r>
      <w:r>
        <w:rPr>
          <w:sz w:val="24"/>
          <w:szCs w:val="24"/>
        </w:rPr>
        <w:t xml:space="preserve">that could assist with grant writing, </w:t>
      </w:r>
      <w:r w:rsidRPr="00B70832">
        <w:rPr>
          <w:sz w:val="24"/>
          <w:szCs w:val="24"/>
        </w:rPr>
        <w:t xml:space="preserve">as this </w:t>
      </w:r>
      <w:r w:rsidR="00755F4A">
        <w:rPr>
          <w:sz w:val="24"/>
          <w:szCs w:val="24"/>
        </w:rPr>
        <w:t>may</w:t>
      </w:r>
      <w:r w:rsidR="00755F4A" w:rsidRPr="00B70832">
        <w:rPr>
          <w:sz w:val="24"/>
          <w:szCs w:val="24"/>
        </w:rPr>
        <w:t xml:space="preserve"> </w:t>
      </w:r>
      <w:r w:rsidRPr="00B70832">
        <w:rPr>
          <w:sz w:val="24"/>
          <w:szCs w:val="24"/>
        </w:rPr>
        <w:t xml:space="preserve">be perceived as providing a favourable indication </w:t>
      </w:r>
      <w:r>
        <w:rPr>
          <w:sz w:val="24"/>
          <w:szCs w:val="24"/>
        </w:rPr>
        <w:t xml:space="preserve">of some consultants </w:t>
      </w:r>
      <w:r w:rsidRPr="00B70832">
        <w:rPr>
          <w:sz w:val="24"/>
          <w:szCs w:val="24"/>
        </w:rPr>
        <w:t>against the rest of the market.</w:t>
      </w:r>
    </w:p>
    <w:p w14:paraId="25CE89DF" w14:textId="77777777" w:rsidR="00A84EA1" w:rsidRPr="00B70832" w:rsidRDefault="00A84EA1" w:rsidP="00B70832">
      <w:pPr>
        <w:tabs>
          <w:tab w:val="left" w:pos="709"/>
        </w:tabs>
        <w:spacing w:before="120" w:after="0" w:line="240" w:lineRule="auto"/>
        <w:rPr>
          <w:sz w:val="24"/>
          <w:szCs w:val="24"/>
        </w:rPr>
      </w:pPr>
    </w:p>
    <w:p w14:paraId="2219EAC1" w14:textId="00C85697" w:rsidR="00B70832" w:rsidRDefault="00B70832" w:rsidP="00B329D3">
      <w:pPr>
        <w:pStyle w:val="Heading1"/>
      </w:pPr>
      <w:r>
        <w:lastRenderedPageBreak/>
        <w:t>W</w:t>
      </w:r>
      <w:r w:rsidRPr="00B70832">
        <w:t>ill a grant application be required by org</w:t>
      </w:r>
      <w:r>
        <w:t>anisations</w:t>
      </w:r>
      <w:r w:rsidRPr="00B70832">
        <w:t xml:space="preserve"> offered a direct </w:t>
      </w:r>
      <w:proofErr w:type="gramStart"/>
      <w:r w:rsidRPr="00B70832">
        <w:t>approach</w:t>
      </w:r>
      <w:proofErr w:type="gramEnd"/>
    </w:p>
    <w:p w14:paraId="26D6599E" w14:textId="2CD26B00" w:rsidR="00440B46" w:rsidRPr="00D42533" w:rsidRDefault="00B70832" w:rsidP="00D42533">
      <w:pPr>
        <w:tabs>
          <w:tab w:val="left" w:pos="709"/>
        </w:tabs>
        <w:spacing w:before="120" w:after="0" w:line="240" w:lineRule="auto"/>
        <w:rPr>
          <w:sz w:val="24"/>
          <w:szCs w:val="24"/>
        </w:rPr>
      </w:pPr>
      <w:r w:rsidRPr="00D42533">
        <w:rPr>
          <w:sz w:val="24"/>
          <w:szCs w:val="24"/>
        </w:rPr>
        <w:t xml:space="preserve">Regardless of the </w:t>
      </w:r>
      <w:r w:rsidR="00440B46" w:rsidRPr="00D42533">
        <w:rPr>
          <w:sz w:val="24"/>
          <w:szCs w:val="24"/>
        </w:rPr>
        <w:t xml:space="preserve">investment </w:t>
      </w:r>
      <w:r w:rsidRPr="00D42533">
        <w:rPr>
          <w:sz w:val="24"/>
          <w:szCs w:val="24"/>
        </w:rPr>
        <w:t xml:space="preserve">approach (direct, </w:t>
      </w:r>
      <w:proofErr w:type="gramStart"/>
      <w:r w:rsidRPr="00D42533">
        <w:rPr>
          <w:sz w:val="24"/>
          <w:szCs w:val="24"/>
        </w:rPr>
        <w:t>select</w:t>
      </w:r>
      <w:proofErr w:type="gramEnd"/>
      <w:r w:rsidRPr="00D42533">
        <w:rPr>
          <w:sz w:val="24"/>
          <w:szCs w:val="24"/>
        </w:rPr>
        <w:t xml:space="preserve"> or open) </w:t>
      </w:r>
      <w:r w:rsidR="00440B46" w:rsidRPr="00D42533">
        <w:rPr>
          <w:sz w:val="24"/>
          <w:szCs w:val="24"/>
        </w:rPr>
        <w:t xml:space="preserve">organisations will be required to apply for funding and meet the relevant assessment criteria. </w:t>
      </w:r>
    </w:p>
    <w:p w14:paraId="003995C4" w14:textId="3249F042" w:rsidR="00A84EA1" w:rsidRDefault="00A84EA1" w:rsidP="00755F4A">
      <w:pPr>
        <w:tabs>
          <w:tab w:val="left" w:pos="709"/>
        </w:tabs>
        <w:spacing w:before="120" w:after="0" w:line="240" w:lineRule="auto"/>
        <w:rPr>
          <w:sz w:val="24"/>
          <w:szCs w:val="24"/>
        </w:rPr>
      </w:pPr>
      <w:r w:rsidRPr="00D42533">
        <w:rPr>
          <w:sz w:val="24"/>
          <w:szCs w:val="24"/>
        </w:rPr>
        <w:t>Each grant application received will be assessed to determine delivery of client needs and value for money. To demonstrate this need and value, an organisation is encouraged to consider a flexible model that responds to client needs and to consider how this can be described in the grant application.</w:t>
      </w:r>
    </w:p>
    <w:p w14:paraId="5992E546" w14:textId="1A09D041" w:rsidR="00755F4A" w:rsidRDefault="00755F4A" w:rsidP="00755F4A">
      <w:pPr>
        <w:tabs>
          <w:tab w:val="left" w:pos="709"/>
        </w:tabs>
        <w:spacing w:before="120" w:after="0" w:line="240" w:lineRule="auto"/>
        <w:rPr>
          <w:sz w:val="24"/>
          <w:szCs w:val="24"/>
        </w:rPr>
      </w:pPr>
    </w:p>
    <w:p w14:paraId="058704B1" w14:textId="6EAA6BF0" w:rsidR="00755F4A" w:rsidRDefault="00664330" w:rsidP="00B329D3">
      <w:pPr>
        <w:pStyle w:val="Heading1"/>
      </w:pPr>
      <w:r>
        <w:t>In my experience, $2000 grant per organisation will not be enough to engage a procurement specialist as a consultancy/contingency. Has consideration been given to pooling the allocation so smaller organisations have access to the same consultant?</w:t>
      </w:r>
      <w:r w:rsidR="006846C5">
        <w:t xml:space="preserve"> Would the Directorate consider a shared contractor application?</w:t>
      </w:r>
    </w:p>
    <w:p w14:paraId="10F84473" w14:textId="258F7539" w:rsidR="006846C5" w:rsidRPr="006846C5" w:rsidRDefault="006846C5" w:rsidP="006846C5">
      <w:pPr>
        <w:tabs>
          <w:tab w:val="left" w:pos="709"/>
        </w:tabs>
        <w:spacing w:before="120" w:after="0" w:line="240" w:lineRule="auto"/>
        <w:rPr>
          <w:sz w:val="24"/>
          <w:szCs w:val="24"/>
        </w:rPr>
      </w:pPr>
      <w:r w:rsidRPr="006846C5">
        <w:rPr>
          <w:sz w:val="24"/>
          <w:szCs w:val="24"/>
        </w:rPr>
        <w:t xml:space="preserve">The grant funding of up to $2000.00 (GST </w:t>
      </w:r>
      <w:proofErr w:type="spellStart"/>
      <w:r w:rsidRPr="006846C5">
        <w:rPr>
          <w:sz w:val="24"/>
          <w:szCs w:val="24"/>
        </w:rPr>
        <w:t>inc</w:t>
      </w:r>
      <w:proofErr w:type="spellEnd"/>
      <w:r w:rsidRPr="006846C5">
        <w:rPr>
          <w:sz w:val="24"/>
          <w:szCs w:val="24"/>
        </w:rPr>
        <w:t>) is a contribution towards engaging a professional consultant to assist with the completion of grant documentation.</w:t>
      </w:r>
    </w:p>
    <w:p w14:paraId="39670DB6" w14:textId="4D743BC0" w:rsidR="00664330" w:rsidRPr="006846C5" w:rsidRDefault="00664330" w:rsidP="006846C5">
      <w:pPr>
        <w:tabs>
          <w:tab w:val="left" w:pos="709"/>
        </w:tabs>
        <w:spacing w:before="120" w:after="0" w:line="240" w:lineRule="auto"/>
        <w:rPr>
          <w:sz w:val="24"/>
          <w:szCs w:val="24"/>
        </w:rPr>
      </w:pPr>
      <w:r w:rsidRPr="006846C5">
        <w:rPr>
          <w:sz w:val="24"/>
          <w:szCs w:val="24"/>
        </w:rPr>
        <w:t xml:space="preserve">The choice of submitting a joint expression of interest or individual expression of interest, is at the discretion of the applicant.  </w:t>
      </w:r>
    </w:p>
    <w:p w14:paraId="6336BCB4" w14:textId="55CCAA79" w:rsidR="006846C5" w:rsidRPr="006846C5" w:rsidRDefault="006846C5" w:rsidP="006846C5">
      <w:pPr>
        <w:tabs>
          <w:tab w:val="left" w:pos="709"/>
        </w:tabs>
        <w:spacing w:before="120" w:after="0" w:line="240" w:lineRule="auto"/>
        <w:rPr>
          <w:sz w:val="24"/>
          <w:szCs w:val="24"/>
        </w:rPr>
      </w:pPr>
      <w:r w:rsidRPr="006846C5">
        <w:rPr>
          <w:sz w:val="24"/>
          <w:szCs w:val="24"/>
        </w:rPr>
        <w:t>Following closure of the expression of interest process, applications will be assessed, and the successful applicants will be advised.  Generally, there are many more applications than funding available and not all applications will be successful, or receive the full amount applied for.</w:t>
      </w:r>
    </w:p>
    <w:p w14:paraId="6C343EC8" w14:textId="77777777" w:rsidR="00BE2094" w:rsidRDefault="00BE2094" w:rsidP="00BE2094">
      <w:pPr>
        <w:pBdr>
          <w:bottom w:val="single" w:sz="4" w:space="1" w:color="auto"/>
        </w:pBdr>
        <w:jc w:val="right"/>
      </w:pPr>
    </w:p>
    <w:p w14:paraId="1802C4E2" w14:textId="3D47CD38" w:rsidR="001E0110" w:rsidRDefault="001E0110" w:rsidP="00322FDF">
      <w:pPr>
        <w:rPr>
          <w:b/>
          <w:bCs/>
        </w:rPr>
      </w:pPr>
    </w:p>
    <w:p w14:paraId="0698C340" w14:textId="2D8722ED" w:rsidR="001E0110" w:rsidRDefault="001E0110" w:rsidP="00322FDF">
      <w:pPr>
        <w:rPr>
          <w:b/>
          <w:bCs/>
        </w:rPr>
      </w:pPr>
    </w:p>
    <w:p w14:paraId="3453AC2D" w14:textId="0900F82B" w:rsidR="001E0110" w:rsidRDefault="001E0110" w:rsidP="00322FDF">
      <w:pPr>
        <w:rPr>
          <w:b/>
          <w:bCs/>
        </w:rPr>
      </w:pPr>
    </w:p>
    <w:p w14:paraId="053D377B" w14:textId="18862375" w:rsidR="001E0110" w:rsidRDefault="001E0110" w:rsidP="00322FDF">
      <w:pPr>
        <w:rPr>
          <w:b/>
          <w:bCs/>
        </w:rPr>
      </w:pPr>
    </w:p>
    <w:p w14:paraId="6D0AF4B3" w14:textId="585A75E1" w:rsidR="001E0110" w:rsidRDefault="001E0110" w:rsidP="00322FDF">
      <w:pPr>
        <w:rPr>
          <w:b/>
          <w:bCs/>
        </w:rPr>
      </w:pPr>
    </w:p>
    <w:p w14:paraId="21692683" w14:textId="59F72709" w:rsidR="001E0110" w:rsidRDefault="001E0110" w:rsidP="00322FDF">
      <w:pPr>
        <w:rPr>
          <w:b/>
          <w:bCs/>
        </w:rPr>
      </w:pPr>
    </w:p>
    <w:p w14:paraId="79A16DFD" w14:textId="77777777" w:rsidR="001E0110" w:rsidRDefault="001E0110" w:rsidP="00322FDF">
      <w:pPr>
        <w:rPr>
          <w:b/>
          <w:bCs/>
        </w:rPr>
      </w:pPr>
    </w:p>
    <w:p w14:paraId="1F19D8B6" w14:textId="77777777" w:rsidR="006458BD" w:rsidRPr="006458BD" w:rsidRDefault="006458BD" w:rsidP="006458BD">
      <w:pPr>
        <w:tabs>
          <w:tab w:val="left" w:pos="709"/>
        </w:tabs>
        <w:spacing w:before="120" w:after="0" w:line="240" w:lineRule="auto"/>
        <w:rPr>
          <w:sz w:val="24"/>
          <w:szCs w:val="24"/>
        </w:rPr>
      </w:pPr>
      <w:bookmarkStart w:id="3" w:name="_Hlk127868126"/>
    </w:p>
    <w:p w14:paraId="49C90520" w14:textId="77777777" w:rsidR="006458BD" w:rsidRPr="006458BD" w:rsidRDefault="006458BD" w:rsidP="00B329D3">
      <w:pPr>
        <w:pStyle w:val="Heading1"/>
      </w:pPr>
      <w:r w:rsidRPr="006458BD">
        <w:lastRenderedPageBreak/>
        <w:t xml:space="preserve">How do we measure some of the outcome indicators outlined in the Sector Sounding Paper? </w:t>
      </w:r>
    </w:p>
    <w:p w14:paraId="3FD6835A" w14:textId="207CE56C" w:rsidR="006458BD" w:rsidRPr="006458BD" w:rsidRDefault="006458BD" w:rsidP="006458BD">
      <w:pPr>
        <w:tabs>
          <w:tab w:val="left" w:pos="709"/>
        </w:tabs>
        <w:spacing w:before="120" w:after="0" w:line="240" w:lineRule="auto"/>
        <w:rPr>
          <w:sz w:val="24"/>
          <w:szCs w:val="24"/>
        </w:rPr>
      </w:pPr>
      <w:r w:rsidRPr="006458BD">
        <w:rPr>
          <w:sz w:val="24"/>
          <w:szCs w:val="24"/>
        </w:rPr>
        <w:t xml:space="preserve">Not all indicators will be relevant to your </w:t>
      </w:r>
      <w:r w:rsidR="00C54880">
        <w:rPr>
          <w:sz w:val="24"/>
          <w:szCs w:val="24"/>
        </w:rPr>
        <w:t>program</w:t>
      </w:r>
      <w:r w:rsidRPr="006458BD">
        <w:rPr>
          <w:sz w:val="24"/>
          <w:szCs w:val="24"/>
        </w:rPr>
        <w:t>. There wasn’t one that could be used across the board to capture every service. Please choose whichever are relevant and you are welcome to suggest and design ones you that you feel better suit your service. As the indicators are aligned to the Wellbeing Outcomes Framework, any suggested indicators should also align with the Wellbeing Outcomes Framework.</w:t>
      </w:r>
    </w:p>
    <w:p w14:paraId="0AAE010D" w14:textId="77777777" w:rsidR="006458BD" w:rsidRDefault="006458BD" w:rsidP="00B329D3">
      <w:pPr>
        <w:pStyle w:val="Heading1"/>
      </w:pPr>
    </w:p>
    <w:p w14:paraId="6C138A99" w14:textId="6B46801E" w:rsidR="00541895" w:rsidRPr="00541895" w:rsidRDefault="00541895" w:rsidP="00B329D3">
      <w:pPr>
        <w:pStyle w:val="Heading1"/>
      </w:pPr>
      <w:r w:rsidRPr="00541895">
        <w:t>Are the Smarty Grants being assesses internally by CSD?</w:t>
      </w:r>
    </w:p>
    <w:p w14:paraId="53FE6575" w14:textId="201B0ACE" w:rsidR="001E0110" w:rsidRDefault="00541895" w:rsidP="001E0110">
      <w:pPr>
        <w:tabs>
          <w:tab w:val="left" w:pos="709"/>
        </w:tabs>
        <w:spacing w:before="120" w:after="0" w:line="240" w:lineRule="auto"/>
        <w:rPr>
          <w:sz w:val="24"/>
          <w:szCs w:val="24"/>
        </w:rPr>
      </w:pPr>
      <w:r w:rsidRPr="001E0110">
        <w:rPr>
          <w:sz w:val="24"/>
          <w:szCs w:val="24"/>
        </w:rPr>
        <w:t xml:space="preserve">There are a range of people on the assessing panels from all over the ACT Government, not </w:t>
      </w:r>
      <w:r w:rsidR="00A03ED6">
        <w:rPr>
          <w:sz w:val="24"/>
          <w:szCs w:val="24"/>
        </w:rPr>
        <w:t>only</w:t>
      </w:r>
      <w:r w:rsidRPr="001E0110">
        <w:rPr>
          <w:sz w:val="24"/>
          <w:szCs w:val="24"/>
        </w:rPr>
        <w:t xml:space="preserve"> CSD.</w:t>
      </w:r>
    </w:p>
    <w:p w14:paraId="487A3F7A" w14:textId="77777777" w:rsidR="006458BD" w:rsidRPr="001E0110" w:rsidRDefault="006458BD" w:rsidP="001E0110">
      <w:pPr>
        <w:tabs>
          <w:tab w:val="left" w:pos="709"/>
        </w:tabs>
        <w:spacing w:before="120" w:after="0" w:line="240" w:lineRule="auto"/>
        <w:rPr>
          <w:sz w:val="24"/>
          <w:szCs w:val="24"/>
        </w:rPr>
      </w:pPr>
    </w:p>
    <w:p w14:paraId="496568DD" w14:textId="273D8A20" w:rsidR="00541895" w:rsidRDefault="00541895" w:rsidP="00B329D3">
      <w:pPr>
        <w:pStyle w:val="Heading1"/>
      </w:pPr>
      <w:r w:rsidRPr="00541895">
        <w:t>Is there a word limit?</w:t>
      </w:r>
    </w:p>
    <w:p w14:paraId="718CCECE" w14:textId="2FB2B4FA" w:rsidR="00541895" w:rsidRDefault="00541895" w:rsidP="001E0110">
      <w:pPr>
        <w:tabs>
          <w:tab w:val="left" w:pos="709"/>
        </w:tabs>
        <w:spacing w:before="120" w:after="0" w:line="240" w:lineRule="auto"/>
        <w:rPr>
          <w:sz w:val="24"/>
          <w:szCs w:val="24"/>
        </w:rPr>
      </w:pPr>
      <w:r w:rsidRPr="001E0110">
        <w:rPr>
          <w:sz w:val="24"/>
          <w:szCs w:val="24"/>
        </w:rPr>
        <w:t xml:space="preserve">No. The Smarty Grants have been developed so you can answer a question within the frame pertaining to the question in the Smarty Grant, however, there is also an option to attach any </w:t>
      </w:r>
      <w:r w:rsidR="001E0110">
        <w:rPr>
          <w:sz w:val="24"/>
          <w:szCs w:val="24"/>
        </w:rPr>
        <w:t>documents</w:t>
      </w:r>
      <w:r w:rsidRPr="001E0110">
        <w:rPr>
          <w:sz w:val="24"/>
          <w:szCs w:val="24"/>
        </w:rPr>
        <w:t xml:space="preserve"> you would like to include to expand further on the model you are proposing. </w:t>
      </w:r>
    </w:p>
    <w:p w14:paraId="0792A8A5" w14:textId="205C69E1" w:rsidR="001E0110" w:rsidRDefault="001E0110" w:rsidP="001E0110">
      <w:pPr>
        <w:tabs>
          <w:tab w:val="left" w:pos="709"/>
        </w:tabs>
        <w:spacing w:before="120" w:after="0" w:line="240" w:lineRule="auto"/>
        <w:rPr>
          <w:sz w:val="24"/>
          <w:szCs w:val="24"/>
        </w:rPr>
      </w:pPr>
    </w:p>
    <w:p w14:paraId="1456AF76" w14:textId="75D5B1BC" w:rsidR="001E0110" w:rsidRPr="001E0110" w:rsidRDefault="001E0110" w:rsidP="00B329D3">
      <w:pPr>
        <w:pStyle w:val="Heading1"/>
      </w:pPr>
      <w:r>
        <w:t>With the Open Grants, do</w:t>
      </w:r>
      <w:r w:rsidRPr="001E0110">
        <w:t xml:space="preserve"> existing contracts come to an end, and those organisations currently managing the programs are required to reapply?</w:t>
      </w:r>
    </w:p>
    <w:p w14:paraId="507FADAE" w14:textId="77777777" w:rsidR="001E0110" w:rsidRPr="001E0110" w:rsidRDefault="001E0110" w:rsidP="001E0110">
      <w:pPr>
        <w:tabs>
          <w:tab w:val="left" w:pos="709"/>
        </w:tabs>
        <w:spacing w:before="120" w:after="0" w:line="240" w:lineRule="auto"/>
        <w:rPr>
          <w:sz w:val="24"/>
          <w:szCs w:val="24"/>
        </w:rPr>
      </w:pPr>
      <w:r w:rsidRPr="001E0110">
        <w:rPr>
          <w:sz w:val="24"/>
          <w:szCs w:val="24"/>
        </w:rPr>
        <w:t xml:space="preserve">Yes, as it is an open grant process, any organisation interested in applying, including the organisation currently delivering the program, is invited to apply. There are transitioning arrangements in place as part of the process. </w:t>
      </w:r>
    </w:p>
    <w:p w14:paraId="3644FD83" w14:textId="6E754106" w:rsidR="001E0110" w:rsidRPr="00FD1614" w:rsidRDefault="001E0110" w:rsidP="00FD1614">
      <w:pPr>
        <w:tabs>
          <w:tab w:val="left" w:pos="709"/>
        </w:tabs>
        <w:spacing w:before="120" w:after="0" w:line="240" w:lineRule="auto"/>
        <w:rPr>
          <w:sz w:val="24"/>
          <w:szCs w:val="24"/>
        </w:rPr>
      </w:pPr>
      <w:r w:rsidRPr="001E0110">
        <w:rPr>
          <w:sz w:val="24"/>
          <w:szCs w:val="24"/>
        </w:rPr>
        <w:t>Regardless of the investment approach, an organisation will be required to apply for funding and meet the relevant assessment criteria. This ensures the ACT Government and the Sector fulfill legislative and community expectations to confirm public money is used responsibly. Each grant application received will be assessed to determine delivery of client needs and value for money</w:t>
      </w:r>
      <w:r w:rsidR="00FD1614">
        <w:rPr>
          <w:sz w:val="24"/>
          <w:szCs w:val="24"/>
        </w:rPr>
        <w:t>.</w:t>
      </w:r>
    </w:p>
    <w:bookmarkEnd w:id="3"/>
    <w:p w14:paraId="20C8788B" w14:textId="77777777" w:rsidR="00FD1614" w:rsidRDefault="00FD1614" w:rsidP="001E0110">
      <w:pPr>
        <w:tabs>
          <w:tab w:val="left" w:pos="709"/>
        </w:tabs>
        <w:spacing w:before="120" w:after="0" w:line="240" w:lineRule="auto"/>
        <w:rPr>
          <w:b/>
          <w:bCs/>
        </w:rPr>
      </w:pPr>
      <w:r>
        <w:rPr>
          <w:b/>
          <w:bCs/>
        </w:rPr>
        <w:tab/>
      </w:r>
      <w:r>
        <w:rPr>
          <w:b/>
          <w:bCs/>
        </w:rPr>
        <w:tab/>
      </w:r>
      <w:r>
        <w:rPr>
          <w:b/>
          <w:bCs/>
        </w:rPr>
        <w:tab/>
      </w:r>
    </w:p>
    <w:p w14:paraId="52166253" w14:textId="28AE89F4" w:rsidR="00FD1614" w:rsidRDefault="00FD1614" w:rsidP="001E0110">
      <w:pPr>
        <w:tabs>
          <w:tab w:val="left" w:pos="709"/>
        </w:tabs>
        <w:spacing w:before="120" w:after="0" w:line="240" w:lineRule="auto"/>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14:paraId="4254DDC9" w14:textId="2A211901" w:rsidR="005D60C4" w:rsidRDefault="005D60C4" w:rsidP="00B329D3">
      <w:pPr>
        <w:pStyle w:val="Heading1"/>
      </w:pPr>
    </w:p>
    <w:p w14:paraId="52C90099" w14:textId="77777777" w:rsidR="004F3D9E" w:rsidRPr="004F3D9E" w:rsidRDefault="004F3D9E" w:rsidP="004F3D9E"/>
    <w:p w14:paraId="7889F06B" w14:textId="77777777" w:rsidR="005D60C4" w:rsidRDefault="005D60C4" w:rsidP="00B329D3">
      <w:pPr>
        <w:pStyle w:val="Heading1"/>
      </w:pPr>
    </w:p>
    <w:p w14:paraId="59DE4F58" w14:textId="4CCD3C2A" w:rsidR="0086702C" w:rsidRPr="001E0110" w:rsidRDefault="0086702C" w:rsidP="00B329D3">
      <w:pPr>
        <w:pStyle w:val="Heading1"/>
      </w:pPr>
      <w:r w:rsidRPr="0086702C">
        <w:t xml:space="preserve">When </w:t>
      </w:r>
      <w:r>
        <w:t xml:space="preserve">will I be able to log in to </w:t>
      </w:r>
      <w:proofErr w:type="spellStart"/>
      <w:r>
        <w:t>SmartyGrants</w:t>
      </w:r>
      <w:proofErr w:type="spellEnd"/>
      <w:r>
        <w:t xml:space="preserve"> to access </w:t>
      </w:r>
      <w:r w:rsidR="008E2E2F">
        <w:t>my</w:t>
      </w:r>
      <w:r>
        <w:t xml:space="preserve"> grant application?</w:t>
      </w:r>
      <w:r w:rsidR="001E0110">
        <w:rPr>
          <w:sz w:val="24"/>
          <w:szCs w:val="24"/>
        </w:rPr>
        <w:tab/>
      </w:r>
    </w:p>
    <w:p w14:paraId="22FD6542" w14:textId="114172F1" w:rsidR="0086702C" w:rsidRDefault="0086702C" w:rsidP="00FD1614">
      <w:pPr>
        <w:tabs>
          <w:tab w:val="left" w:pos="709"/>
        </w:tabs>
        <w:spacing w:before="120" w:after="0" w:line="240" w:lineRule="auto"/>
        <w:rPr>
          <w:sz w:val="24"/>
          <w:szCs w:val="24"/>
        </w:rPr>
      </w:pPr>
      <w:r>
        <w:rPr>
          <w:sz w:val="24"/>
          <w:szCs w:val="24"/>
        </w:rPr>
        <w:t xml:space="preserve">Grant rounds are being released through a staggered approach.  An email will be sent </w:t>
      </w:r>
      <w:r w:rsidR="00313739">
        <w:rPr>
          <w:sz w:val="24"/>
          <w:szCs w:val="24"/>
        </w:rPr>
        <w:t xml:space="preserve">the day </w:t>
      </w:r>
      <w:r>
        <w:rPr>
          <w:sz w:val="24"/>
          <w:szCs w:val="24"/>
        </w:rPr>
        <w:t>prior to the release of the published grant round to the organisation</w:t>
      </w:r>
      <w:r w:rsidR="00313739">
        <w:rPr>
          <w:sz w:val="24"/>
          <w:szCs w:val="24"/>
        </w:rPr>
        <w:t>,</w:t>
      </w:r>
      <w:r>
        <w:rPr>
          <w:sz w:val="24"/>
          <w:szCs w:val="24"/>
        </w:rPr>
        <w:t xml:space="preserve"> providing a link to </w:t>
      </w:r>
      <w:proofErr w:type="spellStart"/>
      <w:r>
        <w:rPr>
          <w:sz w:val="24"/>
          <w:szCs w:val="24"/>
        </w:rPr>
        <w:t>SmartyGrants</w:t>
      </w:r>
      <w:proofErr w:type="spellEnd"/>
      <w:r>
        <w:rPr>
          <w:sz w:val="24"/>
          <w:szCs w:val="24"/>
        </w:rPr>
        <w:t xml:space="preserve"> and advising of the release date/time.</w:t>
      </w:r>
    </w:p>
    <w:p w14:paraId="3619C69B" w14:textId="46F9F3F7" w:rsidR="0086702C" w:rsidRDefault="0086702C" w:rsidP="00FD1614">
      <w:pPr>
        <w:tabs>
          <w:tab w:val="left" w:pos="709"/>
        </w:tabs>
        <w:spacing w:before="120" w:after="0" w:line="240" w:lineRule="auto"/>
        <w:rPr>
          <w:sz w:val="24"/>
          <w:szCs w:val="24"/>
        </w:rPr>
      </w:pPr>
    </w:p>
    <w:p w14:paraId="6BF3381F" w14:textId="77777777" w:rsidR="0086702C" w:rsidRDefault="0086702C" w:rsidP="00B329D3">
      <w:pPr>
        <w:pStyle w:val="Heading1"/>
      </w:pPr>
      <w:r>
        <w:t xml:space="preserve">The proposed commissioning approach for my program is an Open Tender. The program has </w:t>
      </w:r>
      <w:proofErr w:type="gramStart"/>
      <w:r>
        <w:t>a number of</w:t>
      </w:r>
      <w:proofErr w:type="gramEnd"/>
      <w:r>
        <w:t xml:space="preserve"> people with very high and complex needs.  I understand there will be further co-design regarding people with high and complex needs. Will the Open Tender be issued prior to this co-design?</w:t>
      </w:r>
    </w:p>
    <w:p w14:paraId="1D7030CB" w14:textId="13A69A99" w:rsidR="0075772B" w:rsidRDefault="0075772B" w:rsidP="0075772B">
      <w:pPr>
        <w:rPr>
          <w:sz w:val="24"/>
          <w:szCs w:val="24"/>
        </w:rPr>
      </w:pPr>
      <w:bookmarkStart w:id="4" w:name="_Hlk127256731"/>
      <w:r>
        <w:rPr>
          <w:sz w:val="24"/>
          <w:szCs w:val="24"/>
        </w:rPr>
        <w:t xml:space="preserve">No. The co-design process of programs identified with clients with high and complex needs will be undertaken first and is expected to commence from March 2023. This process will help inform any decisions about investment approaches. Further information about the co-design process will be provided through the Frequently Asked Questions and directly to the impacted existing service providers. </w:t>
      </w:r>
    </w:p>
    <w:p w14:paraId="606528CF" w14:textId="77777777" w:rsidR="005E3400" w:rsidRDefault="005E3400" w:rsidP="00B329D3">
      <w:pPr>
        <w:pStyle w:val="Heading1"/>
      </w:pPr>
    </w:p>
    <w:p w14:paraId="22DAC5E8" w14:textId="77777777" w:rsidR="006B5DE7" w:rsidRDefault="006B5DE7" w:rsidP="00B329D3">
      <w:pPr>
        <w:pStyle w:val="Heading1"/>
      </w:pPr>
      <w:r w:rsidRPr="006B5DE7">
        <w:t>In relation to Section 8 of the Rent Remittance Review in the Sector Sounding Paper/s, is there an opportunity to discuss this issue more broadly?</w:t>
      </w:r>
    </w:p>
    <w:p w14:paraId="17BDA397" w14:textId="77777777" w:rsidR="0075772B" w:rsidRDefault="006B5DE7" w:rsidP="0075772B">
      <w:pPr>
        <w:rPr>
          <w:sz w:val="24"/>
          <w:szCs w:val="24"/>
        </w:rPr>
      </w:pPr>
      <w:r w:rsidRPr="001E0110">
        <w:rPr>
          <w:sz w:val="24"/>
          <w:szCs w:val="24"/>
        </w:rPr>
        <w:t xml:space="preserve">The inclusion of the rent remittance review in the Sector Sounding Paper was </w:t>
      </w:r>
      <w:r>
        <w:rPr>
          <w:sz w:val="24"/>
          <w:szCs w:val="24"/>
        </w:rPr>
        <w:t xml:space="preserve">an initial </w:t>
      </w:r>
      <w:r w:rsidRPr="001E0110">
        <w:rPr>
          <w:sz w:val="24"/>
          <w:szCs w:val="24"/>
        </w:rPr>
        <w:t>opportunity for organisations to provide their feedback</w:t>
      </w:r>
      <w:r>
        <w:rPr>
          <w:sz w:val="24"/>
          <w:szCs w:val="24"/>
        </w:rPr>
        <w:t xml:space="preserve">.  Further consultation will be undertaken with the sector. </w:t>
      </w:r>
      <w:r w:rsidR="0075772B">
        <w:rPr>
          <w:sz w:val="24"/>
          <w:szCs w:val="24"/>
        </w:rPr>
        <w:t xml:space="preserve">Information about this consultation will be provided </w:t>
      </w:r>
      <w:proofErr w:type="gramStart"/>
      <w:r w:rsidR="0075772B">
        <w:rPr>
          <w:sz w:val="24"/>
          <w:szCs w:val="24"/>
        </w:rPr>
        <w:t>in the near future</w:t>
      </w:r>
      <w:proofErr w:type="gramEnd"/>
      <w:r w:rsidR="0075772B">
        <w:rPr>
          <w:sz w:val="24"/>
          <w:szCs w:val="24"/>
        </w:rPr>
        <w:t>.</w:t>
      </w:r>
    </w:p>
    <w:p w14:paraId="2DE3E315" w14:textId="77777777" w:rsidR="00807BDD" w:rsidRDefault="00807BDD" w:rsidP="006B5DE7"/>
    <w:p w14:paraId="66FFA6D0" w14:textId="56DF7649" w:rsidR="00807BDD" w:rsidRDefault="00807BDD" w:rsidP="00B329D3">
      <w:pPr>
        <w:pStyle w:val="Heading1"/>
      </w:pPr>
      <w:r>
        <w:t xml:space="preserve">For the open grants and tenders will past performance be considered in the assessment </w:t>
      </w:r>
      <w:proofErr w:type="gramStart"/>
      <w:r>
        <w:t>criteria</w:t>
      </w:r>
      <w:r w:rsidR="00914CEE">
        <w:t>?</w:t>
      </w:r>
      <w:proofErr w:type="gramEnd"/>
    </w:p>
    <w:p w14:paraId="32264068" w14:textId="7F63C0D7" w:rsidR="00807BDD" w:rsidRDefault="00807BDD" w:rsidP="00807BDD">
      <w:pPr>
        <w:rPr>
          <w:sz w:val="24"/>
          <w:szCs w:val="24"/>
        </w:rPr>
      </w:pPr>
      <w:r w:rsidRPr="00807BDD">
        <w:rPr>
          <w:sz w:val="24"/>
          <w:szCs w:val="24"/>
        </w:rPr>
        <w:t>Yes, past performance will be included in the</w:t>
      </w:r>
      <w:r>
        <w:rPr>
          <w:sz w:val="24"/>
          <w:szCs w:val="24"/>
        </w:rPr>
        <w:t xml:space="preserve"> assessment criteria for Select and Open Grants and Tenders with the weighting provided. </w:t>
      </w:r>
    </w:p>
    <w:p w14:paraId="30EA0127" w14:textId="77777777" w:rsidR="0075772B" w:rsidRDefault="0075772B" w:rsidP="00807BDD">
      <w:pPr>
        <w:rPr>
          <w:sz w:val="24"/>
          <w:szCs w:val="24"/>
        </w:rPr>
      </w:pPr>
    </w:p>
    <w:p w14:paraId="5BE84810" w14:textId="77777777" w:rsidR="0075772B" w:rsidRPr="00FE0085" w:rsidRDefault="0075772B" w:rsidP="00B329D3">
      <w:pPr>
        <w:pStyle w:val="Heading1"/>
      </w:pPr>
      <w:r>
        <w:lastRenderedPageBreak/>
        <w:t>Will further consultation be undertaken</w:t>
      </w:r>
      <w:r w:rsidRPr="00FE0085">
        <w:t>?</w:t>
      </w:r>
    </w:p>
    <w:p w14:paraId="79216374" w14:textId="77777777" w:rsidR="0075772B" w:rsidRDefault="0075772B" w:rsidP="0075772B">
      <w:pPr>
        <w:spacing w:before="120" w:after="0" w:line="240" w:lineRule="auto"/>
        <w:ind w:right="-454"/>
        <w:rPr>
          <w:sz w:val="24"/>
          <w:szCs w:val="24"/>
        </w:rPr>
      </w:pPr>
      <w:r>
        <w:rPr>
          <w:sz w:val="24"/>
          <w:szCs w:val="24"/>
        </w:rPr>
        <w:t>During the Commissioning engagement, three areas were identified that required further co-design and consultation. These are:</w:t>
      </w:r>
    </w:p>
    <w:p w14:paraId="10F14A96" w14:textId="77777777" w:rsidR="0075772B" w:rsidRDefault="0075772B" w:rsidP="0075772B">
      <w:pPr>
        <w:pStyle w:val="ListParagraph"/>
        <w:numPr>
          <w:ilvl w:val="0"/>
          <w:numId w:val="42"/>
        </w:numPr>
        <w:spacing w:before="120" w:after="0" w:line="240" w:lineRule="auto"/>
        <w:ind w:right="-454"/>
        <w:rPr>
          <w:sz w:val="24"/>
          <w:szCs w:val="24"/>
        </w:rPr>
      </w:pPr>
      <w:r>
        <w:rPr>
          <w:sz w:val="24"/>
          <w:szCs w:val="24"/>
        </w:rPr>
        <w:t>Clients with High and Complex Needs;</w:t>
      </w:r>
    </w:p>
    <w:p w14:paraId="13C71045" w14:textId="77777777" w:rsidR="0075772B" w:rsidRDefault="0075772B" w:rsidP="0075772B">
      <w:pPr>
        <w:pStyle w:val="ListParagraph"/>
        <w:numPr>
          <w:ilvl w:val="0"/>
          <w:numId w:val="42"/>
        </w:numPr>
        <w:spacing w:before="120" w:after="0" w:line="240" w:lineRule="auto"/>
        <w:ind w:right="-454"/>
        <w:rPr>
          <w:sz w:val="24"/>
          <w:szCs w:val="24"/>
        </w:rPr>
      </w:pPr>
      <w:r>
        <w:rPr>
          <w:sz w:val="24"/>
          <w:szCs w:val="24"/>
        </w:rPr>
        <w:t>Central Intake Service model; and</w:t>
      </w:r>
    </w:p>
    <w:p w14:paraId="56C7EE3F" w14:textId="77777777" w:rsidR="0075772B" w:rsidRDefault="0075772B" w:rsidP="0075772B">
      <w:pPr>
        <w:pStyle w:val="ListParagraph"/>
        <w:numPr>
          <w:ilvl w:val="0"/>
          <w:numId w:val="42"/>
        </w:numPr>
        <w:spacing w:before="120" w:after="0" w:line="240" w:lineRule="auto"/>
        <w:ind w:right="-454"/>
        <w:rPr>
          <w:sz w:val="24"/>
          <w:szCs w:val="24"/>
        </w:rPr>
      </w:pPr>
      <w:r>
        <w:rPr>
          <w:sz w:val="24"/>
          <w:szCs w:val="24"/>
        </w:rPr>
        <w:t>Food and engagement services.</w:t>
      </w:r>
    </w:p>
    <w:p w14:paraId="4F0BD628" w14:textId="739061F7" w:rsidR="0075772B" w:rsidRPr="00CD4ADC" w:rsidRDefault="0075772B" w:rsidP="0075772B">
      <w:pPr>
        <w:spacing w:before="120" w:after="0" w:line="240" w:lineRule="auto"/>
        <w:ind w:right="-454"/>
        <w:rPr>
          <w:sz w:val="24"/>
          <w:szCs w:val="24"/>
        </w:rPr>
      </w:pPr>
      <w:r>
        <w:rPr>
          <w:sz w:val="24"/>
          <w:szCs w:val="24"/>
        </w:rPr>
        <w:t>Co-design with stakeholders will commence from March 2023 to inform future investment in these areas.</w:t>
      </w:r>
    </w:p>
    <w:p w14:paraId="6FEE5210" w14:textId="77777777" w:rsidR="00807BDD" w:rsidRPr="00807BDD" w:rsidRDefault="00807BDD" w:rsidP="00807BDD">
      <w:pPr>
        <w:rPr>
          <w:sz w:val="24"/>
          <w:szCs w:val="24"/>
        </w:rPr>
      </w:pPr>
    </w:p>
    <w:p w14:paraId="6CBCEC87" w14:textId="146EC976" w:rsidR="0086702C" w:rsidRPr="00C051BB" w:rsidRDefault="00C051BB" w:rsidP="00B329D3">
      <w:pPr>
        <w:pStyle w:val="Heading1"/>
      </w:pPr>
      <w:r>
        <w:t>W</w:t>
      </w:r>
      <w:r w:rsidRPr="00C051BB">
        <w:t xml:space="preserve">hich grants/tenders have been selected as </w:t>
      </w:r>
      <w:r>
        <w:t xml:space="preserve">direct, </w:t>
      </w:r>
      <w:proofErr w:type="gramStart"/>
      <w:r>
        <w:t>select</w:t>
      </w:r>
      <w:proofErr w:type="gramEnd"/>
      <w:r w:rsidRPr="00C051BB">
        <w:t xml:space="preserve"> or open grant </w:t>
      </w:r>
      <w:r>
        <w:t xml:space="preserve">or </w:t>
      </w:r>
      <w:r w:rsidRPr="00C051BB">
        <w:t xml:space="preserve">tender and how </w:t>
      </w:r>
      <w:r w:rsidR="0075772B">
        <w:t xml:space="preserve">were </w:t>
      </w:r>
      <w:r w:rsidRPr="00C051BB">
        <w:t xml:space="preserve">decisions made </w:t>
      </w:r>
      <w:r w:rsidR="0075772B">
        <w:t>about which</w:t>
      </w:r>
      <w:r w:rsidRPr="00C051BB">
        <w:t xml:space="preserve"> programs constitute a grant and which constitute a tender</w:t>
      </w:r>
      <w:r>
        <w:t>?</w:t>
      </w:r>
    </w:p>
    <w:bookmarkEnd w:id="4"/>
    <w:p w14:paraId="61B590E1" w14:textId="17DCE42F" w:rsidR="00C051BB" w:rsidRPr="00C051BB" w:rsidRDefault="00C051BB" w:rsidP="00C051BB">
      <w:pPr>
        <w:spacing w:before="120" w:after="0" w:line="240" w:lineRule="auto"/>
        <w:rPr>
          <w:color w:val="000000" w:themeColor="text1"/>
          <w:sz w:val="24"/>
          <w:szCs w:val="24"/>
        </w:rPr>
      </w:pPr>
      <w:r w:rsidRPr="00C051BB">
        <w:rPr>
          <w:color w:val="000000" w:themeColor="text1"/>
          <w:sz w:val="24"/>
          <w:szCs w:val="24"/>
        </w:rPr>
        <w:t>While traditional procurement would have suggested open tenders for all services, drawing from the insights developed through Commissioning engagement</w:t>
      </w:r>
      <w:r w:rsidR="0075772B">
        <w:rPr>
          <w:color w:val="000000" w:themeColor="text1"/>
          <w:sz w:val="24"/>
          <w:szCs w:val="24"/>
        </w:rPr>
        <w:t xml:space="preserve"> process</w:t>
      </w:r>
      <w:r w:rsidRPr="00C051BB">
        <w:rPr>
          <w:color w:val="000000" w:themeColor="text1"/>
          <w:sz w:val="24"/>
          <w:szCs w:val="24"/>
        </w:rPr>
        <w:t xml:space="preserve">, the ACT Government has considered </w:t>
      </w:r>
      <w:proofErr w:type="gramStart"/>
      <w:r w:rsidRPr="00C051BB">
        <w:rPr>
          <w:color w:val="000000" w:themeColor="text1"/>
          <w:sz w:val="24"/>
          <w:szCs w:val="24"/>
        </w:rPr>
        <w:t>a number of</w:t>
      </w:r>
      <w:proofErr w:type="gramEnd"/>
      <w:r w:rsidRPr="00C051BB">
        <w:rPr>
          <w:color w:val="000000" w:themeColor="text1"/>
          <w:sz w:val="24"/>
          <w:szCs w:val="24"/>
        </w:rPr>
        <w:t xml:space="preserve"> factors to determine a mix of appropriate investment approaches. In considering a direct approach, select approach or an open grant or open tender the following factors were considered:</w:t>
      </w:r>
    </w:p>
    <w:p w14:paraId="0D83FE21" w14:textId="77777777" w:rsidR="00C051BB" w:rsidRPr="00C051BB" w:rsidRDefault="00C051BB" w:rsidP="00C051BB">
      <w:pPr>
        <w:numPr>
          <w:ilvl w:val="0"/>
          <w:numId w:val="28"/>
        </w:numPr>
        <w:spacing w:before="120" w:after="0" w:line="240" w:lineRule="auto"/>
        <w:ind w:left="771" w:hanging="357"/>
        <w:rPr>
          <w:sz w:val="24"/>
          <w:szCs w:val="24"/>
        </w:rPr>
      </w:pPr>
      <w:r w:rsidRPr="00C051BB">
        <w:rPr>
          <w:sz w:val="24"/>
          <w:szCs w:val="24"/>
        </w:rPr>
        <w:t xml:space="preserve">how best we can meet the needs of clients: specific cohorts have different needs and may require different ways of engagement and bespoke services e.g., for Aboriginal and Torres Strait Islanders. </w:t>
      </w:r>
    </w:p>
    <w:p w14:paraId="1BB8EB2B" w14:textId="77777777" w:rsidR="00C051BB" w:rsidRPr="00C051BB" w:rsidRDefault="00C051BB" w:rsidP="00C051BB">
      <w:pPr>
        <w:numPr>
          <w:ilvl w:val="0"/>
          <w:numId w:val="28"/>
        </w:numPr>
        <w:spacing w:before="120" w:after="0" w:line="240" w:lineRule="auto"/>
        <w:ind w:left="771" w:hanging="357"/>
        <w:rPr>
          <w:sz w:val="24"/>
          <w:szCs w:val="24"/>
        </w:rPr>
      </w:pPr>
      <w:r w:rsidRPr="00C051BB">
        <w:rPr>
          <w:sz w:val="24"/>
          <w:szCs w:val="24"/>
        </w:rPr>
        <w:t>the impact on clients of potential interruption to service provision: for some client cohorts, especially those with significant trauma backgrounds and/or repeated negative service experiences, it can take time to build relationships and trust with service providers, and a potential interruption of service provision may negatively impact these clients.</w:t>
      </w:r>
    </w:p>
    <w:p w14:paraId="2022866C" w14:textId="77777777" w:rsidR="00C051BB" w:rsidRPr="00C051BB" w:rsidRDefault="00C051BB" w:rsidP="00C051BB">
      <w:pPr>
        <w:numPr>
          <w:ilvl w:val="0"/>
          <w:numId w:val="28"/>
        </w:numPr>
        <w:spacing w:before="120" w:after="0" w:line="240" w:lineRule="auto"/>
        <w:ind w:left="771" w:hanging="357"/>
        <w:rPr>
          <w:sz w:val="24"/>
          <w:szCs w:val="24"/>
        </w:rPr>
      </w:pPr>
      <w:r w:rsidRPr="00C051BB">
        <w:rPr>
          <w:sz w:val="24"/>
          <w:szCs w:val="24"/>
        </w:rPr>
        <w:t xml:space="preserve">the size of the organisations and the type of services they provide: a sustainable, </w:t>
      </w:r>
      <w:proofErr w:type="gramStart"/>
      <w:r w:rsidRPr="00C051BB">
        <w:rPr>
          <w:sz w:val="24"/>
          <w:szCs w:val="24"/>
        </w:rPr>
        <w:t>vibrant</w:t>
      </w:r>
      <w:proofErr w:type="gramEnd"/>
      <w:r w:rsidRPr="00C051BB">
        <w:rPr>
          <w:sz w:val="24"/>
          <w:szCs w:val="24"/>
        </w:rPr>
        <w:t xml:space="preserve"> and diverse homelessness sector is supported by having a diversity of service providers, from small to large, and from generalist to specialist. </w:t>
      </w:r>
    </w:p>
    <w:p w14:paraId="678BA0BE" w14:textId="102A8FA2" w:rsidR="00C051BB" w:rsidRPr="00C051BB" w:rsidRDefault="00C051BB" w:rsidP="00C051BB">
      <w:pPr>
        <w:numPr>
          <w:ilvl w:val="0"/>
          <w:numId w:val="28"/>
        </w:numPr>
        <w:spacing w:before="120" w:after="0" w:line="240" w:lineRule="auto"/>
        <w:ind w:left="771" w:hanging="357"/>
        <w:rPr>
          <w:b/>
          <w:bCs/>
          <w:sz w:val="24"/>
          <w:szCs w:val="24"/>
        </w:rPr>
      </w:pPr>
      <w:r w:rsidRPr="00C051BB">
        <w:rPr>
          <w:sz w:val="24"/>
          <w:szCs w:val="24"/>
        </w:rPr>
        <w:t>the number of service programs organisations deliver and whether the homelessness service program is their primary service: the impact on the ongoing viability of an organisation where the homelessness service program is their primary funded service.</w:t>
      </w:r>
    </w:p>
    <w:p w14:paraId="72A28C1C" w14:textId="4BD4E1F0" w:rsidR="00C051BB" w:rsidRPr="00C051BB" w:rsidRDefault="00C051BB" w:rsidP="00C051BB">
      <w:pPr>
        <w:numPr>
          <w:ilvl w:val="0"/>
          <w:numId w:val="28"/>
        </w:numPr>
        <w:spacing w:before="120" w:after="0" w:line="240" w:lineRule="auto"/>
        <w:ind w:left="771" w:hanging="357"/>
        <w:rPr>
          <w:b/>
          <w:bCs/>
          <w:sz w:val="24"/>
          <w:szCs w:val="24"/>
        </w:rPr>
      </w:pPr>
      <w:r w:rsidRPr="00C051BB">
        <w:rPr>
          <w:sz w:val="24"/>
          <w:szCs w:val="24"/>
        </w:rPr>
        <w:t>whether the service program is being run from properties owned by the organisation: the potential impact on a program being run from a property owned by the organisation.</w:t>
      </w:r>
    </w:p>
    <w:p w14:paraId="60E60E5F" w14:textId="4F170872" w:rsidR="00C051BB" w:rsidRPr="00C051BB" w:rsidRDefault="00C051BB" w:rsidP="00C051BB">
      <w:pPr>
        <w:numPr>
          <w:ilvl w:val="0"/>
          <w:numId w:val="28"/>
        </w:numPr>
        <w:spacing w:before="120" w:after="0" w:line="240" w:lineRule="auto"/>
        <w:ind w:left="771" w:hanging="357"/>
        <w:rPr>
          <w:sz w:val="24"/>
          <w:szCs w:val="24"/>
        </w:rPr>
      </w:pPr>
      <w:r w:rsidRPr="00C051BB">
        <w:rPr>
          <w:sz w:val="24"/>
          <w:szCs w:val="24"/>
        </w:rPr>
        <w:t xml:space="preserve">whether the service providers are new organisations in the sector. </w:t>
      </w:r>
    </w:p>
    <w:p w14:paraId="74C24A9E" w14:textId="40EC94D8" w:rsidR="00C051BB" w:rsidRPr="00C051BB" w:rsidRDefault="00C051BB" w:rsidP="00C051BB">
      <w:pPr>
        <w:numPr>
          <w:ilvl w:val="0"/>
          <w:numId w:val="28"/>
        </w:numPr>
        <w:spacing w:before="120" w:after="0" w:line="240" w:lineRule="auto"/>
        <w:ind w:left="771" w:hanging="357"/>
        <w:rPr>
          <w:sz w:val="24"/>
          <w:szCs w:val="24"/>
        </w:rPr>
      </w:pPr>
      <w:r w:rsidRPr="00C051BB">
        <w:rPr>
          <w:sz w:val="24"/>
          <w:szCs w:val="24"/>
        </w:rPr>
        <w:t xml:space="preserve">established networks and advocacy support services. </w:t>
      </w:r>
    </w:p>
    <w:p w14:paraId="5CB5961E" w14:textId="77777777" w:rsidR="00C051BB" w:rsidRPr="00C051BB" w:rsidRDefault="00C051BB" w:rsidP="00C051BB">
      <w:pPr>
        <w:numPr>
          <w:ilvl w:val="0"/>
          <w:numId w:val="28"/>
        </w:numPr>
        <w:spacing w:before="120" w:after="0" w:line="240" w:lineRule="auto"/>
        <w:ind w:left="771" w:hanging="357"/>
        <w:rPr>
          <w:b/>
          <w:bCs/>
          <w:sz w:val="24"/>
          <w:szCs w:val="24"/>
        </w:rPr>
      </w:pPr>
      <w:r w:rsidRPr="00C051BB">
        <w:rPr>
          <w:sz w:val="24"/>
          <w:szCs w:val="24"/>
        </w:rPr>
        <w:t>value of the funding:</w:t>
      </w:r>
      <w:r w:rsidRPr="00C051BB">
        <w:rPr>
          <w:b/>
          <w:bCs/>
          <w:sz w:val="24"/>
          <w:szCs w:val="24"/>
        </w:rPr>
        <w:t xml:space="preserve"> </w:t>
      </w:r>
      <w:r w:rsidRPr="00C051BB">
        <w:rPr>
          <w:sz w:val="24"/>
          <w:szCs w:val="24"/>
        </w:rPr>
        <w:t xml:space="preserve">for larger funding envelopes in particular, consideration is given to whether an open grant/tender process may be the most appropriate approach. </w:t>
      </w:r>
    </w:p>
    <w:p w14:paraId="3D4CED84" w14:textId="305F4BE3" w:rsidR="00C051BB" w:rsidRPr="00C051BB" w:rsidRDefault="00C051BB" w:rsidP="00C051BB">
      <w:pPr>
        <w:numPr>
          <w:ilvl w:val="0"/>
          <w:numId w:val="28"/>
        </w:numPr>
        <w:spacing w:before="120" w:after="0" w:line="240" w:lineRule="auto"/>
        <w:ind w:left="771" w:hanging="357"/>
        <w:rPr>
          <w:sz w:val="24"/>
          <w:szCs w:val="24"/>
        </w:rPr>
      </w:pPr>
      <w:r w:rsidRPr="00C051BB">
        <w:rPr>
          <w:sz w:val="24"/>
          <w:szCs w:val="24"/>
        </w:rPr>
        <w:lastRenderedPageBreak/>
        <w:t>the level of risk: A range of risks are considered when determining what investment approach to take, including value of funding, maturity of organisations/sector, and history of organisational performance.</w:t>
      </w:r>
    </w:p>
    <w:p w14:paraId="52EF125D" w14:textId="2D265C85" w:rsidR="00C051BB" w:rsidRDefault="00C051BB" w:rsidP="00C051BB">
      <w:pPr>
        <w:spacing w:before="120" w:after="0" w:line="240" w:lineRule="auto"/>
        <w:ind w:left="414"/>
        <w:jc w:val="right"/>
        <w:rPr>
          <w:sz w:val="24"/>
          <w:szCs w:val="24"/>
        </w:rPr>
      </w:pPr>
      <w:r w:rsidRPr="00C051BB">
        <w:rPr>
          <w:sz w:val="24"/>
          <w:szCs w:val="24"/>
        </w:rPr>
        <w:t>(Strategic Investment Plan for Homelessness Sector)</w:t>
      </w:r>
    </w:p>
    <w:p w14:paraId="33B812F7" w14:textId="4676708B" w:rsidR="005E3400" w:rsidRDefault="00D76AED" w:rsidP="00C051BB">
      <w:pPr>
        <w:spacing w:before="120" w:after="0" w:line="240" w:lineRule="auto"/>
        <w:ind w:left="414"/>
        <w:jc w:val="right"/>
        <w:rPr>
          <w:sz w:val="24"/>
          <w:szCs w:val="24"/>
        </w:rPr>
      </w:pPr>
      <w:hyperlink r:id="rId22" w:history="1">
        <w:r w:rsidR="005E3400" w:rsidRPr="00D81829">
          <w:rPr>
            <w:rStyle w:val="Hyperlink"/>
            <w:sz w:val="24"/>
            <w:szCs w:val="24"/>
          </w:rPr>
          <w:t>https://www.communityservices.act.gov.au/commissioning/sectors-in-progress/homelessness-and-housing</w:t>
        </w:r>
      </w:hyperlink>
      <w:r w:rsidR="005E3400">
        <w:rPr>
          <w:sz w:val="24"/>
          <w:szCs w:val="24"/>
        </w:rPr>
        <w:t xml:space="preserve"> </w:t>
      </w:r>
    </w:p>
    <w:p w14:paraId="3C6FEEBB" w14:textId="77777777" w:rsidR="005E3400" w:rsidRPr="00C051BB" w:rsidRDefault="005E3400" w:rsidP="00C051BB">
      <w:pPr>
        <w:spacing w:before="120" w:after="0" w:line="240" w:lineRule="auto"/>
        <w:ind w:left="414"/>
        <w:jc w:val="right"/>
        <w:rPr>
          <w:sz w:val="24"/>
          <w:szCs w:val="24"/>
        </w:rPr>
      </w:pPr>
    </w:p>
    <w:p w14:paraId="3FE57774" w14:textId="77777777" w:rsidR="005A3B8F" w:rsidRDefault="005D60C4" w:rsidP="00C051BB">
      <w:pPr>
        <w:spacing w:before="120" w:after="0" w:line="240" w:lineRule="auto"/>
        <w:rPr>
          <w:sz w:val="24"/>
          <w:szCs w:val="24"/>
        </w:rPr>
      </w:pPr>
      <w:r>
        <w:rPr>
          <w:sz w:val="24"/>
          <w:szCs w:val="24"/>
        </w:rPr>
        <w:t>The following pages outlines the investment approach for each service program.</w:t>
      </w:r>
      <w:r w:rsidR="001E0110">
        <w:rPr>
          <w:sz w:val="24"/>
          <w:szCs w:val="24"/>
        </w:rPr>
        <w:tab/>
      </w:r>
    </w:p>
    <w:p w14:paraId="14E65A9F" w14:textId="5D05BB0B" w:rsidR="00DC73A9" w:rsidRDefault="001E0110" w:rsidP="00C051BB">
      <w:pPr>
        <w:spacing w:before="120" w:after="0" w:line="240" w:lineRule="auto"/>
        <w:rPr>
          <w:sz w:val="24"/>
          <w:szCs w:val="24"/>
        </w:rPr>
        <w:sectPr w:rsidR="00DC73A9" w:rsidSect="007C34A7">
          <w:headerReference w:type="default" r:id="rId23"/>
          <w:footerReference w:type="default" r:id="rId24"/>
          <w:footerReference w:type="first" r:id="rId25"/>
          <w:type w:val="continuous"/>
          <w:pgSz w:w="11907" w:h="16840" w:code="9"/>
          <w:pgMar w:top="1134" w:right="1134" w:bottom="1702" w:left="1134" w:header="567" w:footer="254" w:gutter="0"/>
          <w:cols w:space="720"/>
          <w:docGrid w:linePitch="299"/>
        </w:sectPr>
      </w:pPr>
      <w:r>
        <w:rPr>
          <w:sz w:val="24"/>
          <w:szCs w:val="24"/>
        </w:rPr>
        <w:tab/>
      </w:r>
    </w:p>
    <w:tbl>
      <w:tblPr>
        <w:tblStyle w:val="TableGrid"/>
        <w:tblW w:w="5000" w:type="pct"/>
        <w:tblLook w:val="04A0" w:firstRow="1" w:lastRow="0" w:firstColumn="1" w:lastColumn="0" w:noHBand="0" w:noVBand="1"/>
      </w:tblPr>
      <w:tblGrid>
        <w:gridCol w:w="6264"/>
        <w:gridCol w:w="7730"/>
      </w:tblGrid>
      <w:tr w:rsidR="00D51466" w:rsidRPr="001A34E8" w14:paraId="13B76FB1" w14:textId="77777777" w:rsidTr="00C935A1">
        <w:trPr>
          <w:trHeight w:val="438"/>
          <w:tblHeader/>
        </w:trPr>
        <w:tc>
          <w:tcPr>
            <w:tcW w:w="5000" w:type="pct"/>
            <w:gridSpan w:val="2"/>
            <w:shd w:val="clear" w:color="auto" w:fill="auto"/>
          </w:tcPr>
          <w:p w14:paraId="41565A85" w14:textId="77777777" w:rsidR="00D51466" w:rsidRDefault="00D51466" w:rsidP="00CD4ADC">
            <w:pPr>
              <w:jc w:val="center"/>
              <w:rPr>
                <w:b/>
                <w:bCs/>
                <w:color w:val="7030A0"/>
                <w:sz w:val="24"/>
                <w:szCs w:val="24"/>
              </w:rPr>
            </w:pPr>
            <w:r>
              <w:rPr>
                <w:b/>
                <w:bCs/>
                <w:color w:val="7030A0"/>
                <w:sz w:val="24"/>
                <w:szCs w:val="24"/>
              </w:rPr>
              <w:lastRenderedPageBreak/>
              <w:t>Direct Sourcing Grants</w:t>
            </w:r>
          </w:p>
          <w:p w14:paraId="7B876194" w14:textId="241CAD95" w:rsidR="00D51466" w:rsidRPr="00144A79" w:rsidRDefault="003C471F" w:rsidP="00CD4ADC">
            <w:pPr>
              <w:jc w:val="center"/>
              <w:rPr>
                <w:b/>
                <w:bCs/>
                <w:color w:val="7030A0"/>
                <w:sz w:val="24"/>
                <w:szCs w:val="24"/>
              </w:rPr>
            </w:pPr>
            <w:r>
              <w:rPr>
                <w:b/>
                <w:bCs/>
                <w:color w:val="7030A0"/>
                <w:sz w:val="24"/>
                <w:szCs w:val="24"/>
              </w:rPr>
              <w:t xml:space="preserve">New Grants Executed </w:t>
            </w:r>
          </w:p>
        </w:tc>
      </w:tr>
      <w:tr w:rsidR="00D51466" w:rsidRPr="001A34E8" w14:paraId="48BA18C9" w14:textId="10580BB9" w:rsidTr="00C935A1">
        <w:trPr>
          <w:trHeight w:val="438"/>
          <w:tblHeader/>
        </w:trPr>
        <w:tc>
          <w:tcPr>
            <w:tcW w:w="2238" w:type="pct"/>
            <w:shd w:val="clear" w:color="auto" w:fill="auto"/>
          </w:tcPr>
          <w:p w14:paraId="45D410C5" w14:textId="10004280" w:rsidR="00D51466" w:rsidRPr="00144A79" w:rsidRDefault="00D51466" w:rsidP="00CD4ADC">
            <w:pPr>
              <w:jc w:val="center"/>
              <w:rPr>
                <w:b/>
                <w:bCs/>
                <w:color w:val="7030A0"/>
                <w:sz w:val="24"/>
                <w:szCs w:val="24"/>
              </w:rPr>
            </w:pPr>
            <w:bookmarkStart w:id="5" w:name="_Hlk114831758"/>
            <w:r w:rsidRPr="00144A79">
              <w:rPr>
                <w:b/>
                <w:bCs/>
                <w:color w:val="7030A0"/>
                <w:sz w:val="24"/>
                <w:szCs w:val="24"/>
              </w:rPr>
              <w:t>Organisation</w:t>
            </w:r>
          </w:p>
        </w:tc>
        <w:tc>
          <w:tcPr>
            <w:tcW w:w="2762" w:type="pct"/>
            <w:shd w:val="clear" w:color="auto" w:fill="auto"/>
          </w:tcPr>
          <w:p w14:paraId="73942B5B" w14:textId="77777777" w:rsidR="00D51466" w:rsidRPr="00144A79" w:rsidRDefault="00D51466" w:rsidP="00CD4ADC">
            <w:pPr>
              <w:jc w:val="center"/>
              <w:rPr>
                <w:b/>
                <w:bCs/>
                <w:color w:val="7030A0"/>
                <w:sz w:val="24"/>
                <w:szCs w:val="24"/>
              </w:rPr>
            </w:pPr>
            <w:r w:rsidRPr="00144A79">
              <w:rPr>
                <w:b/>
                <w:bCs/>
                <w:color w:val="7030A0"/>
                <w:sz w:val="24"/>
                <w:szCs w:val="24"/>
              </w:rPr>
              <w:t>New Service</w:t>
            </w:r>
          </w:p>
        </w:tc>
      </w:tr>
      <w:tr w:rsidR="00D51466" w:rsidRPr="001A34E8" w14:paraId="6ACB4DD6" w14:textId="05FDC924" w:rsidTr="00D51466">
        <w:tc>
          <w:tcPr>
            <w:tcW w:w="2238" w:type="pct"/>
            <w:shd w:val="clear" w:color="auto" w:fill="auto"/>
          </w:tcPr>
          <w:p w14:paraId="2655AE2A" w14:textId="77777777" w:rsidR="00D51466" w:rsidRPr="001A34E8" w:rsidRDefault="00D51466" w:rsidP="00CD4ADC">
            <w:pPr>
              <w:rPr>
                <w:sz w:val="24"/>
                <w:szCs w:val="24"/>
              </w:rPr>
            </w:pPr>
            <w:bookmarkStart w:id="6" w:name="_Hlk115334257"/>
            <w:bookmarkEnd w:id="5"/>
            <w:r w:rsidRPr="001A34E8">
              <w:rPr>
                <w:sz w:val="24"/>
                <w:szCs w:val="24"/>
              </w:rPr>
              <w:t>Beryl Women Inc</w:t>
            </w:r>
          </w:p>
        </w:tc>
        <w:tc>
          <w:tcPr>
            <w:tcW w:w="2762" w:type="pct"/>
            <w:shd w:val="clear" w:color="auto" w:fill="auto"/>
          </w:tcPr>
          <w:p w14:paraId="70EBF18B" w14:textId="6F6A738D" w:rsidR="00D51466" w:rsidRPr="001A34E8" w:rsidRDefault="00D51466" w:rsidP="00CD4ADC">
            <w:pPr>
              <w:pStyle w:val="Default"/>
            </w:pPr>
            <w:r w:rsidRPr="001A34E8">
              <w:t xml:space="preserve">Accommodation and support services primarily for women with/without children </w:t>
            </w:r>
          </w:p>
          <w:p w14:paraId="269E4899" w14:textId="77777777" w:rsidR="00D51466" w:rsidRPr="001A34E8" w:rsidRDefault="00D51466" w:rsidP="00CD4ADC">
            <w:pPr>
              <w:pStyle w:val="Default"/>
            </w:pPr>
          </w:p>
        </w:tc>
      </w:tr>
      <w:bookmarkEnd w:id="6"/>
      <w:tr w:rsidR="00D51466" w:rsidRPr="001A34E8" w14:paraId="0F13CB20" w14:textId="2BBB41EE" w:rsidTr="00D51466">
        <w:tc>
          <w:tcPr>
            <w:tcW w:w="2238" w:type="pct"/>
            <w:shd w:val="clear" w:color="auto" w:fill="auto"/>
          </w:tcPr>
          <w:p w14:paraId="1475FEE2" w14:textId="77777777" w:rsidR="00D51466" w:rsidRPr="001A34E8" w:rsidRDefault="00D51466" w:rsidP="00CD4ADC">
            <w:pPr>
              <w:rPr>
                <w:sz w:val="24"/>
                <w:szCs w:val="24"/>
              </w:rPr>
            </w:pPr>
            <w:r w:rsidRPr="001A34E8">
              <w:rPr>
                <w:sz w:val="24"/>
                <w:szCs w:val="24"/>
              </w:rPr>
              <w:t>Doris Women Refuge Inc</w:t>
            </w:r>
          </w:p>
        </w:tc>
        <w:tc>
          <w:tcPr>
            <w:tcW w:w="2762" w:type="pct"/>
            <w:shd w:val="clear" w:color="auto" w:fill="auto"/>
          </w:tcPr>
          <w:p w14:paraId="16E2F63B" w14:textId="10B79F64" w:rsidR="00D51466" w:rsidRPr="001A34E8" w:rsidRDefault="00D51466" w:rsidP="00144A79">
            <w:pPr>
              <w:rPr>
                <w:sz w:val="24"/>
                <w:szCs w:val="24"/>
              </w:rPr>
            </w:pPr>
            <w:r w:rsidRPr="001A34E8">
              <w:rPr>
                <w:sz w:val="24"/>
                <w:szCs w:val="24"/>
              </w:rPr>
              <w:t xml:space="preserve">Accommodation and support services primarily for women with/without children </w:t>
            </w:r>
          </w:p>
        </w:tc>
      </w:tr>
      <w:tr w:rsidR="00D51466" w:rsidRPr="001A34E8" w14:paraId="5131C356" w14:textId="3E571211" w:rsidTr="00D51466">
        <w:tc>
          <w:tcPr>
            <w:tcW w:w="2238" w:type="pct"/>
            <w:shd w:val="clear" w:color="auto" w:fill="auto"/>
          </w:tcPr>
          <w:p w14:paraId="05645329" w14:textId="77777777" w:rsidR="00D51466" w:rsidRPr="001A34E8" w:rsidRDefault="00D51466" w:rsidP="00CD4ADC">
            <w:pPr>
              <w:rPr>
                <w:sz w:val="24"/>
                <w:szCs w:val="24"/>
              </w:rPr>
            </w:pPr>
            <w:r w:rsidRPr="001A34E8">
              <w:rPr>
                <w:sz w:val="24"/>
                <w:szCs w:val="24"/>
              </w:rPr>
              <w:t>Karinya House and Home</w:t>
            </w:r>
          </w:p>
        </w:tc>
        <w:tc>
          <w:tcPr>
            <w:tcW w:w="2762" w:type="pct"/>
            <w:shd w:val="clear" w:color="auto" w:fill="auto"/>
          </w:tcPr>
          <w:p w14:paraId="0649C799" w14:textId="18DCB120" w:rsidR="00D51466" w:rsidRPr="001A34E8" w:rsidRDefault="00D51466" w:rsidP="00144A79">
            <w:pPr>
              <w:rPr>
                <w:sz w:val="24"/>
                <w:szCs w:val="24"/>
              </w:rPr>
            </w:pPr>
            <w:r w:rsidRPr="001A34E8">
              <w:rPr>
                <w:sz w:val="24"/>
                <w:szCs w:val="24"/>
              </w:rPr>
              <w:t xml:space="preserve">Accommodation and support services primarily for women with/without children </w:t>
            </w:r>
          </w:p>
        </w:tc>
      </w:tr>
      <w:tr w:rsidR="00D51466" w:rsidRPr="001A34E8" w14:paraId="14CBA82B" w14:textId="5F9EF013" w:rsidTr="00D51466">
        <w:tc>
          <w:tcPr>
            <w:tcW w:w="2238" w:type="pct"/>
            <w:shd w:val="clear" w:color="auto" w:fill="auto"/>
          </w:tcPr>
          <w:p w14:paraId="7D1F901B" w14:textId="77777777" w:rsidR="00D51466" w:rsidRPr="001A34E8" w:rsidRDefault="00D51466" w:rsidP="00CD4ADC">
            <w:pPr>
              <w:rPr>
                <w:sz w:val="24"/>
                <w:szCs w:val="24"/>
              </w:rPr>
            </w:pPr>
            <w:bookmarkStart w:id="7" w:name="_Hlk115273972"/>
            <w:r w:rsidRPr="001A34E8">
              <w:rPr>
                <w:sz w:val="24"/>
                <w:szCs w:val="24"/>
              </w:rPr>
              <w:t>Argyle Community Housing</w:t>
            </w:r>
          </w:p>
        </w:tc>
        <w:tc>
          <w:tcPr>
            <w:tcW w:w="2762" w:type="pct"/>
            <w:shd w:val="clear" w:color="auto" w:fill="auto"/>
          </w:tcPr>
          <w:p w14:paraId="42779D7B" w14:textId="7D0B7A05" w:rsidR="00D51466" w:rsidRPr="001A34E8" w:rsidRDefault="00D51466" w:rsidP="00144A79">
            <w:pPr>
              <w:rPr>
                <w:sz w:val="24"/>
                <w:szCs w:val="24"/>
              </w:rPr>
            </w:pPr>
            <w:r w:rsidRPr="001A34E8">
              <w:rPr>
                <w:sz w:val="24"/>
                <w:szCs w:val="24"/>
              </w:rPr>
              <w:t xml:space="preserve">Ainslie Lodge- for </w:t>
            </w:r>
            <w:r>
              <w:rPr>
                <w:sz w:val="24"/>
                <w:szCs w:val="24"/>
              </w:rPr>
              <w:t>M</w:t>
            </w:r>
            <w:r w:rsidRPr="001A34E8">
              <w:rPr>
                <w:sz w:val="24"/>
                <w:szCs w:val="24"/>
              </w:rPr>
              <w:t>en</w:t>
            </w:r>
          </w:p>
        </w:tc>
      </w:tr>
      <w:bookmarkEnd w:id="7"/>
      <w:tr w:rsidR="00D51466" w:rsidRPr="001A34E8" w14:paraId="4EFBD05E" w14:textId="41824AD5" w:rsidTr="00D51466">
        <w:trPr>
          <w:trHeight w:val="274"/>
        </w:trPr>
        <w:tc>
          <w:tcPr>
            <w:tcW w:w="2238" w:type="pct"/>
            <w:shd w:val="clear" w:color="auto" w:fill="auto"/>
          </w:tcPr>
          <w:p w14:paraId="63FF296C" w14:textId="77777777" w:rsidR="00D51466" w:rsidRPr="001A34E8" w:rsidRDefault="00D51466" w:rsidP="00CD4ADC">
            <w:pPr>
              <w:rPr>
                <w:sz w:val="24"/>
                <w:szCs w:val="24"/>
              </w:rPr>
            </w:pPr>
            <w:r w:rsidRPr="001A34E8">
              <w:rPr>
                <w:sz w:val="24"/>
                <w:szCs w:val="24"/>
              </w:rPr>
              <w:t>CatholicCare</w:t>
            </w:r>
          </w:p>
        </w:tc>
        <w:tc>
          <w:tcPr>
            <w:tcW w:w="2762" w:type="pct"/>
            <w:shd w:val="clear" w:color="auto" w:fill="auto"/>
          </w:tcPr>
          <w:p w14:paraId="44A725DC" w14:textId="5F56F37C" w:rsidR="00D51466" w:rsidRPr="001A34E8" w:rsidRDefault="00D51466" w:rsidP="00144A79">
            <w:pPr>
              <w:rPr>
                <w:sz w:val="24"/>
                <w:szCs w:val="24"/>
              </w:rPr>
            </w:pPr>
            <w:r w:rsidRPr="001A34E8">
              <w:rPr>
                <w:sz w:val="24"/>
                <w:szCs w:val="24"/>
              </w:rPr>
              <w:t>MacKillop House – for women with/without children</w:t>
            </w:r>
          </w:p>
        </w:tc>
      </w:tr>
      <w:tr w:rsidR="00D51466" w:rsidRPr="001A34E8" w14:paraId="190FDBDA" w14:textId="72B0819A" w:rsidTr="005D60C4">
        <w:trPr>
          <w:trHeight w:val="750"/>
        </w:trPr>
        <w:tc>
          <w:tcPr>
            <w:tcW w:w="2238" w:type="pct"/>
            <w:shd w:val="clear" w:color="auto" w:fill="auto"/>
          </w:tcPr>
          <w:p w14:paraId="2D757593" w14:textId="77777777" w:rsidR="00D51466" w:rsidRPr="001A34E8" w:rsidRDefault="00D51466" w:rsidP="00CD4ADC">
            <w:pPr>
              <w:rPr>
                <w:sz w:val="24"/>
                <w:szCs w:val="24"/>
                <w:highlight w:val="yellow"/>
              </w:rPr>
            </w:pPr>
            <w:bookmarkStart w:id="8" w:name="_Hlk115423176"/>
            <w:r w:rsidRPr="001A34E8">
              <w:rPr>
                <w:sz w:val="24"/>
                <w:szCs w:val="24"/>
              </w:rPr>
              <w:t>Toora Women Inc</w:t>
            </w:r>
            <w:r w:rsidRPr="001A34E8" w:rsidDel="0043117A">
              <w:rPr>
                <w:b/>
                <w:bCs/>
                <w:sz w:val="24"/>
                <w:szCs w:val="24"/>
              </w:rPr>
              <w:t xml:space="preserve"> </w:t>
            </w:r>
          </w:p>
        </w:tc>
        <w:tc>
          <w:tcPr>
            <w:tcW w:w="2762" w:type="pct"/>
            <w:shd w:val="clear" w:color="auto" w:fill="auto"/>
          </w:tcPr>
          <w:p w14:paraId="551B54B7" w14:textId="25C7BF7B" w:rsidR="00D51466" w:rsidRPr="001A34E8" w:rsidRDefault="00D51466" w:rsidP="00144A79">
            <w:pPr>
              <w:rPr>
                <w:sz w:val="24"/>
                <w:szCs w:val="24"/>
                <w:highlight w:val="yellow"/>
              </w:rPr>
            </w:pPr>
            <w:r w:rsidRPr="001A34E8">
              <w:rPr>
                <w:sz w:val="24"/>
                <w:szCs w:val="24"/>
              </w:rPr>
              <w:t>Coming Home</w:t>
            </w:r>
          </w:p>
        </w:tc>
      </w:tr>
      <w:bookmarkEnd w:id="8"/>
      <w:tr w:rsidR="00D51466" w:rsidRPr="001A34E8" w14:paraId="33D8C880" w14:textId="6D4E4CAB" w:rsidTr="00D51466">
        <w:tc>
          <w:tcPr>
            <w:tcW w:w="2238" w:type="pct"/>
            <w:shd w:val="clear" w:color="auto" w:fill="auto"/>
          </w:tcPr>
          <w:p w14:paraId="1071F4A5" w14:textId="77777777" w:rsidR="00D51466" w:rsidRPr="001A34E8" w:rsidDel="0043117A" w:rsidRDefault="00D51466" w:rsidP="00CD4ADC">
            <w:pPr>
              <w:rPr>
                <w:b/>
                <w:bCs/>
                <w:sz w:val="24"/>
                <w:szCs w:val="24"/>
              </w:rPr>
            </w:pPr>
            <w:r w:rsidRPr="001A34E8">
              <w:rPr>
                <w:sz w:val="24"/>
                <w:szCs w:val="24"/>
              </w:rPr>
              <w:t>Everyman Australia</w:t>
            </w:r>
            <w:r w:rsidRPr="001A34E8" w:rsidDel="0043117A">
              <w:rPr>
                <w:b/>
                <w:bCs/>
                <w:sz w:val="24"/>
                <w:szCs w:val="24"/>
              </w:rPr>
              <w:t xml:space="preserve"> </w:t>
            </w:r>
          </w:p>
        </w:tc>
        <w:tc>
          <w:tcPr>
            <w:tcW w:w="2762" w:type="pct"/>
            <w:shd w:val="clear" w:color="auto" w:fill="auto"/>
          </w:tcPr>
          <w:p w14:paraId="7EC30520" w14:textId="77777777" w:rsidR="00D51466" w:rsidRPr="001A34E8" w:rsidRDefault="00D51466" w:rsidP="00CD4ADC">
            <w:pPr>
              <w:rPr>
                <w:sz w:val="24"/>
                <w:szCs w:val="24"/>
              </w:rPr>
            </w:pPr>
            <w:r w:rsidRPr="001A34E8">
              <w:rPr>
                <w:sz w:val="24"/>
                <w:szCs w:val="24"/>
              </w:rPr>
              <w:t>Managed Transition Program</w:t>
            </w:r>
            <w:r w:rsidRPr="001A34E8" w:rsidDel="0043117A">
              <w:rPr>
                <w:sz w:val="24"/>
                <w:szCs w:val="24"/>
              </w:rPr>
              <w:t xml:space="preserve"> </w:t>
            </w:r>
          </w:p>
        </w:tc>
      </w:tr>
      <w:tr w:rsidR="00D51466" w:rsidRPr="001A34E8" w14:paraId="33C89313" w14:textId="082C5144" w:rsidTr="00D51466">
        <w:tc>
          <w:tcPr>
            <w:tcW w:w="2238" w:type="pct"/>
            <w:shd w:val="clear" w:color="auto" w:fill="auto"/>
          </w:tcPr>
          <w:p w14:paraId="1E909A63" w14:textId="77777777" w:rsidR="00D51466" w:rsidRPr="001A34E8" w:rsidRDefault="00D51466" w:rsidP="00CD4ADC">
            <w:pPr>
              <w:rPr>
                <w:b/>
                <w:bCs/>
                <w:sz w:val="24"/>
                <w:szCs w:val="24"/>
              </w:rPr>
            </w:pPr>
            <w:r w:rsidRPr="001A34E8">
              <w:rPr>
                <w:sz w:val="24"/>
                <w:szCs w:val="24"/>
              </w:rPr>
              <w:t>COTA</w:t>
            </w:r>
            <w:r w:rsidRPr="001A34E8" w:rsidDel="0043117A">
              <w:rPr>
                <w:sz w:val="24"/>
                <w:szCs w:val="24"/>
              </w:rPr>
              <w:t xml:space="preserve"> </w:t>
            </w:r>
          </w:p>
        </w:tc>
        <w:tc>
          <w:tcPr>
            <w:tcW w:w="2762" w:type="pct"/>
            <w:shd w:val="clear" w:color="auto" w:fill="auto"/>
          </w:tcPr>
          <w:p w14:paraId="2C7F912C" w14:textId="77777777" w:rsidR="00D51466" w:rsidRPr="001A34E8" w:rsidRDefault="00D51466" w:rsidP="00CD4ADC">
            <w:pPr>
              <w:rPr>
                <w:sz w:val="24"/>
                <w:szCs w:val="24"/>
              </w:rPr>
            </w:pPr>
            <w:r w:rsidRPr="001A34E8">
              <w:rPr>
                <w:sz w:val="24"/>
                <w:szCs w:val="24"/>
              </w:rPr>
              <w:t>Specialist support for older people to access housing options</w:t>
            </w:r>
            <w:r w:rsidRPr="001A34E8" w:rsidDel="0043117A">
              <w:rPr>
                <w:sz w:val="24"/>
                <w:szCs w:val="24"/>
              </w:rPr>
              <w:t xml:space="preserve"> </w:t>
            </w:r>
          </w:p>
        </w:tc>
      </w:tr>
      <w:tr w:rsidR="00D51466" w:rsidRPr="001A34E8" w14:paraId="61FB1891" w14:textId="69A165B5" w:rsidTr="00D51466">
        <w:tc>
          <w:tcPr>
            <w:tcW w:w="2238" w:type="pct"/>
            <w:shd w:val="clear" w:color="auto" w:fill="auto"/>
          </w:tcPr>
          <w:p w14:paraId="30BF1060" w14:textId="77777777" w:rsidR="00D51466" w:rsidRPr="001A34E8" w:rsidRDefault="00D51466" w:rsidP="00CD4ADC">
            <w:pPr>
              <w:rPr>
                <w:sz w:val="24"/>
                <w:szCs w:val="24"/>
              </w:rPr>
            </w:pPr>
            <w:r w:rsidRPr="001A34E8">
              <w:rPr>
                <w:sz w:val="24"/>
                <w:szCs w:val="24"/>
              </w:rPr>
              <w:lastRenderedPageBreak/>
              <w:t xml:space="preserve">Woden Community Service </w:t>
            </w:r>
          </w:p>
        </w:tc>
        <w:tc>
          <w:tcPr>
            <w:tcW w:w="2762" w:type="pct"/>
            <w:shd w:val="clear" w:color="auto" w:fill="auto"/>
          </w:tcPr>
          <w:p w14:paraId="2CE40FDD" w14:textId="77777777" w:rsidR="00D51466" w:rsidRPr="001A34E8" w:rsidRDefault="00D51466" w:rsidP="00CD4ADC">
            <w:pPr>
              <w:rPr>
                <w:sz w:val="24"/>
                <w:szCs w:val="24"/>
              </w:rPr>
            </w:pPr>
            <w:r w:rsidRPr="001A34E8">
              <w:rPr>
                <w:sz w:val="24"/>
                <w:szCs w:val="24"/>
              </w:rPr>
              <w:t>The Big Issue</w:t>
            </w:r>
            <w:r w:rsidRPr="001A34E8" w:rsidDel="0043117A">
              <w:rPr>
                <w:sz w:val="24"/>
                <w:szCs w:val="24"/>
              </w:rPr>
              <w:t xml:space="preserve"> </w:t>
            </w:r>
          </w:p>
        </w:tc>
      </w:tr>
      <w:tr w:rsidR="00D51466" w:rsidRPr="001A34E8" w14:paraId="4DA798D1" w14:textId="525BF004" w:rsidTr="00D51466">
        <w:trPr>
          <w:trHeight w:val="86"/>
        </w:trPr>
        <w:tc>
          <w:tcPr>
            <w:tcW w:w="2238" w:type="pct"/>
            <w:shd w:val="clear" w:color="auto" w:fill="auto"/>
          </w:tcPr>
          <w:p w14:paraId="00383689" w14:textId="77777777" w:rsidR="00D51466" w:rsidRPr="001A34E8" w:rsidRDefault="00D51466" w:rsidP="00CD4ADC">
            <w:pPr>
              <w:rPr>
                <w:sz w:val="24"/>
                <w:szCs w:val="24"/>
              </w:rPr>
            </w:pPr>
            <w:r w:rsidRPr="001A34E8">
              <w:rPr>
                <w:sz w:val="24"/>
                <w:szCs w:val="24"/>
              </w:rPr>
              <w:t>UnitingCare Canberra</w:t>
            </w:r>
            <w:r w:rsidRPr="001A34E8" w:rsidDel="0043117A">
              <w:rPr>
                <w:sz w:val="24"/>
                <w:szCs w:val="24"/>
              </w:rPr>
              <w:t xml:space="preserve"> </w:t>
            </w:r>
          </w:p>
        </w:tc>
        <w:tc>
          <w:tcPr>
            <w:tcW w:w="2762" w:type="pct"/>
            <w:shd w:val="clear" w:color="auto" w:fill="auto"/>
          </w:tcPr>
          <w:p w14:paraId="0790DF51" w14:textId="77777777" w:rsidR="00D51466" w:rsidRPr="001A34E8" w:rsidRDefault="00D51466" w:rsidP="00CD4ADC">
            <w:pPr>
              <w:rPr>
                <w:sz w:val="24"/>
                <w:szCs w:val="24"/>
              </w:rPr>
            </w:pPr>
            <w:r w:rsidRPr="001A34E8">
              <w:rPr>
                <w:sz w:val="24"/>
                <w:szCs w:val="24"/>
              </w:rPr>
              <w:t>Early Morning Centre</w:t>
            </w:r>
            <w:r w:rsidRPr="001A34E8" w:rsidDel="0043117A">
              <w:rPr>
                <w:sz w:val="24"/>
                <w:szCs w:val="24"/>
              </w:rPr>
              <w:t xml:space="preserve"> </w:t>
            </w:r>
          </w:p>
        </w:tc>
      </w:tr>
      <w:tr w:rsidR="00D51466" w:rsidRPr="001A34E8" w14:paraId="3BB30C2F" w14:textId="08F07FF9" w:rsidTr="00D51466">
        <w:tc>
          <w:tcPr>
            <w:tcW w:w="2238" w:type="pct"/>
            <w:shd w:val="clear" w:color="auto" w:fill="auto"/>
          </w:tcPr>
          <w:p w14:paraId="319E73A7" w14:textId="77777777" w:rsidR="00D51466" w:rsidRPr="001A34E8" w:rsidRDefault="00D51466" w:rsidP="00CD4ADC">
            <w:pPr>
              <w:rPr>
                <w:sz w:val="24"/>
                <w:szCs w:val="24"/>
              </w:rPr>
            </w:pPr>
            <w:r w:rsidRPr="001A34E8">
              <w:rPr>
                <w:sz w:val="24"/>
                <w:szCs w:val="24"/>
              </w:rPr>
              <w:t>Barnardos Australia</w:t>
            </w:r>
          </w:p>
        </w:tc>
        <w:tc>
          <w:tcPr>
            <w:tcW w:w="2762" w:type="pct"/>
            <w:shd w:val="clear" w:color="auto" w:fill="auto"/>
          </w:tcPr>
          <w:p w14:paraId="26C78C76" w14:textId="77777777" w:rsidR="00D51466" w:rsidRPr="001A34E8" w:rsidRDefault="00D51466" w:rsidP="00CD4ADC">
            <w:pPr>
              <w:rPr>
                <w:sz w:val="24"/>
                <w:szCs w:val="24"/>
              </w:rPr>
            </w:pPr>
            <w:r w:rsidRPr="001A34E8">
              <w:rPr>
                <w:sz w:val="24"/>
                <w:szCs w:val="24"/>
              </w:rPr>
              <w:t xml:space="preserve">Our Place </w:t>
            </w:r>
          </w:p>
        </w:tc>
      </w:tr>
      <w:tr w:rsidR="00D51466" w:rsidRPr="001A34E8" w14:paraId="334FC390" w14:textId="3CA96D65" w:rsidTr="00D51466">
        <w:trPr>
          <w:trHeight w:val="518"/>
        </w:trPr>
        <w:tc>
          <w:tcPr>
            <w:tcW w:w="2238" w:type="pct"/>
            <w:shd w:val="clear" w:color="auto" w:fill="auto"/>
          </w:tcPr>
          <w:p w14:paraId="644EE1F0" w14:textId="377CE51C" w:rsidR="00D51466" w:rsidRPr="001A34E8" w:rsidRDefault="00D51466" w:rsidP="00144A79">
            <w:pPr>
              <w:rPr>
                <w:sz w:val="24"/>
                <w:szCs w:val="24"/>
              </w:rPr>
            </w:pPr>
            <w:r w:rsidRPr="001A34E8">
              <w:rPr>
                <w:sz w:val="24"/>
                <w:szCs w:val="24"/>
              </w:rPr>
              <w:t>Gugan Gulwan</w:t>
            </w:r>
          </w:p>
        </w:tc>
        <w:tc>
          <w:tcPr>
            <w:tcW w:w="2762" w:type="pct"/>
            <w:shd w:val="clear" w:color="auto" w:fill="auto"/>
          </w:tcPr>
          <w:p w14:paraId="413EA39B" w14:textId="77777777" w:rsidR="00D51466" w:rsidRPr="001A34E8" w:rsidRDefault="00D51466" w:rsidP="00CD4ADC">
            <w:pPr>
              <w:rPr>
                <w:sz w:val="24"/>
                <w:szCs w:val="24"/>
              </w:rPr>
            </w:pPr>
            <w:r w:rsidRPr="001A34E8">
              <w:rPr>
                <w:sz w:val="24"/>
                <w:szCs w:val="24"/>
              </w:rPr>
              <w:t>Support Services for Aboriginal and Torres Strait Islander People</w:t>
            </w:r>
          </w:p>
        </w:tc>
      </w:tr>
    </w:tbl>
    <w:p w14:paraId="137AB7D7" w14:textId="77777777" w:rsidR="00DC73A9" w:rsidRDefault="00DC73A9">
      <w:pPr>
        <w:spacing w:before="0" w:after="160" w:line="259" w:lineRule="auto"/>
        <w:rPr>
          <w:sz w:val="24"/>
          <w:szCs w:val="24"/>
        </w:rPr>
      </w:pPr>
      <w:r>
        <w:rPr>
          <w:sz w:val="24"/>
          <w:szCs w:val="24"/>
        </w:rPr>
        <w:br w:type="page"/>
      </w:r>
    </w:p>
    <w:tbl>
      <w:tblPr>
        <w:tblStyle w:val="TableGrid"/>
        <w:tblW w:w="5000" w:type="pct"/>
        <w:tblLook w:val="04A0" w:firstRow="1" w:lastRow="0" w:firstColumn="1" w:lastColumn="0" w:noHBand="0" w:noVBand="1"/>
      </w:tblPr>
      <w:tblGrid>
        <w:gridCol w:w="4498"/>
        <w:gridCol w:w="4752"/>
        <w:gridCol w:w="4744"/>
      </w:tblGrid>
      <w:tr w:rsidR="006B5DE7" w14:paraId="5A1E90E5" w14:textId="77777777" w:rsidTr="006B5DE7">
        <w:trPr>
          <w:trHeight w:val="438"/>
        </w:trPr>
        <w:tc>
          <w:tcPr>
            <w:tcW w:w="5000" w:type="pct"/>
            <w:gridSpan w:val="3"/>
            <w:shd w:val="clear" w:color="auto" w:fill="auto"/>
          </w:tcPr>
          <w:p w14:paraId="5A85CD37" w14:textId="3F7C90B8" w:rsidR="006B5DE7" w:rsidRPr="00E375ED" w:rsidRDefault="006B5DE7" w:rsidP="00CD4ADC">
            <w:pPr>
              <w:jc w:val="center"/>
              <w:rPr>
                <w:b/>
                <w:bCs/>
                <w:color w:val="7030A0"/>
                <w:sz w:val="24"/>
                <w:szCs w:val="24"/>
              </w:rPr>
            </w:pPr>
            <w:r>
              <w:rPr>
                <w:b/>
                <w:bCs/>
                <w:color w:val="7030A0"/>
                <w:sz w:val="24"/>
                <w:szCs w:val="24"/>
              </w:rPr>
              <w:lastRenderedPageBreak/>
              <w:t>SELECT GRANTS</w:t>
            </w:r>
          </w:p>
        </w:tc>
      </w:tr>
      <w:tr w:rsidR="006B5DE7" w14:paraId="42CBA8A8" w14:textId="6E357D72" w:rsidTr="006B5DE7">
        <w:trPr>
          <w:trHeight w:val="438"/>
        </w:trPr>
        <w:tc>
          <w:tcPr>
            <w:tcW w:w="1607" w:type="pct"/>
            <w:shd w:val="clear" w:color="auto" w:fill="auto"/>
          </w:tcPr>
          <w:p w14:paraId="5D526F44" w14:textId="77777777" w:rsidR="006B5DE7" w:rsidRPr="00E375ED" w:rsidRDefault="006B5DE7" w:rsidP="00CD4ADC">
            <w:pPr>
              <w:jc w:val="center"/>
              <w:rPr>
                <w:b/>
                <w:bCs/>
                <w:color w:val="7030A0"/>
                <w:sz w:val="24"/>
                <w:szCs w:val="24"/>
              </w:rPr>
            </w:pPr>
            <w:bookmarkStart w:id="9" w:name="_Hlk129091031"/>
            <w:r w:rsidRPr="00E375ED">
              <w:rPr>
                <w:b/>
                <w:bCs/>
                <w:color w:val="7030A0"/>
                <w:sz w:val="24"/>
                <w:szCs w:val="24"/>
              </w:rPr>
              <w:t>Impacted</w:t>
            </w:r>
          </w:p>
        </w:tc>
        <w:tc>
          <w:tcPr>
            <w:tcW w:w="1698" w:type="pct"/>
            <w:shd w:val="clear" w:color="auto" w:fill="auto"/>
          </w:tcPr>
          <w:p w14:paraId="3E835FA4" w14:textId="77777777" w:rsidR="006B5DE7" w:rsidRPr="00E375ED" w:rsidRDefault="006B5DE7" w:rsidP="00CD4ADC">
            <w:pPr>
              <w:jc w:val="center"/>
              <w:rPr>
                <w:b/>
                <w:bCs/>
                <w:color w:val="7030A0"/>
                <w:sz w:val="24"/>
                <w:szCs w:val="24"/>
              </w:rPr>
            </w:pPr>
            <w:r w:rsidRPr="00E375ED">
              <w:rPr>
                <w:b/>
                <w:bCs/>
                <w:color w:val="7030A0"/>
                <w:sz w:val="24"/>
                <w:szCs w:val="24"/>
              </w:rPr>
              <w:t>New Service</w:t>
            </w:r>
          </w:p>
        </w:tc>
        <w:tc>
          <w:tcPr>
            <w:tcW w:w="1695" w:type="pct"/>
          </w:tcPr>
          <w:p w14:paraId="151A6777" w14:textId="325B9A7A" w:rsidR="006B5DE7" w:rsidRPr="00E375ED" w:rsidRDefault="006B5DE7" w:rsidP="00CD4ADC">
            <w:pPr>
              <w:jc w:val="center"/>
              <w:rPr>
                <w:b/>
                <w:bCs/>
                <w:color w:val="7030A0"/>
                <w:sz w:val="24"/>
                <w:szCs w:val="24"/>
              </w:rPr>
            </w:pPr>
            <w:r w:rsidRPr="00E375ED">
              <w:rPr>
                <w:b/>
                <w:bCs/>
                <w:color w:val="7030A0"/>
                <w:sz w:val="24"/>
                <w:szCs w:val="24"/>
              </w:rPr>
              <w:t>Update</w:t>
            </w:r>
          </w:p>
        </w:tc>
      </w:tr>
      <w:tr w:rsidR="006B5DE7" w14:paraId="3C38B255" w14:textId="31000D2F" w:rsidTr="006B5DE7">
        <w:tc>
          <w:tcPr>
            <w:tcW w:w="1607" w:type="pct"/>
            <w:shd w:val="clear" w:color="auto" w:fill="auto"/>
          </w:tcPr>
          <w:p w14:paraId="4F0C750A" w14:textId="77777777" w:rsidR="006B5DE7" w:rsidRPr="001A6BD4" w:rsidRDefault="006B5DE7" w:rsidP="00DC73A9">
            <w:pPr>
              <w:pStyle w:val="ListParagraph"/>
              <w:numPr>
                <w:ilvl w:val="0"/>
                <w:numId w:val="38"/>
              </w:numPr>
              <w:spacing w:before="0" w:after="0" w:line="240" w:lineRule="auto"/>
              <w:ind w:left="375" w:hanging="283"/>
            </w:pPr>
            <w:r w:rsidRPr="001A6BD4">
              <w:t>Toora Women Inc</w:t>
            </w:r>
          </w:p>
          <w:p w14:paraId="2071B196" w14:textId="77777777" w:rsidR="006B5DE7" w:rsidRPr="001A6BD4" w:rsidRDefault="006B5DE7" w:rsidP="00DC73A9">
            <w:pPr>
              <w:pStyle w:val="ListParagraph"/>
              <w:numPr>
                <w:ilvl w:val="0"/>
                <w:numId w:val="38"/>
              </w:numPr>
              <w:spacing w:before="0" w:after="0" w:line="240" w:lineRule="auto"/>
              <w:ind w:left="375" w:hanging="283"/>
            </w:pPr>
            <w:r w:rsidRPr="001A6BD4">
              <w:t>Everyman Australia</w:t>
            </w:r>
          </w:p>
          <w:p w14:paraId="44B687EE" w14:textId="77777777" w:rsidR="006B5DE7" w:rsidRPr="001A6BD4" w:rsidRDefault="006B5DE7" w:rsidP="00CD4ADC">
            <w:pPr>
              <w:pStyle w:val="ListParagraph"/>
            </w:pPr>
          </w:p>
          <w:p w14:paraId="29899765" w14:textId="77777777" w:rsidR="006B5DE7" w:rsidRPr="001A6BD4" w:rsidRDefault="006B5DE7" w:rsidP="00CD4ADC">
            <w:pPr>
              <w:ind w:left="92"/>
              <w:rPr>
                <w:highlight w:val="yellow"/>
              </w:rPr>
            </w:pPr>
          </w:p>
        </w:tc>
        <w:tc>
          <w:tcPr>
            <w:tcW w:w="1698" w:type="pct"/>
            <w:shd w:val="clear" w:color="auto" w:fill="auto"/>
          </w:tcPr>
          <w:p w14:paraId="3A7A0601" w14:textId="2E828A35" w:rsidR="006B5DE7" w:rsidRPr="00674149" w:rsidRDefault="006B5DE7" w:rsidP="00E375ED">
            <w:r w:rsidRPr="00674149">
              <w:t>Tenancy/property management and/or support services for Aboriginal and/or Torres Strait Islanders</w:t>
            </w:r>
          </w:p>
        </w:tc>
        <w:tc>
          <w:tcPr>
            <w:tcW w:w="1695" w:type="pct"/>
          </w:tcPr>
          <w:p w14:paraId="54212689" w14:textId="77777777" w:rsidR="006B5DE7" w:rsidRDefault="006B5DE7" w:rsidP="00CD4ADC">
            <w:r>
              <w:t>Sector Sounding Paper issued. Organisations have provided feedback and advised of interest in submitting a grant. Feedback under consideration.</w:t>
            </w:r>
          </w:p>
          <w:p w14:paraId="6A068C74" w14:textId="110263F8" w:rsidR="00D70B0E" w:rsidRPr="00674149" w:rsidRDefault="00D70B0E" w:rsidP="00CD4ADC">
            <w:r>
              <w:t>Anticipated tender release early in 2024.</w:t>
            </w:r>
          </w:p>
        </w:tc>
      </w:tr>
      <w:tr w:rsidR="006B5DE7" w14:paraId="09205636" w14:textId="184729D1" w:rsidTr="006B5DE7">
        <w:tc>
          <w:tcPr>
            <w:tcW w:w="1607" w:type="pct"/>
            <w:shd w:val="clear" w:color="auto" w:fill="auto"/>
          </w:tcPr>
          <w:p w14:paraId="786C308E" w14:textId="77777777" w:rsidR="006B5DE7" w:rsidRDefault="006B5DE7" w:rsidP="00DC73A9">
            <w:pPr>
              <w:pStyle w:val="ListParagraph"/>
              <w:numPr>
                <w:ilvl w:val="0"/>
                <w:numId w:val="34"/>
              </w:numPr>
              <w:spacing w:before="0" w:after="0" w:line="240" w:lineRule="auto"/>
              <w:ind w:left="384" w:hanging="283"/>
            </w:pPr>
            <w:proofErr w:type="spellStart"/>
            <w:r>
              <w:t>Barnardos</w:t>
            </w:r>
            <w:proofErr w:type="spellEnd"/>
            <w:r>
              <w:t xml:space="preserve"> Australia</w:t>
            </w:r>
          </w:p>
          <w:p w14:paraId="4814E2F1" w14:textId="40172EBB" w:rsidR="006B5DE7" w:rsidRDefault="006B5DE7" w:rsidP="00DC73A9">
            <w:pPr>
              <w:pStyle w:val="ListParagraph"/>
              <w:numPr>
                <w:ilvl w:val="0"/>
                <w:numId w:val="34"/>
              </w:numPr>
              <w:spacing w:before="0" w:after="0" w:line="240" w:lineRule="auto"/>
              <w:ind w:left="384" w:hanging="283"/>
            </w:pPr>
            <w:r>
              <w:t>CatholicCare</w:t>
            </w:r>
          </w:p>
          <w:p w14:paraId="2019A211" w14:textId="77777777" w:rsidR="006B5DE7" w:rsidRDefault="006B5DE7" w:rsidP="002B418F">
            <w:pPr>
              <w:pStyle w:val="ListParagraph"/>
              <w:numPr>
                <w:ilvl w:val="0"/>
                <w:numId w:val="34"/>
              </w:numPr>
              <w:spacing w:before="0" w:after="0" w:line="240" w:lineRule="auto"/>
              <w:ind w:left="384" w:hanging="283"/>
            </w:pPr>
            <w:r>
              <w:t>Ted Noffs</w:t>
            </w:r>
          </w:p>
          <w:p w14:paraId="62955213" w14:textId="47C9B460" w:rsidR="006B5DE7" w:rsidRDefault="006B5DE7" w:rsidP="002B418F">
            <w:pPr>
              <w:spacing w:before="0" w:after="0" w:line="240" w:lineRule="auto"/>
              <w:ind w:left="101"/>
            </w:pPr>
          </w:p>
        </w:tc>
        <w:tc>
          <w:tcPr>
            <w:tcW w:w="1698" w:type="pct"/>
            <w:shd w:val="clear" w:color="auto" w:fill="auto"/>
          </w:tcPr>
          <w:p w14:paraId="157A92D9" w14:textId="77777777" w:rsidR="006B5DE7" w:rsidRDefault="006B5DE7" w:rsidP="00CD4ADC">
            <w:r>
              <w:t>Support Services for Young People</w:t>
            </w:r>
          </w:p>
        </w:tc>
        <w:tc>
          <w:tcPr>
            <w:tcW w:w="1695" w:type="pct"/>
          </w:tcPr>
          <w:p w14:paraId="3D019E0E" w14:textId="327125CF" w:rsidR="006B5DE7" w:rsidRDefault="00D70B0E" w:rsidP="00D51466">
            <w:r>
              <w:t xml:space="preserve">New </w:t>
            </w:r>
            <w:r w:rsidR="0069245E">
              <w:t xml:space="preserve">Grants </w:t>
            </w:r>
            <w:r>
              <w:t>e</w:t>
            </w:r>
            <w:r w:rsidR="0069245E">
              <w:t>xecuted</w:t>
            </w:r>
            <w:r>
              <w:t xml:space="preserve"> with:</w:t>
            </w:r>
          </w:p>
          <w:p w14:paraId="1A157B06" w14:textId="77777777" w:rsidR="0069245E" w:rsidRDefault="0069245E" w:rsidP="0069245E">
            <w:pPr>
              <w:pStyle w:val="ListParagraph"/>
              <w:numPr>
                <w:ilvl w:val="0"/>
                <w:numId w:val="45"/>
              </w:numPr>
            </w:pPr>
            <w:proofErr w:type="spellStart"/>
            <w:r>
              <w:t>Marymead</w:t>
            </w:r>
            <w:proofErr w:type="spellEnd"/>
            <w:r>
              <w:t xml:space="preserve"> </w:t>
            </w:r>
            <w:proofErr w:type="spellStart"/>
            <w:r>
              <w:t>CatholicCare</w:t>
            </w:r>
            <w:proofErr w:type="spellEnd"/>
          </w:p>
          <w:p w14:paraId="7D1BEB13" w14:textId="6CF5239D" w:rsidR="0069245E" w:rsidRDefault="0069245E" w:rsidP="0069245E">
            <w:pPr>
              <w:pStyle w:val="ListParagraph"/>
              <w:numPr>
                <w:ilvl w:val="0"/>
                <w:numId w:val="45"/>
              </w:numPr>
            </w:pPr>
            <w:r>
              <w:t>Conflict Resolution Service</w:t>
            </w:r>
          </w:p>
        </w:tc>
      </w:tr>
      <w:tr w:rsidR="006B5DE7" w14:paraId="0165BCDB" w14:textId="331621ED" w:rsidTr="006B5DE7">
        <w:tc>
          <w:tcPr>
            <w:tcW w:w="1607" w:type="pct"/>
            <w:shd w:val="clear" w:color="auto" w:fill="auto"/>
          </w:tcPr>
          <w:p w14:paraId="66DC5356" w14:textId="77777777" w:rsidR="006B5DE7" w:rsidRDefault="006B5DE7" w:rsidP="00CD4ADC">
            <w:pPr>
              <w:pStyle w:val="ListParagraph"/>
            </w:pPr>
          </w:p>
          <w:p w14:paraId="2D75F41E" w14:textId="77777777" w:rsidR="006B5DE7" w:rsidRDefault="006B5DE7" w:rsidP="00DC73A9">
            <w:pPr>
              <w:pStyle w:val="ListParagraph"/>
              <w:numPr>
                <w:ilvl w:val="0"/>
                <w:numId w:val="34"/>
              </w:numPr>
              <w:spacing w:before="0" w:after="0" w:line="240" w:lineRule="auto"/>
              <w:ind w:left="384" w:hanging="283"/>
            </w:pPr>
            <w:r>
              <w:t xml:space="preserve">ACTCOSS </w:t>
            </w:r>
          </w:p>
          <w:p w14:paraId="1C98EBAD" w14:textId="259C9755" w:rsidR="006B5DE7" w:rsidRDefault="006B5DE7" w:rsidP="00C13268">
            <w:pPr>
              <w:pStyle w:val="ListParagraph"/>
              <w:numPr>
                <w:ilvl w:val="0"/>
                <w:numId w:val="41"/>
              </w:numPr>
            </w:pPr>
            <w:r>
              <w:t>Gulanga</w:t>
            </w:r>
          </w:p>
        </w:tc>
        <w:tc>
          <w:tcPr>
            <w:tcW w:w="1698" w:type="pct"/>
            <w:shd w:val="clear" w:color="auto" w:fill="auto"/>
          </w:tcPr>
          <w:p w14:paraId="3196065E" w14:textId="77777777" w:rsidR="006B5DE7" w:rsidRDefault="006B5DE7" w:rsidP="00CD4ADC"/>
          <w:p w14:paraId="5EA9F5DE" w14:textId="5125D3FF" w:rsidR="006B5DE7" w:rsidRDefault="006B5DE7" w:rsidP="002B418F">
            <w:r>
              <w:t>Sector Workforce Development</w:t>
            </w:r>
          </w:p>
        </w:tc>
        <w:tc>
          <w:tcPr>
            <w:tcW w:w="1695" w:type="pct"/>
          </w:tcPr>
          <w:p w14:paraId="36CFF464" w14:textId="77777777" w:rsidR="00D70B0E" w:rsidRDefault="00D70B0E" w:rsidP="009A13D2"/>
          <w:p w14:paraId="73205BD5" w14:textId="39C43271" w:rsidR="006B5DE7" w:rsidRDefault="006B5DE7" w:rsidP="009A13D2">
            <w:r>
              <w:t xml:space="preserve">Existing contract being extended while further decision making to occur. </w:t>
            </w:r>
          </w:p>
        </w:tc>
      </w:tr>
    </w:tbl>
    <w:p w14:paraId="1D858A4B" w14:textId="77777777" w:rsidR="009A13D2" w:rsidRDefault="009A13D2">
      <w:bookmarkStart w:id="10" w:name="_Hlk129091177"/>
      <w:bookmarkEnd w:id="9"/>
      <w:r>
        <w:br w:type="page"/>
      </w:r>
    </w:p>
    <w:tbl>
      <w:tblPr>
        <w:tblStyle w:val="TableGrid"/>
        <w:tblW w:w="5000" w:type="pct"/>
        <w:tblLook w:val="04A0" w:firstRow="1" w:lastRow="0" w:firstColumn="1" w:lastColumn="0" w:noHBand="0" w:noVBand="1"/>
      </w:tblPr>
      <w:tblGrid>
        <w:gridCol w:w="3359"/>
        <w:gridCol w:w="7092"/>
        <w:gridCol w:w="3543"/>
      </w:tblGrid>
      <w:tr w:rsidR="002B418F" w14:paraId="2BD89013" w14:textId="77777777" w:rsidTr="00CD4ADC">
        <w:tc>
          <w:tcPr>
            <w:tcW w:w="5000" w:type="pct"/>
            <w:gridSpan w:val="3"/>
            <w:shd w:val="clear" w:color="auto" w:fill="auto"/>
          </w:tcPr>
          <w:p w14:paraId="5D1C904C" w14:textId="764C8826" w:rsidR="007903F0" w:rsidRPr="00E375ED" w:rsidRDefault="007903F0" w:rsidP="007903F0">
            <w:pPr>
              <w:jc w:val="center"/>
              <w:rPr>
                <w:b/>
                <w:bCs/>
                <w:color w:val="7030A0"/>
                <w:sz w:val="24"/>
                <w:szCs w:val="24"/>
              </w:rPr>
            </w:pPr>
            <w:r>
              <w:rPr>
                <w:b/>
                <w:bCs/>
                <w:color w:val="7030A0"/>
                <w:sz w:val="24"/>
                <w:szCs w:val="24"/>
              </w:rPr>
              <w:lastRenderedPageBreak/>
              <w:t>Open Grants</w:t>
            </w:r>
          </w:p>
        </w:tc>
      </w:tr>
      <w:tr w:rsidR="00C13268" w14:paraId="49C1F7C6" w14:textId="77777777" w:rsidTr="00C13268">
        <w:trPr>
          <w:trHeight w:val="438"/>
        </w:trPr>
        <w:tc>
          <w:tcPr>
            <w:tcW w:w="1200" w:type="pct"/>
            <w:shd w:val="clear" w:color="auto" w:fill="auto"/>
          </w:tcPr>
          <w:p w14:paraId="2E1BE1ED" w14:textId="77777777" w:rsidR="00C13268" w:rsidRPr="00E375ED" w:rsidRDefault="00C13268" w:rsidP="00CD4ADC">
            <w:pPr>
              <w:jc w:val="center"/>
              <w:rPr>
                <w:b/>
                <w:bCs/>
                <w:color w:val="7030A0"/>
                <w:sz w:val="24"/>
                <w:szCs w:val="24"/>
              </w:rPr>
            </w:pPr>
            <w:r w:rsidRPr="00E375ED">
              <w:rPr>
                <w:b/>
                <w:bCs/>
                <w:color w:val="7030A0"/>
                <w:sz w:val="24"/>
                <w:szCs w:val="24"/>
              </w:rPr>
              <w:t>Impacted</w:t>
            </w:r>
          </w:p>
        </w:tc>
        <w:tc>
          <w:tcPr>
            <w:tcW w:w="2534" w:type="pct"/>
            <w:shd w:val="clear" w:color="auto" w:fill="auto"/>
          </w:tcPr>
          <w:p w14:paraId="24E68094" w14:textId="78853574" w:rsidR="00C13268" w:rsidRPr="00E375ED" w:rsidRDefault="00C13268" w:rsidP="00CD4ADC">
            <w:pPr>
              <w:jc w:val="center"/>
              <w:rPr>
                <w:b/>
                <w:bCs/>
                <w:color w:val="7030A0"/>
                <w:sz w:val="24"/>
                <w:szCs w:val="24"/>
              </w:rPr>
            </w:pPr>
            <w:r w:rsidRPr="00E375ED">
              <w:rPr>
                <w:b/>
                <w:bCs/>
                <w:color w:val="7030A0"/>
                <w:sz w:val="24"/>
                <w:szCs w:val="24"/>
              </w:rPr>
              <w:t>New Service</w:t>
            </w:r>
          </w:p>
        </w:tc>
        <w:tc>
          <w:tcPr>
            <w:tcW w:w="1266" w:type="pct"/>
          </w:tcPr>
          <w:p w14:paraId="39DF6211" w14:textId="77777777" w:rsidR="00C13268" w:rsidRPr="00E375ED" w:rsidRDefault="00C13268" w:rsidP="00CD4ADC">
            <w:pPr>
              <w:jc w:val="center"/>
              <w:rPr>
                <w:b/>
                <w:bCs/>
                <w:color w:val="7030A0"/>
                <w:sz w:val="24"/>
                <w:szCs w:val="24"/>
              </w:rPr>
            </w:pPr>
            <w:r w:rsidRPr="00E375ED">
              <w:rPr>
                <w:b/>
                <w:bCs/>
                <w:color w:val="7030A0"/>
                <w:sz w:val="24"/>
                <w:szCs w:val="24"/>
              </w:rPr>
              <w:t>Update</w:t>
            </w:r>
          </w:p>
        </w:tc>
      </w:tr>
      <w:tr w:rsidR="00C13268" w14:paraId="4988D9CD" w14:textId="77777777" w:rsidTr="00C13268">
        <w:tc>
          <w:tcPr>
            <w:tcW w:w="1200" w:type="pct"/>
            <w:shd w:val="clear" w:color="auto" w:fill="auto"/>
          </w:tcPr>
          <w:p w14:paraId="314B395A" w14:textId="3E5205AF" w:rsidR="00C13268" w:rsidRDefault="007903F0" w:rsidP="00CD4ADC">
            <w:pPr>
              <w:pStyle w:val="ListParagraph"/>
              <w:numPr>
                <w:ilvl w:val="0"/>
                <w:numId w:val="38"/>
              </w:numPr>
              <w:spacing w:before="0" w:after="0" w:line="240" w:lineRule="auto"/>
              <w:ind w:left="375" w:hanging="283"/>
            </w:pPr>
            <w:r>
              <w:t>MARSS Australia</w:t>
            </w:r>
          </w:p>
          <w:p w14:paraId="6BB0D068" w14:textId="0E5AD7BE" w:rsidR="007903F0" w:rsidRPr="007903F0" w:rsidRDefault="007903F0" w:rsidP="007903F0">
            <w:pPr>
              <w:pStyle w:val="ListParagraph"/>
              <w:numPr>
                <w:ilvl w:val="0"/>
                <w:numId w:val="40"/>
              </w:numPr>
              <w:ind w:left="883" w:hanging="426"/>
              <w:rPr>
                <w:sz w:val="24"/>
                <w:szCs w:val="24"/>
              </w:rPr>
            </w:pPr>
            <w:r w:rsidRPr="007903F0">
              <w:rPr>
                <w:sz w:val="24"/>
                <w:szCs w:val="24"/>
              </w:rPr>
              <w:t>HAS program</w:t>
            </w:r>
          </w:p>
          <w:p w14:paraId="4E133D3C" w14:textId="658071D2" w:rsidR="007903F0" w:rsidRDefault="007903F0" w:rsidP="007903F0">
            <w:pPr>
              <w:pStyle w:val="ListParagraph"/>
              <w:numPr>
                <w:ilvl w:val="0"/>
                <w:numId w:val="40"/>
              </w:numPr>
              <w:ind w:left="883" w:hanging="426"/>
            </w:pPr>
            <w:r w:rsidRPr="007903F0">
              <w:rPr>
                <w:sz w:val="24"/>
                <w:szCs w:val="24"/>
              </w:rPr>
              <w:t>AS</w:t>
            </w:r>
            <w:r>
              <w:t>TA Program</w:t>
            </w:r>
          </w:p>
          <w:p w14:paraId="0B9B72B0" w14:textId="77777777" w:rsidR="00775D7A" w:rsidRDefault="00775D7A" w:rsidP="00775D7A">
            <w:pPr>
              <w:ind w:left="457"/>
            </w:pPr>
          </w:p>
          <w:p w14:paraId="55B33822" w14:textId="77777777" w:rsidR="00775D7A" w:rsidRDefault="00775D7A" w:rsidP="00775D7A">
            <w:pPr>
              <w:pStyle w:val="ListParagraph"/>
              <w:numPr>
                <w:ilvl w:val="0"/>
                <w:numId w:val="38"/>
              </w:numPr>
              <w:spacing w:before="0" w:after="0" w:line="240" w:lineRule="auto"/>
              <w:ind w:left="375" w:hanging="283"/>
            </w:pPr>
            <w:r>
              <w:t>Northside Community Service</w:t>
            </w:r>
          </w:p>
          <w:p w14:paraId="2F224940" w14:textId="72CCB828" w:rsidR="00775D7A" w:rsidRDefault="00775D7A" w:rsidP="00E14790">
            <w:pPr>
              <w:pStyle w:val="ListParagraph"/>
              <w:numPr>
                <w:ilvl w:val="0"/>
                <w:numId w:val="40"/>
              </w:numPr>
              <w:ind w:left="883" w:hanging="426"/>
            </w:pPr>
            <w:r>
              <w:t xml:space="preserve">Humanitarian Program </w:t>
            </w:r>
          </w:p>
          <w:p w14:paraId="1D307F3E" w14:textId="77777777" w:rsidR="007903F0" w:rsidRDefault="007903F0" w:rsidP="007903F0">
            <w:pPr>
              <w:ind w:left="97"/>
            </w:pPr>
          </w:p>
          <w:p w14:paraId="36EE4F31" w14:textId="77777777" w:rsidR="00C13268" w:rsidRDefault="00C13268" w:rsidP="00CD4ADC">
            <w:pPr>
              <w:ind w:left="92"/>
              <w:rPr>
                <w:highlight w:val="yellow"/>
              </w:rPr>
            </w:pPr>
          </w:p>
          <w:p w14:paraId="6F1B635F" w14:textId="24CF11E5" w:rsidR="00807BDD" w:rsidRPr="001A6BD4" w:rsidRDefault="00807BDD" w:rsidP="00CD4ADC">
            <w:pPr>
              <w:ind w:left="92"/>
              <w:rPr>
                <w:highlight w:val="yellow"/>
              </w:rPr>
            </w:pPr>
          </w:p>
        </w:tc>
        <w:tc>
          <w:tcPr>
            <w:tcW w:w="2534" w:type="pct"/>
            <w:shd w:val="clear" w:color="auto" w:fill="auto"/>
          </w:tcPr>
          <w:p w14:paraId="4F479EE0" w14:textId="7F3D7786" w:rsidR="00C13268" w:rsidRPr="00674149" w:rsidRDefault="00C13268" w:rsidP="00CD4ADC">
            <w:r w:rsidRPr="00674149">
              <w:t xml:space="preserve">Tenancy/property management and/or support services for </w:t>
            </w:r>
            <w:r w:rsidR="007903F0">
              <w:t xml:space="preserve">Men and Women with uncertain immigration status. </w:t>
            </w:r>
          </w:p>
          <w:p w14:paraId="09A6D603" w14:textId="77777777" w:rsidR="00C13268" w:rsidRPr="00674149" w:rsidRDefault="00C13268" w:rsidP="00CD4ADC"/>
          <w:p w14:paraId="0689692F" w14:textId="77777777" w:rsidR="00C13268" w:rsidRPr="00674149" w:rsidRDefault="00C13268" w:rsidP="00CD4ADC"/>
        </w:tc>
        <w:tc>
          <w:tcPr>
            <w:tcW w:w="1266" w:type="pct"/>
          </w:tcPr>
          <w:p w14:paraId="6094DA55" w14:textId="198085D7" w:rsidR="00C13268" w:rsidRPr="00674149" w:rsidRDefault="0069245E" w:rsidP="0069245E">
            <w:r>
              <w:t>Grant Released. Closed 12 October 2023.</w:t>
            </w:r>
            <w:r w:rsidR="00D70B0E">
              <w:t xml:space="preserve"> Under assessment.</w:t>
            </w:r>
          </w:p>
        </w:tc>
      </w:tr>
      <w:tr w:rsidR="007903F0" w14:paraId="7B3F8BB4" w14:textId="77777777" w:rsidTr="00C13268">
        <w:tc>
          <w:tcPr>
            <w:tcW w:w="1200" w:type="pct"/>
            <w:shd w:val="clear" w:color="auto" w:fill="auto"/>
          </w:tcPr>
          <w:p w14:paraId="2248556D" w14:textId="5ADB496E" w:rsidR="007903F0" w:rsidRDefault="007903F0" w:rsidP="007903F0">
            <w:pPr>
              <w:pStyle w:val="ListParagraph"/>
              <w:numPr>
                <w:ilvl w:val="0"/>
                <w:numId w:val="34"/>
              </w:numPr>
              <w:spacing w:before="0" w:after="0" w:line="240" w:lineRule="auto"/>
              <w:ind w:left="384" w:hanging="283"/>
            </w:pPr>
            <w:r>
              <w:t>YWCA Canberra</w:t>
            </w:r>
          </w:p>
          <w:p w14:paraId="4C02050C" w14:textId="77777777" w:rsidR="007903F0" w:rsidRDefault="007903F0" w:rsidP="007903F0">
            <w:pPr>
              <w:spacing w:before="0" w:after="0" w:line="240" w:lineRule="auto"/>
              <w:ind w:left="101"/>
            </w:pPr>
          </w:p>
        </w:tc>
        <w:tc>
          <w:tcPr>
            <w:tcW w:w="2534" w:type="pct"/>
            <w:shd w:val="clear" w:color="auto" w:fill="auto"/>
          </w:tcPr>
          <w:p w14:paraId="0357456F" w14:textId="789AC083" w:rsidR="007903F0" w:rsidRDefault="007903F0" w:rsidP="007903F0">
            <w:r>
              <w:t>Support Services for Older Women</w:t>
            </w:r>
          </w:p>
        </w:tc>
        <w:tc>
          <w:tcPr>
            <w:tcW w:w="1266" w:type="pct"/>
          </w:tcPr>
          <w:p w14:paraId="6F9B0854" w14:textId="62ECA7E5" w:rsidR="003C471F" w:rsidRDefault="003C471F" w:rsidP="006B5DE7">
            <w:r>
              <w:t>Open Grant.</w:t>
            </w:r>
          </w:p>
          <w:p w14:paraId="1534FFA3" w14:textId="71CF4B60" w:rsidR="00807BDD" w:rsidRDefault="003C471F" w:rsidP="006B5DE7">
            <w:r>
              <w:t>Under Assessment</w:t>
            </w:r>
            <w:r w:rsidR="00D70B0E">
              <w:t>.</w:t>
            </w:r>
            <w:r w:rsidR="005244C7">
              <w:t xml:space="preserve"> Outcome imminent. </w:t>
            </w:r>
          </w:p>
          <w:p w14:paraId="5EBFB2E9" w14:textId="07063BE9" w:rsidR="00807BDD" w:rsidRDefault="00807BDD" w:rsidP="006B5DE7"/>
        </w:tc>
      </w:tr>
      <w:bookmarkEnd w:id="10"/>
    </w:tbl>
    <w:p w14:paraId="6B985E60" w14:textId="77777777" w:rsidR="009A13D2" w:rsidRDefault="009A13D2">
      <w:r>
        <w:br w:type="page"/>
      </w:r>
    </w:p>
    <w:tbl>
      <w:tblPr>
        <w:tblStyle w:val="TableGrid"/>
        <w:tblW w:w="5000" w:type="pct"/>
        <w:tblLook w:val="04A0" w:firstRow="1" w:lastRow="0" w:firstColumn="1" w:lastColumn="0" w:noHBand="0" w:noVBand="1"/>
      </w:tblPr>
      <w:tblGrid>
        <w:gridCol w:w="6804"/>
        <w:gridCol w:w="190"/>
        <w:gridCol w:w="7000"/>
      </w:tblGrid>
      <w:tr w:rsidR="005D60C4" w:rsidRPr="005C2D86" w14:paraId="2B885EDB" w14:textId="77777777" w:rsidTr="005D60C4">
        <w:trPr>
          <w:trHeight w:val="438"/>
        </w:trPr>
        <w:tc>
          <w:tcPr>
            <w:tcW w:w="5000" w:type="pct"/>
            <w:gridSpan w:val="3"/>
            <w:shd w:val="clear" w:color="auto" w:fill="auto"/>
          </w:tcPr>
          <w:p w14:paraId="27DB84F4" w14:textId="2D1DBF18" w:rsidR="005D60C4" w:rsidRPr="005C2D86" w:rsidRDefault="005D60C4" w:rsidP="007404C9">
            <w:pPr>
              <w:jc w:val="center"/>
              <w:rPr>
                <w:b/>
                <w:bCs/>
                <w:color w:val="7030A0"/>
                <w:sz w:val="24"/>
                <w:szCs w:val="24"/>
              </w:rPr>
            </w:pPr>
            <w:r w:rsidRPr="005C2D86">
              <w:rPr>
                <w:b/>
                <w:bCs/>
                <w:color w:val="7030A0"/>
                <w:sz w:val="24"/>
                <w:szCs w:val="24"/>
              </w:rPr>
              <w:lastRenderedPageBreak/>
              <w:t>Open Tenders</w:t>
            </w:r>
          </w:p>
        </w:tc>
      </w:tr>
      <w:tr w:rsidR="005D60C4" w:rsidRPr="005C2D86" w14:paraId="391A63C1" w14:textId="77777777" w:rsidTr="005D60C4">
        <w:trPr>
          <w:trHeight w:val="438"/>
        </w:trPr>
        <w:tc>
          <w:tcPr>
            <w:tcW w:w="2431" w:type="pct"/>
            <w:shd w:val="clear" w:color="auto" w:fill="auto"/>
          </w:tcPr>
          <w:p w14:paraId="523BBCCB" w14:textId="77777777" w:rsidR="005D60C4" w:rsidRPr="005C2D86" w:rsidRDefault="005D60C4" w:rsidP="00CD4ADC">
            <w:pPr>
              <w:jc w:val="center"/>
              <w:rPr>
                <w:b/>
                <w:bCs/>
                <w:color w:val="7030A0"/>
                <w:sz w:val="24"/>
                <w:szCs w:val="24"/>
              </w:rPr>
            </w:pPr>
            <w:r w:rsidRPr="005C2D86">
              <w:rPr>
                <w:b/>
                <w:bCs/>
                <w:color w:val="7030A0"/>
                <w:sz w:val="24"/>
                <w:szCs w:val="24"/>
              </w:rPr>
              <w:t>Impacted</w:t>
            </w:r>
          </w:p>
        </w:tc>
        <w:tc>
          <w:tcPr>
            <w:tcW w:w="2569" w:type="pct"/>
            <w:gridSpan w:val="2"/>
            <w:shd w:val="clear" w:color="auto" w:fill="auto"/>
          </w:tcPr>
          <w:p w14:paraId="58C69388" w14:textId="77777777" w:rsidR="005D60C4" w:rsidRPr="005C2D86" w:rsidRDefault="005D60C4" w:rsidP="00CD4ADC">
            <w:pPr>
              <w:jc w:val="center"/>
              <w:rPr>
                <w:b/>
                <w:bCs/>
                <w:color w:val="7030A0"/>
                <w:sz w:val="24"/>
                <w:szCs w:val="24"/>
              </w:rPr>
            </w:pPr>
            <w:r w:rsidRPr="005C2D86">
              <w:rPr>
                <w:b/>
                <w:bCs/>
                <w:color w:val="7030A0"/>
                <w:sz w:val="24"/>
                <w:szCs w:val="24"/>
              </w:rPr>
              <w:t>New Service</w:t>
            </w:r>
          </w:p>
        </w:tc>
      </w:tr>
      <w:tr w:rsidR="005D60C4" w:rsidRPr="005C2D86" w14:paraId="0AD8D7EC" w14:textId="77777777" w:rsidTr="005D60C4">
        <w:tc>
          <w:tcPr>
            <w:tcW w:w="2431" w:type="pct"/>
            <w:shd w:val="clear" w:color="auto" w:fill="auto"/>
          </w:tcPr>
          <w:p w14:paraId="2C3C501D" w14:textId="3F605D07" w:rsidR="005D60C4" w:rsidRPr="005C2D86" w:rsidRDefault="005D60C4" w:rsidP="00E375ED">
            <w:pPr>
              <w:pStyle w:val="ListParagraph"/>
              <w:numPr>
                <w:ilvl w:val="0"/>
                <w:numId w:val="35"/>
              </w:numPr>
              <w:spacing w:before="0" w:after="0" w:line="240" w:lineRule="auto"/>
              <w:ind w:left="511" w:hanging="283"/>
              <w:rPr>
                <w:sz w:val="24"/>
                <w:szCs w:val="24"/>
              </w:rPr>
            </w:pPr>
            <w:r w:rsidRPr="005C2D86">
              <w:rPr>
                <w:sz w:val="24"/>
                <w:szCs w:val="24"/>
              </w:rPr>
              <w:t>Toora Women Inc</w:t>
            </w:r>
          </w:p>
          <w:p w14:paraId="7372B2CA" w14:textId="13E0C060" w:rsidR="005D60C4" w:rsidRPr="005C2D86" w:rsidRDefault="005D60C4" w:rsidP="009A13D2">
            <w:pPr>
              <w:pStyle w:val="ListParagraph"/>
              <w:numPr>
                <w:ilvl w:val="0"/>
                <w:numId w:val="40"/>
              </w:numPr>
              <w:ind w:left="883" w:hanging="284"/>
              <w:rPr>
                <w:sz w:val="24"/>
                <w:szCs w:val="24"/>
              </w:rPr>
            </w:pPr>
            <w:r w:rsidRPr="005C2D86">
              <w:rPr>
                <w:sz w:val="24"/>
                <w:szCs w:val="24"/>
              </w:rPr>
              <w:t xml:space="preserve">Domestic Violence and Homelessness </w:t>
            </w:r>
            <w:r w:rsidR="00D97084">
              <w:rPr>
                <w:sz w:val="24"/>
                <w:szCs w:val="24"/>
              </w:rPr>
              <w:t>Services</w:t>
            </w:r>
          </w:p>
          <w:p w14:paraId="6FD8128E" w14:textId="24C1022D" w:rsidR="005D60C4" w:rsidRPr="005C2D86" w:rsidRDefault="005D60C4" w:rsidP="00E375ED">
            <w:pPr>
              <w:pStyle w:val="ListParagraph"/>
              <w:numPr>
                <w:ilvl w:val="0"/>
                <w:numId w:val="35"/>
              </w:numPr>
              <w:spacing w:before="0" w:after="0" w:line="240" w:lineRule="auto"/>
              <w:ind w:left="511" w:hanging="283"/>
              <w:rPr>
                <w:sz w:val="24"/>
                <w:szCs w:val="24"/>
              </w:rPr>
            </w:pPr>
            <w:r w:rsidRPr="005C2D86">
              <w:rPr>
                <w:sz w:val="24"/>
                <w:szCs w:val="24"/>
              </w:rPr>
              <w:t>Northside Community Service</w:t>
            </w:r>
          </w:p>
          <w:p w14:paraId="1B7D4587" w14:textId="50EA4595" w:rsidR="005D60C4" w:rsidRPr="005C2D86" w:rsidRDefault="005D60C4" w:rsidP="00E3285D">
            <w:pPr>
              <w:pStyle w:val="ListParagraph"/>
              <w:numPr>
                <w:ilvl w:val="0"/>
                <w:numId w:val="40"/>
              </w:numPr>
              <w:ind w:left="883" w:hanging="284"/>
              <w:rPr>
                <w:sz w:val="24"/>
                <w:szCs w:val="24"/>
              </w:rPr>
            </w:pPr>
            <w:proofErr w:type="spellStart"/>
            <w:r w:rsidRPr="005C2D86">
              <w:rPr>
                <w:sz w:val="24"/>
                <w:szCs w:val="24"/>
              </w:rPr>
              <w:t>Womens</w:t>
            </w:r>
            <w:proofErr w:type="spellEnd"/>
            <w:r w:rsidRPr="005C2D86">
              <w:rPr>
                <w:sz w:val="24"/>
                <w:szCs w:val="24"/>
              </w:rPr>
              <w:t xml:space="preserve"> </w:t>
            </w:r>
            <w:r w:rsidR="006B5DE7">
              <w:rPr>
                <w:sz w:val="24"/>
                <w:szCs w:val="24"/>
              </w:rPr>
              <w:t>Housing First Program</w:t>
            </w:r>
          </w:p>
          <w:p w14:paraId="4BF03F47" w14:textId="77777777" w:rsidR="005D60C4" w:rsidRPr="005C2D86" w:rsidRDefault="005D60C4" w:rsidP="009A13D2">
            <w:pPr>
              <w:pStyle w:val="ListParagraph"/>
              <w:numPr>
                <w:ilvl w:val="0"/>
                <w:numId w:val="35"/>
              </w:numPr>
              <w:spacing w:before="0" w:after="0" w:line="240" w:lineRule="auto"/>
              <w:ind w:left="511" w:hanging="283"/>
              <w:rPr>
                <w:sz w:val="24"/>
                <w:szCs w:val="24"/>
              </w:rPr>
            </w:pPr>
            <w:r w:rsidRPr="005C2D86">
              <w:rPr>
                <w:sz w:val="24"/>
                <w:szCs w:val="24"/>
              </w:rPr>
              <w:t>Toora Women Inc</w:t>
            </w:r>
          </w:p>
          <w:p w14:paraId="0D3C7F68" w14:textId="089DA458" w:rsidR="005D60C4" w:rsidRPr="005C2D86" w:rsidRDefault="005D60C4" w:rsidP="009A13D2">
            <w:pPr>
              <w:pStyle w:val="ListParagraph"/>
              <w:numPr>
                <w:ilvl w:val="0"/>
                <w:numId w:val="40"/>
              </w:numPr>
              <w:ind w:left="883" w:hanging="284"/>
              <w:rPr>
                <w:sz w:val="24"/>
                <w:szCs w:val="24"/>
              </w:rPr>
            </w:pPr>
            <w:proofErr w:type="spellStart"/>
            <w:r w:rsidRPr="005C2D86">
              <w:rPr>
                <w:sz w:val="24"/>
                <w:szCs w:val="24"/>
              </w:rPr>
              <w:t>Womens</w:t>
            </w:r>
            <w:proofErr w:type="spellEnd"/>
            <w:r w:rsidRPr="005C2D86">
              <w:rPr>
                <w:sz w:val="24"/>
                <w:szCs w:val="24"/>
              </w:rPr>
              <w:t xml:space="preserve"> </w:t>
            </w:r>
            <w:r w:rsidR="006B5DE7">
              <w:rPr>
                <w:sz w:val="24"/>
                <w:szCs w:val="24"/>
              </w:rPr>
              <w:t>and Children’s Program</w:t>
            </w:r>
          </w:p>
        </w:tc>
        <w:tc>
          <w:tcPr>
            <w:tcW w:w="2569" w:type="pct"/>
            <w:gridSpan w:val="2"/>
            <w:shd w:val="clear" w:color="auto" w:fill="auto"/>
          </w:tcPr>
          <w:p w14:paraId="3209535C" w14:textId="77777777" w:rsidR="00AC653C" w:rsidRDefault="005D60C4" w:rsidP="00E375ED">
            <w:pPr>
              <w:rPr>
                <w:sz w:val="24"/>
                <w:szCs w:val="24"/>
              </w:rPr>
            </w:pPr>
            <w:r w:rsidRPr="005C2D86">
              <w:rPr>
                <w:sz w:val="24"/>
                <w:szCs w:val="24"/>
              </w:rPr>
              <w:t>Tenancy/Property Management and Support Services for Women</w:t>
            </w:r>
          </w:p>
          <w:p w14:paraId="64F07F70" w14:textId="4EE9FDF1" w:rsidR="00AC653C" w:rsidRPr="005C2D86" w:rsidRDefault="0069245E" w:rsidP="00E375ED">
            <w:pPr>
              <w:rPr>
                <w:sz w:val="24"/>
                <w:szCs w:val="24"/>
              </w:rPr>
            </w:pPr>
            <w:r>
              <w:rPr>
                <w:sz w:val="24"/>
                <w:szCs w:val="24"/>
              </w:rPr>
              <w:t xml:space="preserve">Tender Released available through TendersACT. </w:t>
            </w:r>
          </w:p>
        </w:tc>
      </w:tr>
      <w:tr w:rsidR="005D60C4" w:rsidRPr="005C2D86" w14:paraId="08FD4424" w14:textId="77777777" w:rsidTr="005D60C4">
        <w:tc>
          <w:tcPr>
            <w:tcW w:w="2431" w:type="pct"/>
            <w:shd w:val="clear" w:color="auto" w:fill="auto"/>
          </w:tcPr>
          <w:p w14:paraId="2594A190" w14:textId="60D50E8E" w:rsidR="005D60C4" w:rsidRPr="005C2D86" w:rsidRDefault="005D60C4" w:rsidP="00E375ED">
            <w:pPr>
              <w:pStyle w:val="ListParagraph"/>
              <w:numPr>
                <w:ilvl w:val="0"/>
                <w:numId w:val="35"/>
              </w:numPr>
              <w:spacing w:before="0" w:after="0" w:line="240" w:lineRule="auto"/>
              <w:ind w:left="511" w:hanging="283"/>
              <w:rPr>
                <w:sz w:val="24"/>
                <w:szCs w:val="24"/>
              </w:rPr>
            </w:pPr>
            <w:r w:rsidRPr="005C2D86">
              <w:rPr>
                <w:sz w:val="24"/>
                <w:szCs w:val="24"/>
              </w:rPr>
              <w:t>Barnardos Australia</w:t>
            </w:r>
          </w:p>
          <w:p w14:paraId="502EB26B" w14:textId="77777777" w:rsidR="005D60C4" w:rsidRPr="005C2D86" w:rsidRDefault="005D60C4" w:rsidP="009A13D2">
            <w:pPr>
              <w:pStyle w:val="ListParagraph"/>
              <w:numPr>
                <w:ilvl w:val="0"/>
                <w:numId w:val="40"/>
              </w:numPr>
              <w:ind w:left="883" w:hanging="284"/>
              <w:rPr>
                <w:sz w:val="24"/>
                <w:szCs w:val="24"/>
              </w:rPr>
            </w:pPr>
            <w:r w:rsidRPr="005C2D86">
              <w:rPr>
                <w:sz w:val="24"/>
                <w:szCs w:val="24"/>
              </w:rPr>
              <w:t>Friendly Landlord Service</w:t>
            </w:r>
          </w:p>
          <w:p w14:paraId="689C5325" w14:textId="41EA5B77" w:rsidR="005D60C4" w:rsidRPr="005C2D86" w:rsidRDefault="005D60C4" w:rsidP="00E375ED">
            <w:pPr>
              <w:pStyle w:val="ListParagraph"/>
              <w:numPr>
                <w:ilvl w:val="0"/>
                <w:numId w:val="35"/>
              </w:numPr>
              <w:spacing w:before="0" w:after="0" w:line="240" w:lineRule="auto"/>
              <w:ind w:left="511" w:hanging="283"/>
              <w:rPr>
                <w:sz w:val="24"/>
                <w:szCs w:val="24"/>
              </w:rPr>
            </w:pPr>
            <w:r w:rsidRPr="005C2D86">
              <w:rPr>
                <w:sz w:val="24"/>
                <w:szCs w:val="24"/>
              </w:rPr>
              <w:t>Salvation Army</w:t>
            </w:r>
          </w:p>
          <w:p w14:paraId="11757074" w14:textId="7584F525" w:rsidR="005D60C4" w:rsidRPr="005C2D86" w:rsidRDefault="005D60C4" w:rsidP="009A13D2">
            <w:pPr>
              <w:pStyle w:val="ListParagraph"/>
              <w:numPr>
                <w:ilvl w:val="0"/>
                <w:numId w:val="40"/>
              </w:numPr>
              <w:ind w:left="883" w:hanging="284"/>
              <w:rPr>
                <w:sz w:val="24"/>
                <w:szCs w:val="24"/>
              </w:rPr>
            </w:pPr>
            <w:r w:rsidRPr="005C2D86">
              <w:rPr>
                <w:sz w:val="24"/>
                <w:szCs w:val="24"/>
              </w:rPr>
              <w:t>Youth Emergency Accommodation Network (YEAN)</w:t>
            </w:r>
          </w:p>
        </w:tc>
        <w:tc>
          <w:tcPr>
            <w:tcW w:w="2569" w:type="pct"/>
            <w:gridSpan w:val="2"/>
            <w:shd w:val="clear" w:color="auto" w:fill="auto"/>
          </w:tcPr>
          <w:p w14:paraId="03F3684A" w14:textId="77777777" w:rsidR="005D60C4" w:rsidRDefault="005D60C4" w:rsidP="00E375ED">
            <w:pPr>
              <w:rPr>
                <w:sz w:val="24"/>
                <w:szCs w:val="24"/>
              </w:rPr>
            </w:pPr>
            <w:r w:rsidRPr="005C2D86">
              <w:rPr>
                <w:sz w:val="24"/>
                <w:szCs w:val="24"/>
              </w:rPr>
              <w:t>Tenancy/Property Management and Support Services for Young People</w:t>
            </w:r>
          </w:p>
          <w:p w14:paraId="68AFC68E" w14:textId="3DDB7C36" w:rsidR="00AC653C" w:rsidRPr="005C2D86" w:rsidRDefault="0069245E" w:rsidP="00E375ED">
            <w:pPr>
              <w:rPr>
                <w:sz w:val="24"/>
                <w:szCs w:val="24"/>
              </w:rPr>
            </w:pPr>
            <w:r>
              <w:rPr>
                <w:sz w:val="24"/>
                <w:szCs w:val="24"/>
              </w:rPr>
              <w:t xml:space="preserve">Tender </w:t>
            </w:r>
            <w:r w:rsidR="007404C9">
              <w:rPr>
                <w:sz w:val="24"/>
                <w:szCs w:val="24"/>
              </w:rPr>
              <w:t xml:space="preserve">available through TendersACT. </w:t>
            </w:r>
          </w:p>
        </w:tc>
      </w:tr>
      <w:tr w:rsidR="005D60C4" w:rsidRPr="005C2D86" w14:paraId="5923234A" w14:textId="77777777" w:rsidTr="005D60C4">
        <w:tc>
          <w:tcPr>
            <w:tcW w:w="2431" w:type="pct"/>
            <w:shd w:val="clear" w:color="auto" w:fill="auto"/>
          </w:tcPr>
          <w:p w14:paraId="3C8EB771" w14:textId="5E59C8A4" w:rsidR="005D60C4" w:rsidRPr="005C2D86" w:rsidRDefault="005D60C4" w:rsidP="0015175C">
            <w:pPr>
              <w:pStyle w:val="ListParagraph"/>
              <w:numPr>
                <w:ilvl w:val="0"/>
                <w:numId w:val="35"/>
              </w:numPr>
              <w:spacing w:before="0" w:after="0" w:line="240" w:lineRule="auto"/>
              <w:ind w:left="511" w:hanging="283"/>
              <w:rPr>
                <w:sz w:val="24"/>
                <w:szCs w:val="24"/>
              </w:rPr>
            </w:pPr>
            <w:r w:rsidRPr="005C2D86">
              <w:rPr>
                <w:sz w:val="24"/>
                <w:szCs w:val="24"/>
              </w:rPr>
              <w:t>Woden Community Service</w:t>
            </w:r>
            <w:r w:rsidRPr="005C2D86">
              <w:rPr>
                <w:sz w:val="24"/>
                <w:szCs w:val="24"/>
              </w:rPr>
              <w:tab/>
            </w:r>
          </w:p>
        </w:tc>
        <w:tc>
          <w:tcPr>
            <w:tcW w:w="2569" w:type="pct"/>
            <w:gridSpan w:val="2"/>
            <w:shd w:val="clear" w:color="auto" w:fill="auto"/>
          </w:tcPr>
          <w:p w14:paraId="4A2038A6" w14:textId="168A1F5A" w:rsidR="00AC653C" w:rsidRPr="005C2D86" w:rsidRDefault="003C471F" w:rsidP="007404C9">
            <w:pPr>
              <w:rPr>
                <w:sz w:val="24"/>
                <w:szCs w:val="24"/>
              </w:rPr>
            </w:pPr>
            <w:r>
              <w:rPr>
                <w:sz w:val="24"/>
                <w:szCs w:val="24"/>
              </w:rPr>
              <w:t>Client Support Services</w:t>
            </w:r>
            <w:r w:rsidR="007404C9">
              <w:rPr>
                <w:sz w:val="24"/>
                <w:szCs w:val="24"/>
              </w:rPr>
              <w:t xml:space="preserve">.  </w:t>
            </w:r>
            <w:r w:rsidR="00AC653C">
              <w:rPr>
                <w:sz w:val="24"/>
                <w:szCs w:val="24"/>
              </w:rPr>
              <w:t xml:space="preserve">Anticipating </w:t>
            </w:r>
            <w:r w:rsidR="0069245E">
              <w:rPr>
                <w:sz w:val="24"/>
                <w:szCs w:val="24"/>
              </w:rPr>
              <w:t xml:space="preserve">tender release </w:t>
            </w:r>
            <w:r w:rsidR="00AC653C">
              <w:rPr>
                <w:sz w:val="24"/>
                <w:szCs w:val="24"/>
              </w:rPr>
              <w:t>late January/early February 2024.</w:t>
            </w:r>
          </w:p>
        </w:tc>
      </w:tr>
      <w:tr w:rsidR="005D60C4" w:rsidRPr="005C2D86" w14:paraId="4E5237CA" w14:textId="77777777" w:rsidTr="005D60C4">
        <w:tc>
          <w:tcPr>
            <w:tcW w:w="2431" w:type="pct"/>
            <w:shd w:val="clear" w:color="auto" w:fill="auto"/>
          </w:tcPr>
          <w:p w14:paraId="48E842A9" w14:textId="4C2E479D" w:rsidR="005D60C4" w:rsidRPr="005C2D86" w:rsidRDefault="005D60C4" w:rsidP="0015175C">
            <w:pPr>
              <w:pStyle w:val="ListParagraph"/>
              <w:numPr>
                <w:ilvl w:val="0"/>
                <w:numId w:val="35"/>
              </w:numPr>
              <w:spacing w:before="0" w:after="0" w:line="240" w:lineRule="auto"/>
              <w:ind w:left="511" w:hanging="283"/>
              <w:rPr>
                <w:sz w:val="24"/>
                <w:szCs w:val="24"/>
              </w:rPr>
            </w:pPr>
            <w:r w:rsidRPr="005C2D86">
              <w:rPr>
                <w:sz w:val="24"/>
                <w:szCs w:val="24"/>
              </w:rPr>
              <w:t>Communities @ Work</w:t>
            </w:r>
          </w:p>
          <w:p w14:paraId="38049CAC" w14:textId="77777777" w:rsidR="005D60C4" w:rsidRPr="005C2D86" w:rsidRDefault="005D60C4" w:rsidP="0015175C">
            <w:pPr>
              <w:pStyle w:val="ListParagraph"/>
              <w:numPr>
                <w:ilvl w:val="0"/>
                <w:numId w:val="40"/>
              </w:numPr>
              <w:ind w:left="883" w:hanging="284"/>
              <w:rPr>
                <w:sz w:val="24"/>
                <w:szCs w:val="24"/>
              </w:rPr>
            </w:pPr>
            <w:r w:rsidRPr="005C2D86">
              <w:rPr>
                <w:sz w:val="24"/>
                <w:szCs w:val="24"/>
              </w:rPr>
              <w:t>Reach Home</w:t>
            </w:r>
          </w:p>
          <w:p w14:paraId="76794BA5" w14:textId="76FDE3B9" w:rsidR="005D60C4" w:rsidRPr="005C2D86" w:rsidRDefault="005D60C4" w:rsidP="0015175C">
            <w:pPr>
              <w:pStyle w:val="ListParagraph"/>
              <w:numPr>
                <w:ilvl w:val="0"/>
                <w:numId w:val="35"/>
              </w:numPr>
              <w:spacing w:before="0" w:after="0" w:line="240" w:lineRule="auto"/>
              <w:ind w:left="511" w:hanging="283"/>
              <w:rPr>
                <w:sz w:val="24"/>
                <w:szCs w:val="24"/>
              </w:rPr>
            </w:pPr>
            <w:r w:rsidRPr="005C2D86">
              <w:rPr>
                <w:sz w:val="24"/>
                <w:szCs w:val="24"/>
              </w:rPr>
              <w:t>St Vincent De Paul</w:t>
            </w:r>
          </w:p>
          <w:p w14:paraId="5A32BFF2" w14:textId="0C876B49" w:rsidR="005D60C4" w:rsidRPr="005E3400" w:rsidRDefault="005D60C4" w:rsidP="00C13329">
            <w:pPr>
              <w:pStyle w:val="ListParagraph"/>
              <w:numPr>
                <w:ilvl w:val="0"/>
                <w:numId w:val="40"/>
              </w:numPr>
              <w:ind w:left="883" w:hanging="284"/>
              <w:rPr>
                <w:sz w:val="24"/>
                <w:szCs w:val="24"/>
              </w:rPr>
            </w:pPr>
            <w:r w:rsidRPr="005E3400">
              <w:rPr>
                <w:sz w:val="24"/>
                <w:szCs w:val="24"/>
              </w:rPr>
              <w:t>Family Service</w:t>
            </w:r>
            <w:r w:rsidR="005E3400" w:rsidRPr="005E3400">
              <w:rPr>
                <w:sz w:val="24"/>
                <w:szCs w:val="24"/>
              </w:rPr>
              <w:t xml:space="preserve"> and </w:t>
            </w:r>
            <w:r w:rsidRPr="005E3400">
              <w:rPr>
                <w:sz w:val="24"/>
                <w:szCs w:val="24"/>
              </w:rPr>
              <w:t>Young Parent Accommodation Support</w:t>
            </w:r>
          </w:p>
          <w:p w14:paraId="41AF7DBE" w14:textId="47740F96" w:rsidR="005D60C4" w:rsidRPr="005C2D86" w:rsidRDefault="005D60C4" w:rsidP="0015175C">
            <w:pPr>
              <w:pStyle w:val="ListParagraph"/>
              <w:numPr>
                <w:ilvl w:val="0"/>
                <w:numId w:val="35"/>
              </w:numPr>
              <w:spacing w:before="0" w:after="0" w:line="240" w:lineRule="auto"/>
              <w:ind w:left="511" w:hanging="283"/>
              <w:rPr>
                <w:sz w:val="24"/>
                <w:szCs w:val="24"/>
              </w:rPr>
            </w:pPr>
            <w:r w:rsidRPr="005C2D86">
              <w:rPr>
                <w:sz w:val="24"/>
                <w:szCs w:val="24"/>
              </w:rPr>
              <w:t>Toora Women Inc</w:t>
            </w:r>
          </w:p>
          <w:p w14:paraId="4A86B5DF" w14:textId="3A41254A" w:rsidR="005D60C4" w:rsidRPr="005C2D86" w:rsidRDefault="005D60C4" w:rsidP="0015175C">
            <w:pPr>
              <w:pStyle w:val="ListParagraph"/>
              <w:numPr>
                <w:ilvl w:val="0"/>
                <w:numId w:val="40"/>
              </w:numPr>
              <w:ind w:left="883" w:hanging="284"/>
              <w:rPr>
                <w:sz w:val="24"/>
                <w:szCs w:val="24"/>
              </w:rPr>
            </w:pPr>
            <w:r w:rsidRPr="005C2D86">
              <w:rPr>
                <w:sz w:val="24"/>
                <w:szCs w:val="24"/>
              </w:rPr>
              <w:t>Family Program</w:t>
            </w:r>
          </w:p>
          <w:p w14:paraId="3C8CFE9B" w14:textId="77777777" w:rsidR="005D60C4" w:rsidRPr="005C2D86" w:rsidRDefault="005D60C4" w:rsidP="0015175C">
            <w:pPr>
              <w:pStyle w:val="ListParagraph"/>
              <w:numPr>
                <w:ilvl w:val="0"/>
                <w:numId w:val="35"/>
              </w:numPr>
              <w:spacing w:before="0" w:after="0" w:line="240" w:lineRule="auto"/>
              <w:ind w:left="511" w:hanging="283"/>
              <w:rPr>
                <w:sz w:val="24"/>
                <w:szCs w:val="24"/>
              </w:rPr>
            </w:pPr>
            <w:r w:rsidRPr="005C2D86">
              <w:rPr>
                <w:sz w:val="24"/>
                <w:szCs w:val="24"/>
              </w:rPr>
              <w:t>YWCA Canberra</w:t>
            </w:r>
          </w:p>
          <w:p w14:paraId="204E342B" w14:textId="25F82DD5" w:rsidR="005D60C4" w:rsidRPr="005C2D86" w:rsidRDefault="005D60C4" w:rsidP="0015175C">
            <w:pPr>
              <w:pStyle w:val="ListParagraph"/>
              <w:numPr>
                <w:ilvl w:val="0"/>
                <w:numId w:val="40"/>
              </w:numPr>
              <w:spacing w:before="0" w:after="0" w:line="240" w:lineRule="auto"/>
              <w:ind w:left="883" w:hanging="284"/>
              <w:rPr>
                <w:sz w:val="24"/>
                <w:szCs w:val="24"/>
              </w:rPr>
            </w:pPr>
            <w:r w:rsidRPr="005C2D86">
              <w:rPr>
                <w:sz w:val="24"/>
                <w:szCs w:val="24"/>
              </w:rPr>
              <w:t>Housing Support Unit</w:t>
            </w:r>
            <w:r w:rsidRPr="005C2D86">
              <w:rPr>
                <w:sz w:val="24"/>
                <w:szCs w:val="24"/>
              </w:rPr>
              <w:tab/>
            </w:r>
          </w:p>
        </w:tc>
        <w:tc>
          <w:tcPr>
            <w:tcW w:w="2569" w:type="pct"/>
            <w:gridSpan w:val="2"/>
            <w:shd w:val="clear" w:color="auto" w:fill="auto"/>
          </w:tcPr>
          <w:p w14:paraId="73340713" w14:textId="42A6789F" w:rsidR="00AC653C" w:rsidRPr="005C2D86" w:rsidRDefault="005D60C4" w:rsidP="007404C9">
            <w:pPr>
              <w:rPr>
                <w:sz w:val="24"/>
                <w:szCs w:val="24"/>
              </w:rPr>
            </w:pPr>
            <w:r w:rsidRPr="005C2D86">
              <w:rPr>
                <w:sz w:val="24"/>
                <w:szCs w:val="24"/>
              </w:rPr>
              <w:t>Tenancy/Property Management and Support Services for Families</w:t>
            </w:r>
            <w:r w:rsidR="007404C9">
              <w:rPr>
                <w:sz w:val="24"/>
                <w:szCs w:val="24"/>
              </w:rPr>
              <w:t xml:space="preserve">.  </w:t>
            </w:r>
            <w:r w:rsidR="0069245E">
              <w:rPr>
                <w:sz w:val="24"/>
                <w:szCs w:val="24"/>
              </w:rPr>
              <w:t xml:space="preserve">Tender </w:t>
            </w:r>
            <w:r w:rsidR="007404C9">
              <w:rPr>
                <w:sz w:val="24"/>
                <w:szCs w:val="24"/>
              </w:rPr>
              <w:t xml:space="preserve">anticipated </w:t>
            </w:r>
            <w:r w:rsidR="0069245E">
              <w:rPr>
                <w:sz w:val="24"/>
                <w:szCs w:val="24"/>
              </w:rPr>
              <w:t xml:space="preserve">release November 2023. </w:t>
            </w:r>
          </w:p>
        </w:tc>
      </w:tr>
      <w:tr w:rsidR="005D60C4" w:rsidRPr="005C2D86" w14:paraId="70471F96" w14:textId="77777777" w:rsidTr="005D60C4">
        <w:trPr>
          <w:trHeight w:val="438"/>
        </w:trPr>
        <w:tc>
          <w:tcPr>
            <w:tcW w:w="5000" w:type="pct"/>
            <w:gridSpan w:val="3"/>
            <w:shd w:val="clear" w:color="auto" w:fill="auto"/>
          </w:tcPr>
          <w:p w14:paraId="773219F6" w14:textId="463D2735" w:rsidR="007903F0" w:rsidRDefault="005D60C4" w:rsidP="00CF5E98">
            <w:pPr>
              <w:jc w:val="center"/>
              <w:rPr>
                <w:b/>
                <w:bCs/>
                <w:color w:val="7030A0"/>
                <w:sz w:val="24"/>
                <w:szCs w:val="24"/>
              </w:rPr>
            </w:pPr>
            <w:r w:rsidRPr="005C2D86">
              <w:rPr>
                <w:b/>
                <w:bCs/>
                <w:color w:val="7030A0"/>
                <w:sz w:val="24"/>
                <w:szCs w:val="24"/>
              </w:rPr>
              <w:lastRenderedPageBreak/>
              <w:t xml:space="preserve">Clients with High and Complex Needs </w:t>
            </w:r>
          </w:p>
          <w:p w14:paraId="6A1CDC95" w14:textId="2FC88CB3" w:rsidR="005D60C4" w:rsidRPr="005C2D86" w:rsidRDefault="007903F0" w:rsidP="00CF5E98">
            <w:pPr>
              <w:jc w:val="center"/>
              <w:rPr>
                <w:b/>
                <w:bCs/>
                <w:color w:val="7030A0"/>
                <w:sz w:val="24"/>
                <w:szCs w:val="24"/>
              </w:rPr>
            </w:pPr>
            <w:r>
              <w:rPr>
                <w:b/>
                <w:bCs/>
                <w:color w:val="7030A0"/>
                <w:sz w:val="24"/>
                <w:szCs w:val="24"/>
              </w:rPr>
              <w:t xml:space="preserve">Anticipated Release Date: To be advised following </w:t>
            </w:r>
            <w:r w:rsidR="005D60C4" w:rsidRPr="005C2D86">
              <w:rPr>
                <w:b/>
                <w:bCs/>
                <w:color w:val="7030A0"/>
                <w:sz w:val="24"/>
                <w:szCs w:val="24"/>
              </w:rPr>
              <w:t>determination of investment approach.</w:t>
            </w:r>
          </w:p>
        </w:tc>
      </w:tr>
      <w:tr w:rsidR="005D60C4" w:rsidRPr="005C2D86" w14:paraId="4C29ECF3" w14:textId="00B5EE66" w:rsidTr="005D60C4">
        <w:trPr>
          <w:trHeight w:val="438"/>
        </w:trPr>
        <w:tc>
          <w:tcPr>
            <w:tcW w:w="2499" w:type="pct"/>
            <w:gridSpan w:val="2"/>
            <w:shd w:val="clear" w:color="auto" w:fill="auto"/>
          </w:tcPr>
          <w:p w14:paraId="0638CD55" w14:textId="77777777" w:rsidR="005D60C4" w:rsidRPr="005C2D86" w:rsidRDefault="005D60C4" w:rsidP="00CF5E98">
            <w:pPr>
              <w:jc w:val="center"/>
              <w:rPr>
                <w:b/>
                <w:bCs/>
                <w:color w:val="7030A0"/>
                <w:sz w:val="24"/>
                <w:szCs w:val="24"/>
              </w:rPr>
            </w:pPr>
            <w:r w:rsidRPr="005C2D86">
              <w:rPr>
                <w:b/>
                <w:bCs/>
                <w:color w:val="7030A0"/>
                <w:sz w:val="24"/>
                <w:szCs w:val="24"/>
              </w:rPr>
              <w:t>Impacted</w:t>
            </w:r>
          </w:p>
        </w:tc>
        <w:tc>
          <w:tcPr>
            <w:tcW w:w="2501" w:type="pct"/>
          </w:tcPr>
          <w:p w14:paraId="595AC094" w14:textId="4C77B29D" w:rsidR="005D60C4" w:rsidRPr="005C2D86" w:rsidRDefault="00775D7A" w:rsidP="00CF5E98">
            <w:pPr>
              <w:jc w:val="center"/>
              <w:rPr>
                <w:b/>
                <w:bCs/>
                <w:color w:val="7030A0"/>
                <w:sz w:val="24"/>
                <w:szCs w:val="24"/>
              </w:rPr>
            </w:pPr>
            <w:r>
              <w:rPr>
                <w:b/>
                <w:bCs/>
                <w:color w:val="7030A0"/>
                <w:sz w:val="24"/>
                <w:szCs w:val="24"/>
              </w:rPr>
              <w:t>Service – To be Advised</w:t>
            </w:r>
          </w:p>
        </w:tc>
      </w:tr>
      <w:tr w:rsidR="005D60C4" w:rsidRPr="005C2D86" w14:paraId="00FC19C1" w14:textId="0C61672C" w:rsidTr="005D60C4">
        <w:tc>
          <w:tcPr>
            <w:tcW w:w="2499" w:type="pct"/>
            <w:gridSpan w:val="2"/>
            <w:shd w:val="clear" w:color="auto" w:fill="auto"/>
          </w:tcPr>
          <w:p w14:paraId="7E0A2F90" w14:textId="77777777" w:rsidR="005D60C4" w:rsidRPr="005C2D86" w:rsidRDefault="005D60C4" w:rsidP="005C2D86">
            <w:pPr>
              <w:pStyle w:val="ListParagraph"/>
              <w:numPr>
                <w:ilvl w:val="0"/>
                <w:numId w:val="35"/>
              </w:numPr>
              <w:spacing w:before="0" w:after="0" w:line="240" w:lineRule="auto"/>
              <w:ind w:left="511" w:hanging="283"/>
              <w:rPr>
                <w:sz w:val="24"/>
                <w:szCs w:val="24"/>
              </w:rPr>
            </w:pPr>
            <w:r w:rsidRPr="005C2D86">
              <w:rPr>
                <w:sz w:val="24"/>
                <w:szCs w:val="24"/>
              </w:rPr>
              <w:t>St Vincent De Paul</w:t>
            </w:r>
          </w:p>
          <w:p w14:paraId="5FD4C7A6" w14:textId="76AB926B" w:rsidR="005D60C4" w:rsidRPr="005C2D86" w:rsidRDefault="005D60C4" w:rsidP="005C2D86">
            <w:pPr>
              <w:pStyle w:val="ListParagraph"/>
              <w:numPr>
                <w:ilvl w:val="0"/>
                <w:numId w:val="40"/>
              </w:numPr>
              <w:spacing w:before="0" w:after="0" w:line="240" w:lineRule="auto"/>
              <w:ind w:left="883" w:hanging="284"/>
              <w:rPr>
                <w:sz w:val="24"/>
                <w:szCs w:val="24"/>
              </w:rPr>
            </w:pPr>
            <w:r w:rsidRPr="005C2D86">
              <w:rPr>
                <w:sz w:val="24"/>
                <w:szCs w:val="24"/>
              </w:rPr>
              <w:t>Street to Home</w:t>
            </w:r>
          </w:p>
        </w:tc>
        <w:tc>
          <w:tcPr>
            <w:tcW w:w="2501" w:type="pct"/>
          </w:tcPr>
          <w:p w14:paraId="1383647D" w14:textId="703AAD6B" w:rsidR="005D60C4" w:rsidRPr="005C2D86" w:rsidRDefault="005D60C4" w:rsidP="00CD4ADC">
            <w:pPr>
              <w:rPr>
                <w:sz w:val="24"/>
                <w:szCs w:val="24"/>
              </w:rPr>
            </w:pPr>
            <w:r w:rsidRPr="005C2D86">
              <w:rPr>
                <w:sz w:val="24"/>
                <w:szCs w:val="24"/>
              </w:rPr>
              <w:t>Assertive Outreach to Rough Sleepers</w:t>
            </w:r>
          </w:p>
        </w:tc>
      </w:tr>
      <w:tr w:rsidR="005D60C4" w:rsidRPr="005C2D86" w14:paraId="2BECDA73" w14:textId="22C0693C" w:rsidTr="005D60C4">
        <w:tc>
          <w:tcPr>
            <w:tcW w:w="2499" w:type="pct"/>
            <w:gridSpan w:val="2"/>
            <w:shd w:val="clear" w:color="auto" w:fill="auto"/>
          </w:tcPr>
          <w:p w14:paraId="48B13CC7" w14:textId="77777777" w:rsidR="005D60C4" w:rsidRPr="005C2D86" w:rsidRDefault="005D60C4" w:rsidP="005C2D86">
            <w:pPr>
              <w:pStyle w:val="ListParagraph"/>
              <w:numPr>
                <w:ilvl w:val="0"/>
                <w:numId w:val="34"/>
              </w:numPr>
              <w:spacing w:before="0" w:after="0" w:line="240" w:lineRule="auto"/>
              <w:ind w:left="384" w:hanging="283"/>
              <w:rPr>
                <w:sz w:val="24"/>
                <w:szCs w:val="24"/>
              </w:rPr>
            </w:pPr>
            <w:r w:rsidRPr="005C2D86">
              <w:rPr>
                <w:sz w:val="24"/>
                <w:szCs w:val="24"/>
              </w:rPr>
              <w:t>CatholicCare</w:t>
            </w:r>
          </w:p>
          <w:p w14:paraId="52756E9E" w14:textId="67669956" w:rsidR="005D60C4" w:rsidRPr="005C2D86" w:rsidRDefault="005D60C4" w:rsidP="005C2D86">
            <w:pPr>
              <w:pStyle w:val="ListParagraph"/>
              <w:numPr>
                <w:ilvl w:val="0"/>
                <w:numId w:val="40"/>
              </w:numPr>
              <w:spacing w:before="0" w:after="0" w:line="240" w:lineRule="auto"/>
              <w:ind w:left="883" w:hanging="284"/>
              <w:rPr>
                <w:sz w:val="24"/>
                <w:szCs w:val="24"/>
              </w:rPr>
            </w:pPr>
            <w:r w:rsidRPr="005C2D86">
              <w:rPr>
                <w:sz w:val="24"/>
                <w:szCs w:val="24"/>
              </w:rPr>
              <w:t>Axial</w:t>
            </w:r>
          </w:p>
          <w:p w14:paraId="7E217272" w14:textId="77777777" w:rsidR="005D60C4" w:rsidRPr="005C2D86" w:rsidRDefault="005D60C4" w:rsidP="005C2D86">
            <w:pPr>
              <w:pStyle w:val="ListParagraph"/>
              <w:numPr>
                <w:ilvl w:val="0"/>
                <w:numId w:val="34"/>
              </w:numPr>
              <w:spacing w:before="0" w:after="0" w:line="240" w:lineRule="auto"/>
              <w:ind w:left="384" w:hanging="283"/>
              <w:rPr>
                <w:sz w:val="24"/>
                <w:szCs w:val="24"/>
              </w:rPr>
            </w:pPr>
            <w:r w:rsidRPr="005C2D86">
              <w:rPr>
                <w:sz w:val="24"/>
                <w:szCs w:val="24"/>
              </w:rPr>
              <w:t>Toora Women Inc.</w:t>
            </w:r>
          </w:p>
          <w:p w14:paraId="64307174" w14:textId="41750225" w:rsidR="005D60C4" w:rsidRPr="005C2D86" w:rsidRDefault="005D60C4" w:rsidP="005C2D86">
            <w:pPr>
              <w:pStyle w:val="ListParagraph"/>
              <w:numPr>
                <w:ilvl w:val="0"/>
                <w:numId w:val="40"/>
              </w:numPr>
              <w:spacing w:before="0" w:after="0" w:line="240" w:lineRule="auto"/>
              <w:ind w:left="883" w:hanging="284"/>
              <w:rPr>
                <w:sz w:val="24"/>
                <w:szCs w:val="24"/>
              </w:rPr>
            </w:pPr>
            <w:r w:rsidRPr="005C2D86">
              <w:rPr>
                <w:sz w:val="24"/>
                <w:szCs w:val="24"/>
              </w:rPr>
              <w:t>Head Lease Program</w:t>
            </w:r>
          </w:p>
          <w:p w14:paraId="6E87BC92" w14:textId="77777777" w:rsidR="005D60C4" w:rsidRPr="005C2D86" w:rsidRDefault="005D60C4" w:rsidP="005C2D86">
            <w:pPr>
              <w:pStyle w:val="ListParagraph"/>
              <w:numPr>
                <w:ilvl w:val="0"/>
                <w:numId w:val="34"/>
              </w:numPr>
              <w:spacing w:before="0" w:after="0" w:line="240" w:lineRule="auto"/>
              <w:ind w:left="384" w:hanging="283"/>
              <w:rPr>
                <w:sz w:val="24"/>
                <w:szCs w:val="24"/>
              </w:rPr>
            </w:pPr>
            <w:r w:rsidRPr="005C2D86">
              <w:rPr>
                <w:sz w:val="24"/>
                <w:szCs w:val="24"/>
              </w:rPr>
              <w:t>EveryMan Australia</w:t>
            </w:r>
          </w:p>
          <w:p w14:paraId="1A28D7D6" w14:textId="7CA17167" w:rsidR="005D60C4" w:rsidRPr="005C2D86" w:rsidRDefault="005D60C4" w:rsidP="005C2D86">
            <w:pPr>
              <w:pStyle w:val="ListParagraph"/>
              <w:numPr>
                <w:ilvl w:val="0"/>
                <w:numId w:val="40"/>
              </w:numPr>
              <w:spacing w:before="0" w:after="0" w:line="240" w:lineRule="auto"/>
              <w:ind w:left="883" w:hanging="284"/>
              <w:rPr>
                <w:sz w:val="24"/>
                <w:szCs w:val="24"/>
              </w:rPr>
            </w:pPr>
            <w:r w:rsidRPr="005C2D86">
              <w:rPr>
                <w:sz w:val="24"/>
                <w:szCs w:val="24"/>
              </w:rPr>
              <w:t>Head Lease Program</w:t>
            </w:r>
          </w:p>
        </w:tc>
        <w:tc>
          <w:tcPr>
            <w:tcW w:w="2501" w:type="pct"/>
          </w:tcPr>
          <w:p w14:paraId="013E6B34" w14:textId="682E0AFA" w:rsidR="005D60C4" w:rsidRPr="005C2D86" w:rsidRDefault="005D60C4" w:rsidP="00CD4ADC">
            <w:pPr>
              <w:rPr>
                <w:sz w:val="24"/>
                <w:szCs w:val="24"/>
              </w:rPr>
            </w:pPr>
            <w:r w:rsidRPr="005C2D86">
              <w:rPr>
                <w:sz w:val="24"/>
                <w:szCs w:val="24"/>
              </w:rPr>
              <w:t>Axial</w:t>
            </w:r>
            <w:r w:rsidR="00807BDD">
              <w:rPr>
                <w:sz w:val="24"/>
                <w:szCs w:val="24"/>
              </w:rPr>
              <w:t xml:space="preserve"> Housing First Program</w:t>
            </w:r>
          </w:p>
          <w:p w14:paraId="63B5F31F" w14:textId="762DB590" w:rsidR="005D60C4" w:rsidRPr="005C2D86" w:rsidRDefault="005D60C4" w:rsidP="00CD4ADC">
            <w:pPr>
              <w:rPr>
                <w:sz w:val="24"/>
                <w:szCs w:val="24"/>
              </w:rPr>
            </w:pPr>
            <w:r w:rsidRPr="005C2D86">
              <w:rPr>
                <w:sz w:val="24"/>
                <w:szCs w:val="24"/>
              </w:rPr>
              <w:t>Head Lease Programs</w:t>
            </w:r>
          </w:p>
        </w:tc>
      </w:tr>
      <w:tr w:rsidR="005D60C4" w:rsidRPr="005C2D86" w14:paraId="1C3E3AB9" w14:textId="77777777" w:rsidTr="005D60C4">
        <w:tc>
          <w:tcPr>
            <w:tcW w:w="2499" w:type="pct"/>
            <w:gridSpan w:val="2"/>
            <w:shd w:val="clear" w:color="auto" w:fill="auto"/>
          </w:tcPr>
          <w:p w14:paraId="60699982" w14:textId="18F762B9" w:rsidR="005D60C4" w:rsidRPr="005C2D86" w:rsidRDefault="005D60C4" w:rsidP="005C2D86">
            <w:pPr>
              <w:pStyle w:val="ListParagraph"/>
              <w:numPr>
                <w:ilvl w:val="0"/>
                <w:numId w:val="34"/>
              </w:numPr>
              <w:spacing w:before="0" w:after="0" w:line="240" w:lineRule="auto"/>
              <w:ind w:left="384" w:hanging="283"/>
              <w:rPr>
                <w:sz w:val="24"/>
                <w:szCs w:val="24"/>
              </w:rPr>
            </w:pPr>
            <w:r w:rsidRPr="005C2D86">
              <w:rPr>
                <w:sz w:val="24"/>
                <w:szCs w:val="24"/>
              </w:rPr>
              <w:t>Woden Community Service</w:t>
            </w:r>
          </w:p>
        </w:tc>
        <w:tc>
          <w:tcPr>
            <w:tcW w:w="2501" w:type="pct"/>
          </w:tcPr>
          <w:p w14:paraId="6D81AEC8" w14:textId="77777777" w:rsidR="005D60C4" w:rsidRDefault="005D60C4" w:rsidP="00643D2F">
            <w:pPr>
              <w:spacing w:before="0" w:after="0" w:line="240" w:lineRule="auto"/>
              <w:ind w:left="101"/>
              <w:rPr>
                <w:sz w:val="24"/>
                <w:szCs w:val="24"/>
              </w:rPr>
            </w:pPr>
            <w:r w:rsidRPr="00643D2F">
              <w:rPr>
                <w:sz w:val="24"/>
                <w:szCs w:val="24"/>
              </w:rPr>
              <w:t>Rough Sleeper Project and Client Support Fund</w:t>
            </w:r>
          </w:p>
          <w:p w14:paraId="4E330890" w14:textId="27C5E227" w:rsidR="00643D2F" w:rsidRPr="00643D2F" w:rsidRDefault="00643D2F" w:rsidP="00643D2F">
            <w:pPr>
              <w:spacing w:before="0" w:after="0" w:line="240" w:lineRule="auto"/>
              <w:ind w:left="101"/>
              <w:rPr>
                <w:sz w:val="24"/>
                <w:szCs w:val="24"/>
              </w:rPr>
            </w:pPr>
          </w:p>
        </w:tc>
      </w:tr>
      <w:tr w:rsidR="007404C9" w:rsidRPr="005C2D86" w14:paraId="3B6858A7" w14:textId="77777777" w:rsidTr="005D60C4">
        <w:tc>
          <w:tcPr>
            <w:tcW w:w="2499" w:type="pct"/>
            <w:gridSpan w:val="2"/>
            <w:shd w:val="clear" w:color="auto" w:fill="auto"/>
          </w:tcPr>
          <w:p w14:paraId="2E4F7789" w14:textId="4E000162" w:rsidR="007404C9" w:rsidRPr="005C2D86" w:rsidRDefault="007404C9" w:rsidP="005C2D86">
            <w:pPr>
              <w:pStyle w:val="ListParagraph"/>
              <w:numPr>
                <w:ilvl w:val="0"/>
                <w:numId w:val="34"/>
              </w:numPr>
              <w:spacing w:before="0" w:after="0" w:line="240" w:lineRule="auto"/>
              <w:ind w:left="384" w:hanging="283"/>
              <w:rPr>
                <w:sz w:val="24"/>
                <w:szCs w:val="24"/>
              </w:rPr>
            </w:pPr>
            <w:r w:rsidRPr="005C2D86">
              <w:rPr>
                <w:sz w:val="24"/>
                <w:szCs w:val="24"/>
              </w:rPr>
              <w:t>Woden Community Service</w:t>
            </w:r>
          </w:p>
        </w:tc>
        <w:tc>
          <w:tcPr>
            <w:tcW w:w="2501" w:type="pct"/>
          </w:tcPr>
          <w:p w14:paraId="08139D15" w14:textId="77777777" w:rsidR="007404C9" w:rsidRDefault="007404C9" w:rsidP="00643D2F">
            <w:pPr>
              <w:spacing w:before="0" w:after="0" w:line="240" w:lineRule="auto"/>
              <w:ind w:left="101"/>
              <w:rPr>
                <w:sz w:val="24"/>
                <w:szCs w:val="24"/>
              </w:rPr>
            </w:pPr>
            <w:r>
              <w:rPr>
                <w:sz w:val="24"/>
                <w:szCs w:val="24"/>
              </w:rPr>
              <w:t>Central Intake Service</w:t>
            </w:r>
          </w:p>
          <w:p w14:paraId="39A99FE8" w14:textId="145378D6" w:rsidR="007404C9" w:rsidRPr="00643D2F" w:rsidRDefault="007404C9" w:rsidP="00643D2F">
            <w:pPr>
              <w:spacing w:before="0" w:after="0" w:line="240" w:lineRule="auto"/>
              <w:ind w:left="101"/>
              <w:rPr>
                <w:sz w:val="24"/>
                <w:szCs w:val="24"/>
              </w:rPr>
            </w:pPr>
          </w:p>
        </w:tc>
      </w:tr>
    </w:tbl>
    <w:p w14:paraId="3A4BF40B" w14:textId="2B75AAB6" w:rsidR="007404C9" w:rsidRDefault="007404C9" w:rsidP="005D60C4">
      <w:pPr>
        <w:spacing w:before="120" w:after="0" w:line="240" w:lineRule="auto"/>
        <w:rPr>
          <w:sz w:val="24"/>
          <w:szCs w:val="24"/>
        </w:rPr>
      </w:pPr>
    </w:p>
    <w:p w14:paraId="5C22DB36" w14:textId="77777777" w:rsidR="007404C9" w:rsidRDefault="007404C9">
      <w:pPr>
        <w:spacing w:before="0" w:after="160" w:line="259" w:lineRule="auto"/>
        <w:rPr>
          <w:sz w:val="24"/>
          <w:szCs w:val="24"/>
        </w:rPr>
      </w:pPr>
      <w:r>
        <w:rPr>
          <w:sz w:val="24"/>
          <w:szCs w:val="24"/>
        </w:rPr>
        <w:br w:type="page"/>
      </w:r>
    </w:p>
    <w:p w14:paraId="2DBC4A28" w14:textId="77777777" w:rsidR="00DC73A9" w:rsidRDefault="00DC73A9" w:rsidP="005D60C4">
      <w:pPr>
        <w:spacing w:before="120" w:after="0" w:line="240" w:lineRule="auto"/>
        <w:rPr>
          <w:sz w:val="24"/>
          <w:szCs w:val="24"/>
        </w:rPr>
      </w:pPr>
    </w:p>
    <w:tbl>
      <w:tblPr>
        <w:tblStyle w:val="TableGrid"/>
        <w:tblW w:w="5000" w:type="pct"/>
        <w:tblLook w:val="04A0" w:firstRow="1" w:lastRow="0" w:firstColumn="1" w:lastColumn="0" w:noHBand="0" w:noVBand="1"/>
      </w:tblPr>
      <w:tblGrid>
        <w:gridCol w:w="7137"/>
        <w:gridCol w:w="6857"/>
      </w:tblGrid>
      <w:tr w:rsidR="00E34593" w:rsidRPr="005C2D86" w14:paraId="06EA6D31" w14:textId="77777777" w:rsidTr="00775D7A">
        <w:trPr>
          <w:trHeight w:val="438"/>
        </w:trPr>
        <w:tc>
          <w:tcPr>
            <w:tcW w:w="5000" w:type="pct"/>
            <w:gridSpan w:val="2"/>
            <w:shd w:val="clear" w:color="auto" w:fill="auto"/>
          </w:tcPr>
          <w:p w14:paraId="5B23C932" w14:textId="1FF48C70" w:rsidR="00E34593" w:rsidRPr="005C2D86" w:rsidRDefault="00E34593" w:rsidP="00E34593">
            <w:pPr>
              <w:jc w:val="center"/>
              <w:rPr>
                <w:b/>
                <w:bCs/>
                <w:color w:val="7030A0"/>
                <w:sz w:val="24"/>
                <w:szCs w:val="24"/>
              </w:rPr>
            </w:pPr>
            <w:r>
              <w:rPr>
                <w:b/>
                <w:bCs/>
                <w:color w:val="7030A0"/>
                <w:sz w:val="24"/>
                <w:szCs w:val="24"/>
              </w:rPr>
              <w:t>Identified Service Programs with inve</w:t>
            </w:r>
            <w:r w:rsidRPr="005C2D86">
              <w:rPr>
                <w:b/>
                <w:bCs/>
                <w:color w:val="7030A0"/>
                <w:sz w:val="24"/>
                <w:szCs w:val="24"/>
              </w:rPr>
              <w:t>stment approach</w:t>
            </w:r>
            <w:r>
              <w:rPr>
                <w:b/>
                <w:bCs/>
                <w:color w:val="7030A0"/>
                <w:sz w:val="24"/>
                <w:szCs w:val="24"/>
              </w:rPr>
              <w:t>, to be confirmed</w:t>
            </w:r>
            <w:r w:rsidRPr="005C2D86">
              <w:rPr>
                <w:b/>
                <w:bCs/>
                <w:color w:val="7030A0"/>
                <w:sz w:val="24"/>
                <w:szCs w:val="24"/>
              </w:rPr>
              <w:t>.</w:t>
            </w:r>
          </w:p>
        </w:tc>
      </w:tr>
      <w:tr w:rsidR="00E34593" w:rsidRPr="005C2D86" w14:paraId="0DA0806C" w14:textId="77777777" w:rsidTr="00775D7A">
        <w:trPr>
          <w:trHeight w:val="438"/>
        </w:trPr>
        <w:tc>
          <w:tcPr>
            <w:tcW w:w="2550" w:type="pct"/>
            <w:shd w:val="clear" w:color="auto" w:fill="auto"/>
          </w:tcPr>
          <w:p w14:paraId="6A6BA519" w14:textId="77777777" w:rsidR="00E34593" w:rsidRPr="005C2D86" w:rsidRDefault="00E34593" w:rsidP="00CD4ADC">
            <w:pPr>
              <w:jc w:val="center"/>
              <w:rPr>
                <w:b/>
                <w:bCs/>
                <w:color w:val="7030A0"/>
                <w:sz w:val="24"/>
                <w:szCs w:val="24"/>
              </w:rPr>
            </w:pPr>
            <w:r w:rsidRPr="005C2D86">
              <w:rPr>
                <w:b/>
                <w:bCs/>
                <w:color w:val="7030A0"/>
                <w:sz w:val="24"/>
                <w:szCs w:val="24"/>
              </w:rPr>
              <w:t>Impacted</w:t>
            </w:r>
          </w:p>
        </w:tc>
        <w:tc>
          <w:tcPr>
            <w:tcW w:w="2450" w:type="pct"/>
          </w:tcPr>
          <w:p w14:paraId="3EA9A80B" w14:textId="77777777" w:rsidR="00E34593" w:rsidRPr="005C2D86" w:rsidRDefault="00E34593" w:rsidP="00CD4ADC">
            <w:pPr>
              <w:jc w:val="center"/>
              <w:rPr>
                <w:b/>
                <w:bCs/>
                <w:color w:val="7030A0"/>
                <w:sz w:val="24"/>
                <w:szCs w:val="24"/>
              </w:rPr>
            </w:pPr>
            <w:r w:rsidRPr="005C2D86">
              <w:rPr>
                <w:b/>
                <w:bCs/>
                <w:color w:val="7030A0"/>
                <w:sz w:val="24"/>
                <w:szCs w:val="24"/>
              </w:rPr>
              <w:t>New Service</w:t>
            </w:r>
          </w:p>
        </w:tc>
      </w:tr>
      <w:tr w:rsidR="00E34593" w:rsidRPr="005C2D86" w14:paraId="4E873B99" w14:textId="77777777" w:rsidTr="00775D7A">
        <w:tc>
          <w:tcPr>
            <w:tcW w:w="2550" w:type="pct"/>
            <w:shd w:val="clear" w:color="auto" w:fill="auto"/>
          </w:tcPr>
          <w:p w14:paraId="08A5DE42" w14:textId="77777777" w:rsidR="00E34593" w:rsidRPr="005C2D86" w:rsidRDefault="00E34593" w:rsidP="00CD4ADC">
            <w:pPr>
              <w:pStyle w:val="ListParagraph"/>
              <w:numPr>
                <w:ilvl w:val="0"/>
                <w:numId w:val="35"/>
              </w:numPr>
              <w:spacing w:before="0" w:after="0" w:line="240" w:lineRule="auto"/>
              <w:ind w:left="511" w:hanging="283"/>
              <w:rPr>
                <w:sz w:val="24"/>
                <w:szCs w:val="24"/>
              </w:rPr>
            </w:pPr>
            <w:r w:rsidRPr="005C2D86">
              <w:rPr>
                <w:sz w:val="24"/>
                <w:szCs w:val="24"/>
              </w:rPr>
              <w:t>CatholicCare</w:t>
            </w:r>
          </w:p>
          <w:p w14:paraId="5E4C46BE" w14:textId="77777777" w:rsidR="00E34593" w:rsidRPr="005C2D86" w:rsidRDefault="00E34593" w:rsidP="00CD4ADC">
            <w:pPr>
              <w:pStyle w:val="ListParagraph"/>
              <w:numPr>
                <w:ilvl w:val="0"/>
                <w:numId w:val="40"/>
              </w:numPr>
              <w:spacing w:before="0" w:after="0" w:line="240" w:lineRule="auto"/>
              <w:ind w:left="883" w:hanging="284"/>
              <w:rPr>
                <w:sz w:val="24"/>
                <w:szCs w:val="24"/>
              </w:rPr>
            </w:pPr>
            <w:proofErr w:type="spellStart"/>
            <w:r w:rsidRPr="005C2D86">
              <w:rPr>
                <w:sz w:val="24"/>
                <w:szCs w:val="24"/>
              </w:rPr>
              <w:t>Minosa</w:t>
            </w:r>
            <w:proofErr w:type="spellEnd"/>
            <w:r w:rsidRPr="005C2D86">
              <w:rPr>
                <w:sz w:val="24"/>
                <w:szCs w:val="24"/>
              </w:rPr>
              <w:t xml:space="preserve"> House and ASSIST</w:t>
            </w:r>
          </w:p>
          <w:p w14:paraId="2F42CCC7" w14:textId="77777777" w:rsidR="00E34593" w:rsidRPr="005C2D86" w:rsidRDefault="00E34593" w:rsidP="00CD4ADC">
            <w:pPr>
              <w:pStyle w:val="ListParagraph"/>
              <w:numPr>
                <w:ilvl w:val="0"/>
                <w:numId w:val="35"/>
              </w:numPr>
              <w:spacing w:before="0" w:after="0" w:line="240" w:lineRule="auto"/>
              <w:ind w:left="511" w:hanging="283"/>
              <w:rPr>
                <w:sz w:val="24"/>
                <w:szCs w:val="24"/>
              </w:rPr>
            </w:pPr>
            <w:r w:rsidRPr="005C2D86">
              <w:rPr>
                <w:sz w:val="24"/>
                <w:szCs w:val="24"/>
              </w:rPr>
              <w:t>St Vincent De Paul</w:t>
            </w:r>
          </w:p>
          <w:p w14:paraId="30B6BB65" w14:textId="77777777" w:rsidR="00E34593" w:rsidRPr="005C2D86" w:rsidRDefault="00E34593" w:rsidP="00CD4ADC">
            <w:pPr>
              <w:pStyle w:val="ListParagraph"/>
              <w:numPr>
                <w:ilvl w:val="0"/>
                <w:numId w:val="40"/>
              </w:numPr>
              <w:spacing w:before="0" w:after="0" w:line="240" w:lineRule="auto"/>
              <w:ind w:left="883" w:hanging="284"/>
              <w:rPr>
                <w:sz w:val="24"/>
                <w:szCs w:val="24"/>
              </w:rPr>
            </w:pPr>
            <w:r w:rsidRPr="005C2D86">
              <w:rPr>
                <w:sz w:val="24"/>
                <w:szCs w:val="24"/>
              </w:rPr>
              <w:t>Samaritan House</w:t>
            </w:r>
          </w:p>
          <w:p w14:paraId="6D3FE802" w14:textId="77777777" w:rsidR="00E34593" w:rsidRPr="005C2D86" w:rsidRDefault="00E34593" w:rsidP="00CD4ADC">
            <w:pPr>
              <w:pStyle w:val="ListParagraph"/>
              <w:numPr>
                <w:ilvl w:val="0"/>
                <w:numId w:val="35"/>
              </w:numPr>
              <w:spacing w:before="0" w:after="0" w:line="240" w:lineRule="auto"/>
              <w:ind w:left="511" w:hanging="283"/>
              <w:rPr>
                <w:sz w:val="24"/>
                <w:szCs w:val="24"/>
              </w:rPr>
            </w:pPr>
            <w:r w:rsidRPr="005C2D86">
              <w:rPr>
                <w:sz w:val="24"/>
                <w:szCs w:val="24"/>
              </w:rPr>
              <w:t>EveryMan Australia</w:t>
            </w:r>
          </w:p>
          <w:p w14:paraId="47B47828" w14:textId="118E670C" w:rsidR="00E34593" w:rsidRPr="00E34593" w:rsidRDefault="00E34593" w:rsidP="00CD1474">
            <w:pPr>
              <w:pStyle w:val="ListParagraph"/>
              <w:numPr>
                <w:ilvl w:val="0"/>
                <w:numId w:val="40"/>
              </w:numPr>
              <w:spacing w:before="0" w:after="0" w:line="240" w:lineRule="auto"/>
              <w:ind w:left="883" w:hanging="284"/>
              <w:rPr>
                <w:sz w:val="24"/>
                <w:szCs w:val="24"/>
              </w:rPr>
            </w:pPr>
            <w:r w:rsidRPr="005C2D86">
              <w:rPr>
                <w:sz w:val="24"/>
                <w:szCs w:val="24"/>
              </w:rPr>
              <w:t>Early Intervention Program</w:t>
            </w:r>
          </w:p>
        </w:tc>
        <w:tc>
          <w:tcPr>
            <w:tcW w:w="2450" w:type="pct"/>
          </w:tcPr>
          <w:p w14:paraId="717271DE" w14:textId="77777777" w:rsidR="00E34593" w:rsidRPr="005C2D86" w:rsidRDefault="00E34593" w:rsidP="00CD4ADC">
            <w:pPr>
              <w:rPr>
                <w:sz w:val="24"/>
                <w:szCs w:val="24"/>
              </w:rPr>
            </w:pPr>
            <w:r w:rsidRPr="005C2D86">
              <w:rPr>
                <w:sz w:val="24"/>
                <w:szCs w:val="24"/>
              </w:rPr>
              <w:t>Tenancy/Property Management and Support Services for Men</w:t>
            </w:r>
          </w:p>
        </w:tc>
      </w:tr>
      <w:tr w:rsidR="00E34593" w:rsidRPr="005C2D86" w14:paraId="11CC0546" w14:textId="77777777" w:rsidTr="00775D7A">
        <w:tc>
          <w:tcPr>
            <w:tcW w:w="2550" w:type="pct"/>
            <w:shd w:val="clear" w:color="auto" w:fill="auto"/>
          </w:tcPr>
          <w:p w14:paraId="0BC70B6A" w14:textId="77777777" w:rsidR="00E34593" w:rsidRDefault="00E34593" w:rsidP="00CD4ADC">
            <w:pPr>
              <w:pStyle w:val="ListParagraph"/>
              <w:numPr>
                <w:ilvl w:val="0"/>
                <w:numId w:val="34"/>
              </w:numPr>
              <w:spacing w:before="0" w:after="0" w:line="240" w:lineRule="auto"/>
              <w:ind w:left="384" w:hanging="283"/>
              <w:rPr>
                <w:sz w:val="24"/>
                <w:szCs w:val="24"/>
              </w:rPr>
            </w:pPr>
            <w:r>
              <w:rPr>
                <w:sz w:val="24"/>
                <w:szCs w:val="24"/>
              </w:rPr>
              <w:t>St Vincent De Paul</w:t>
            </w:r>
          </w:p>
          <w:p w14:paraId="6E0D8C11" w14:textId="77777777" w:rsidR="00E34593" w:rsidRDefault="00E34593" w:rsidP="00CD4ADC">
            <w:pPr>
              <w:pStyle w:val="ListParagraph"/>
              <w:numPr>
                <w:ilvl w:val="0"/>
                <w:numId w:val="40"/>
              </w:numPr>
              <w:spacing w:before="0" w:after="0" w:line="240" w:lineRule="auto"/>
              <w:ind w:left="883" w:hanging="284"/>
              <w:rPr>
                <w:sz w:val="24"/>
                <w:szCs w:val="24"/>
              </w:rPr>
            </w:pPr>
            <w:r>
              <w:rPr>
                <w:sz w:val="24"/>
                <w:szCs w:val="24"/>
              </w:rPr>
              <w:t>Blue Door</w:t>
            </w:r>
          </w:p>
          <w:p w14:paraId="18C3489C" w14:textId="77777777" w:rsidR="00E34593" w:rsidRDefault="00E34593" w:rsidP="00CD4ADC">
            <w:pPr>
              <w:pStyle w:val="ListParagraph"/>
              <w:numPr>
                <w:ilvl w:val="0"/>
                <w:numId w:val="34"/>
              </w:numPr>
              <w:spacing w:before="0" w:after="0" w:line="240" w:lineRule="auto"/>
              <w:ind w:left="384" w:hanging="283"/>
              <w:rPr>
                <w:sz w:val="24"/>
                <w:szCs w:val="24"/>
              </w:rPr>
            </w:pPr>
            <w:r>
              <w:rPr>
                <w:sz w:val="24"/>
                <w:szCs w:val="24"/>
              </w:rPr>
              <w:t>Australian Red Cross</w:t>
            </w:r>
          </w:p>
          <w:p w14:paraId="16C559D2" w14:textId="3E4BAA0E" w:rsidR="00E34593" w:rsidRDefault="00E34593" w:rsidP="00CD4ADC">
            <w:pPr>
              <w:pStyle w:val="ListParagraph"/>
              <w:numPr>
                <w:ilvl w:val="0"/>
                <w:numId w:val="40"/>
              </w:numPr>
              <w:spacing w:before="0" w:after="0" w:line="240" w:lineRule="auto"/>
              <w:ind w:left="883" w:hanging="284"/>
              <w:rPr>
                <w:sz w:val="24"/>
                <w:szCs w:val="24"/>
              </w:rPr>
            </w:pPr>
            <w:r>
              <w:rPr>
                <w:sz w:val="24"/>
                <w:szCs w:val="24"/>
              </w:rPr>
              <w:t>Roadhouse program</w:t>
            </w:r>
            <w:r w:rsidR="00D97084">
              <w:rPr>
                <w:sz w:val="24"/>
                <w:szCs w:val="24"/>
              </w:rPr>
              <w:t xml:space="preserve"> and </w:t>
            </w:r>
            <w:r w:rsidR="003B6335">
              <w:rPr>
                <w:sz w:val="24"/>
                <w:szCs w:val="24"/>
              </w:rPr>
              <w:t>S</w:t>
            </w:r>
            <w:r w:rsidR="00D97084">
              <w:rPr>
                <w:sz w:val="24"/>
                <w:szCs w:val="24"/>
              </w:rPr>
              <w:t xml:space="preserve">oup </w:t>
            </w:r>
            <w:r w:rsidR="003B6335">
              <w:rPr>
                <w:sz w:val="24"/>
                <w:szCs w:val="24"/>
              </w:rPr>
              <w:t>K</w:t>
            </w:r>
            <w:r w:rsidR="00D97084">
              <w:rPr>
                <w:sz w:val="24"/>
                <w:szCs w:val="24"/>
              </w:rPr>
              <w:t>itchen</w:t>
            </w:r>
          </w:p>
          <w:p w14:paraId="2C139C44" w14:textId="77777777" w:rsidR="00E34593" w:rsidRDefault="00E34593" w:rsidP="00CD4ADC">
            <w:pPr>
              <w:pStyle w:val="ListParagraph"/>
              <w:numPr>
                <w:ilvl w:val="0"/>
                <w:numId w:val="34"/>
              </w:numPr>
              <w:spacing w:before="0" w:after="0" w:line="240" w:lineRule="auto"/>
              <w:ind w:left="384" w:hanging="283"/>
              <w:rPr>
                <w:sz w:val="24"/>
                <w:szCs w:val="24"/>
              </w:rPr>
            </w:pPr>
            <w:r>
              <w:rPr>
                <w:sz w:val="24"/>
                <w:szCs w:val="24"/>
              </w:rPr>
              <w:t>Hare Krishna</w:t>
            </w:r>
          </w:p>
          <w:p w14:paraId="7B1AD9D7" w14:textId="49ADBE6A" w:rsidR="00E34593" w:rsidRPr="005C2D86" w:rsidRDefault="00E34593" w:rsidP="00775D7A">
            <w:pPr>
              <w:pStyle w:val="ListParagraph"/>
              <w:numPr>
                <w:ilvl w:val="0"/>
                <w:numId w:val="40"/>
              </w:numPr>
              <w:spacing w:before="0" w:after="0" w:line="240" w:lineRule="auto"/>
              <w:ind w:left="883" w:hanging="284"/>
              <w:rPr>
                <w:sz w:val="24"/>
                <w:szCs w:val="24"/>
              </w:rPr>
            </w:pPr>
            <w:r>
              <w:rPr>
                <w:sz w:val="24"/>
                <w:szCs w:val="24"/>
              </w:rPr>
              <w:t>Food for Life Program</w:t>
            </w:r>
          </w:p>
        </w:tc>
        <w:tc>
          <w:tcPr>
            <w:tcW w:w="2450" w:type="pct"/>
          </w:tcPr>
          <w:p w14:paraId="3CCD15D9" w14:textId="684D0AB5" w:rsidR="00D70B0E" w:rsidRDefault="00E34593" w:rsidP="00CD4ADC">
            <w:pPr>
              <w:rPr>
                <w:sz w:val="24"/>
                <w:szCs w:val="24"/>
              </w:rPr>
            </w:pPr>
            <w:r>
              <w:rPr>
                <w:sz w:val="24"/>
                <w:szCs w:val="24"/>
              </w:rPr>
              <w:t>Food and Engagement Services</w:t>
            </w:r>
            <w:r w:rsidR="00AC653C">
              <w:rPr>
                <w:sz w:val="24"/>
                <w:szCs w:val="24"/>
              </w:rPr>
              <w:t xml:space="preserve">.  St Vincent de Paul </w:t>
            </w:r>
            <w:r w:rsidR="00D70B0E">
              <w:rPr>
                <w:sz w:val="24"/>
                <w:szCs w:val="24"/>
              </w:rPr>
              <w:t>commenced delivering Roadhouse Program 1 October 2023.</w:t>
            </w:r>
          </w:p>
          <w:p w14:paraId="50240B22" w14:textId="6E14A253" w:rsidR="00607E43" w:rsidRPr="005C2D86" w:rsidRDefault="00607E43" w:rsidP="00CD4ADC">
            <w:pPr>
              <w:rPr>
                <w:sz w:val="24"/>
                <w:szCs w:val="24"/>
              </w:rPr>
            </w:pPr>
            <w:r>
              <w:rPr>
                <w:sz w:val="24"/>
                <w:szCs w:val="24"/>
              </w:rPr>
              <w:t>Further consideration of funding and co-design will be held with the Sector to determine any other service gaps with food and engagement services.</w:t>
            </w:r>
            <w:r w:rsidR="00C935A1">
              <w:rPr>
                <w:sz w:val="24"/>
                <w:szCs w:val="24"/>
              </w:rPr>
              <w:t xml:space="preserve">  Further information will be provided </w:t>
            </w:r>
            <w:proofErr w:type="gramStart"/>
            <w:r w:rsidR="00C935A1">
              <w:rPr>
                <w:sz w:val="24"/>
                <w:szCs w:val="24"/>
              </w:rPr>
              <w:t>at a later date</w:t>
            </w:r>
            <w:proofErr w:type="gramEnd"/>
            <w:r w:rsidR="00C935A1">
              <w:rPr>
                <w:sz w:val="24"/>
                <w:szCs w:val="24"/>
              </w:rPr>
              <w:t>.</w:t>
            </w:r>
          </w:p>
        </w:tc>
      </w:tr>
    </w:tbl>
    <w:p w14:paraId="7B074634" w14:textId="77777777" w:rsidR="00C35709" w:rsidRDefault="00C35709" w:rsidP="005D60C4">
      <w:pPr>
        <w:spacing w:before="120" w:after="0" w:line="240" w:lineRule="auto"/>
        <w:rPr>
          <w:sz w:val="24"/>
          <w:szCs w:val="24"/>
        </w:rPr>
        <w:sectPr w:rsidR="00C35709" w:rsidSect="00DC73A9">
          <w:pgSz w:w="16840" w:h="11907" w:orient="landscape" w:code="9"/>
          <w:pgMar w:top="1134" w:right="1134" w:bottom="1134" w:left="1702" w:header="567" w:footer="254" w:gutter="0"/>
          <w:cols w:space="720"/>
          <w:docGrid w:linePitch="299"/>
        </w:sectPr>
      </w:pPr>
    </w:p>
    <w:p w14:paraId="290782C9" w14:textId="5E300469" w:rsidR="00C35709" w:rsidRPr="00FE0085" w:rsidRDefault="00B329D3" w:rsidP="00B329D3">
      <w:pPr>
        <w:pStyle w:val="Heading1"/>
      </w:pPr>
      <w:r>
        <w:lastRenderedPageBreak/>
        <w:t xml:space="preserve">What is a </w:t>
      </w:r>
      <w:r w:rsidR="00C35709">
        <w:t>Secure Local Jobs Certification</w:t>
      </w:r>
      <w:r>
        <w:t xml:space="preserve"> and why do we need to get one?</w:t>
      </w:r>
      <w:r w:rsidR="00C35709">
        <w:tab/>
      </w:r>
    </w:p>
    <w:p w14:paraId="237076AB" w14:textId="1C87556A" w:rsidR="00B329D3" w:rsidRPr="005A3B8F" w:rsidRDefault="00C35709" w:rsidP="00C35709">
      <w:pPr>
        <w:rPr>
          <w:rFonts w:asciiTheme="minorHAnsi" w:hAnsiTheme="minorHAnsi" w:cstheme="minorHAnsi"/>
          <w:color w:val="313131"/>
          <w:sz w:val="24"/>
          <w:szCs w:val="24"/>
        </w:rPr>
      </w:pPr>
      <w:r w:rsidRPr="005A3B8F">
        <w:rPr>
          <w:rFonts w:asciiTheme="minorHAnsi" w:hAnsiTheme="minorHAnsi" w:cstheme="minorHAnsi"/>
          <w:color w:val="313131"/>
          <w:sz w:val="24"/>
          <w:szCs w:val="24"/>
        </w:rPr>
        <w:t>The Secure Local Jobs Code applies to businesses undertaking </w:t>
      </w:r>
      <w:r w:rsidRPr="005A3B8F">
        <w:rPr>
          <w:rFonts w:asciiTheme="minorHAnsi" w:hAnsiTheme="minorHAnsi" w:cstheme="minorHAnsi"/>
          <w:color w:val="313131"/>
          <w:sz w:val="24"/>
          <w:szCs w:val="24"/>
          <w:u w:val="single"/>
        </w:rPr>
        <w:t>works of any value</w:t>
      </w:r>
      <w:r w:rsidRPr="005A3B8F">
        <w:rPr>
          <w:rFonts w:asciiTheme="minorHAnsi" w:hAnsiTheme="minorHAnsi" w:cstheme="minorHAnsi"/>
          <w:color w:val="313131"/>
          <w:sz w:val="24"/>
          <w:szCs w:val="24"/>
        </w:rPr>
        <w:t xml:space="preserve"> for construction, cleaning, security, traffic management and services.  </w:t>
      </w:r>
    </w:p>
    <w:p w14:paraId="2B9EAE06" w14:textId="073BFD48" w:rsidR="00C35709" w:rsidRPr="005A3B8F" w:rsidRDefault="00C35709" w:rsidP="00C35709">
      <w:pPr>
        <w:rPr>
          <w:rFonts w:asciiTheme="minorHAnsi" w:hAnsiTheme="minorHAnsi" w:cstheme="minorHAnsi"/>
          <w:color w:val="313131"/>
          <w:sz w:val="24"/>
          <w:szCs w:val="24"/>
        </w:rPr>
      </w:pPr>
      <w:r w:rsidRPr="005A3B8F">
        <w:rPr>
          <w:rFonts w:asciiTheme="minorHAnsi" w:hAnsiTheme="minorHAnsi" w:cstheme="minorHAnsi"/>
          <w:color w:val="313131"/>
          <w:sz w:val="24"/>
          <w:szCs w:val="24"/>
        </w:rPr>
        <w:t>Additionally, the Code also applies to procurements over $200,000 for services or works (other than those listed as excluded services or works), where labour is the highest cost to the ACT Government.</w:t>
      </w:r>
    </w:p>
    <w:p w14:paraId="0186F5F3" w14:textId="77777777" w:rsidR="00C35709" w:rsidRPr="005A3B8F" w:rsidRDefault="00C35709" w:rsidP="00C35709">
      <w:pPr>
        <w:rPr>
          <w:rFonts w:asciiTheme="minorHAnsi" w:hAnsiTheme="minorHAnsi" w:cstheme="minorHAnsi"/>
          <w:color w:val="313131"/>
          <w:sz w:val="24"/>
          <w:szCs w:val="24"/>
        </w:rPr>
      </w:pPr>
      <w:r w:rsidRPr="005A3B8F">
        <w:rPr>
          <w:rFonts w:asciiTheme="minorHAnsi" w:hAnsiTheme="minorHAnsi" w:cstheme="minorHAnsi"/>
          <w:color w:val="313131"/>
          <w:sz w:val="24"/>
          <w:szCs w:val="24"/>
        </w:rPr>
        <w:t>A business is a person or entity trading under an ABN including sole traders, partnerships, trusts and companies.</w:t>
      </w:r>
    </w:p>
    <w:p w14:paraId="087C5232" w14:textId="084CD9A5" w:rsidR="00B329D3" w:rsidRPr="005A3B8F" w:rsidRDefault="00C35709" w:rsidP="00C35709">
      <w:pPr>
        <w:rPr>
          <w:rFonts w:asciiTheme="minorHAnsi" w:hAnsiTheme="minorHAnsi" w:cstheme="minorHAnsi"/>
          <w:color w:val="313131"/>
          <w:sz w:val="24"/>
          <w:szCs w:val="24"/>
        </w:rPr>
      </w:pPr>
      <w:r w:rsidRPr="005A3B8F">
        <w:rPr>
          <w:rFonts w:asciiTheme="minorHAnsi" w:hAnsiTheme="minorHAnsi" w:cstheme="minorHAnsi"/>
          <w:color w:val="313131"/>
          <w:sz w:val="24"/>
          <w:szCs w:val="24"/>
        </w:rPr>
        <w:t xml:space="preserve">You may need a Code Certificate before you </w:t>
      </w:r>
      <w:r w:rsidR="00B329D3" w:rsidRPr="005A3B8F">
        <w:rPr>
          <w:rFonts w:asciiTheme="minorHAnsi" w:hAnsiTheme="minorHAnsi" w:cstheme="minorHAnsi"/>
          <w:color w:val="313131"/>
          <w:sz w:val="24"/>
          <w:szCs w:val="24"/>
        </w:rPr>
        <w:t xml:space="preserve">submit your tender or quote, </w:t>
      </w:r>
      <w:r w:rsidRPr="005A3B8F">
        <w:rPr>
          <w:rFonts w:asciiTheme="minorHAnsi" w:hAnsiTheme="minorHAnsi" w:cstheme="minorHAnsi"/>
          <w:color w:val="313131"/>
          <w:sz w:val="24"/>
          <w:szCs w:val="24"/>
        </w:rPr>
        <w:t xml:space="preserve">and for the duration of </w:t>
      </w:r>
      <w:r w:rsidR="00B329D3" w:rsidRPr="005A3B8F">
        <w:rPr>
          <w:rFonts w:asciiTheme="minorHAnsi" w:hAnsiTheme="minorHAnsi" w:cstheme="minorHAnsi"/>
          <w:color w:val="313131"/>
          <w:sz w:val="24"/>
          <w:szCs w:val="24"/>
        </w:rPr>
        <w:t>your service delivery</w:t>
      </w:r>
      <w:r w:rsidRPr="005A3B8F">
        <w:rPr>
          <w:rFonts w:asciiTheme="minorHAnsi" w:hAnsiTheme="minorHAnsi" w:cstheme="minorHAnsi"/>
          <w:color w:val="313131"/>
          <w:sz w:val="24"/>
          <w:szCs w:val="24"/>
        </w:rPr>
        <w:t>. A Code Certificate confirms your business meets the standards in the </w:t>
      </w:r>
      <w:hyperlink r:id="rId26" w:tgtFrame="_blank" w:tooltip="Secure Local Jobs Code" w:history="1">
        <w:r w:rsidRPr="005A3B8F">
          <w:rPr>
            <w:rStyle w:val="Hyperlink"/>
            <w:rFonts w:asciiTheme="minorHAnsi" w:hAnsiTheme="minorHAnsi" w:cstheme="minorHAnsi"/>
            <w:color w:val="313131"/>
            <w:sz w:val="24"/>
            <w:szCs w:val="24"/>
          </w:rPr>
          <w:t>Secure Local Jobs Code</w:t>
        </w:r>
      </w:hyperlink>
      <w:r w:rsidRPr="005A3B8F">
        <w:rPr>
          <w:rFonts w:asciiTheme="minorHAnsi" w:hAnsiTheme="minorHAnsi" w:cstheme="minorHAnsi"/>
          <w:color w:val="313131"/>
          <w:sz w:val="24"/>
          <w:szCs w:val="24"/>
        </w:rPr>
        <w:t xml:space="preserve">. </w:t>
      </w:r>
    </w:p>
    <w:p w14:paraId="31960F9E" w14:textId="7AE4C163" w:rsidR="00C35709" w:rsidRPr="005A3B8F" w:rsidRDefault="00C35709" w:rsidP="00C35709">
      <w:pPr>
        <w:rPr>
          <w:rFonts w:asciiTheme="minorHAnsi" w:hAnsiTheme="minorHAnsi" w:cstheme="minorHAnsi"/>
          <w:b/>
          <w:bCs/>
          <w:color w:val="313131"/>
          <w:sz w:val="24"/>
          <w:szCs w:val="24"/>
        </w:rPr>
      </w:pPr>
      <w:r w:rsidRPr="005A3B8F">
        <w:rPr>
          <w:rFonts w:asciiTheme="minorHAnsi" w:hAnsiTheme="minorHAnsi" w:cstheme="minorHAnsi"/>
          <w:b/>
          <w:bCs/>
          <w:color w:val="313131"/>
          <w:sz w:val="24"/>
          <w:szCs w:val="24"/>
        </w:rPr>
        <w:t xml:space="preserve">If you </w:t>
      </w:r>
      <w:r w:rsidR="005A3B8F" w:rsidRPr="005A3B8F">
        <w:rPr>
          <w:rFonts w:asciiTheme="minorHAnsi" w:hAnsiTheme="minorHAnsi" w:cstheme="minorHAnsi"/>
          <w:b/>
          <w:bCs/>
          <w:color w:val="313131"/>
          <w:sz w:val="24"/>
          <w:szCs w:val="24"/>
        </w:rPr>
        <w:t>do not</w:t>
      </w:r>
      <w:r w:rsidRPr="005A3B8F">
        <w:rPr>
          <w:rFonts w:asciiTheme="minorHAnsi" w:hAnsiTheme="minorHAnsi" w:cstheme="minorHAnsi"/>
          <w:b/>
          <w:bCs/>
          <w:color w:val="313131"/>
          <w:sz w:val="24"/>
          <w:szCs w:val="24"/>
        </w:rPr>
        <w:t xml:space="preserve"> have a Code Certificate</w:t>
      </w:r>
      <w:r w:rsidR="00B329D3" w:rsidRPr="005A3B8F">
        <w:rPr>
          <w:rFonts w:asciiTheme="minorHAnsi" w:hAnsiTheme="minorHAnsi" w:cstheme="minorHAnsi"/>
          <w:b/>
          <w:bCs/>
          <w:color w:val="313131"/>
          <w:sz w:val="24"/>
          <w:szCs w:val="24"/>
        </w:rPr>
        <w:t xml:space="preserve"> and are required to have one</w:t>
      </w:r>
      <w:r w:rsidRPr="005A3B8F">
        <w:rPr>
          <w:rFonts w:asciiTheme="minorHAnsi" w:hAnsiTheme="minorHAnsi" w:cstheme="minorHAnsi"/>
          <w:b/>
          <w:bCs/>
          <w:color w:val="313131"/>
          <w:sz w:val="24"/>
          <w:szCs w:val="24"/>
        </w:rPr>
        <w:t>, we cannot accept your tender or quote.</w:t>
      </w:r>
    </w:p>
    <w:p w14:paraId="62B79098" w14:textId="7566A887" w:rsidR="00C35709" w:rsidRPr="005A3B8F" w:rsidRDefault="00C35709" w:rsidP="00607E43">
      <w:pPr>
        <w:rPr>
          <w:rFonts w:asciiTheme="minorHAnsi" w:hAnsiTheme="minorHAnsi" w:cstheme="minorHAnsi"/>
          <w:color w:val="313131"/>
          <w:sz w:val="24"/>
          <w:szCs w:val="24"/>
        </w:rPr>
      </w:pPr>
      <w:r w:rsidRPr="005A3B8F">
        <w:rPr>
          <w:rFonts w:asciiTheme="minorHAnsi" w:hAnsiTheme="minorHAnsi" w:cstheme="minorHAnsi"/>
          <w:color w:val="313131"/>
          <w:sz w:val="24"/>
          <w:szCs w:val="24"/>
        </w:rPr>
        <w:t xml:space="preserve">You will also be required to complete a Labour Relations, Training and Workplace Equity Plan in consultation with your employees for cleaning, </w:t>
      </w:r>
      <w:proofErr w:type="gramStart"/>
      <w:r w:rsidRPr="005A3B8F">
        <w:rPr>
          <w:rFonts w:asciiTheme="minorHAnsi" w:hAnsiTheme="minorHAnsi" w:cstheme="minorHAnsi"/>
          <w:color w:val="313131"/>
          <w:sz w:val="24"/>
          <w:szCs w:val="24"/>
        </w:rPr>
        <w:t>security</w:t>
      </w:r>
      <w:proofErr w:type="gramEnd"/>
      <w:r w:rsidRPr="005A3B8F">
        <w:rPr>
          <w:rFonts w:asciiTheme="minorHAnsi" w:hAnsiTheme="minorHAnsi" w:cstheme="minorHAnsi"/>
          <w:color w:val="313131"/>
          <w:sz w:val="24"/>
          <w:szCs w:val="24"/>
        </w:rPr>
        <w:t xml:space="preserve"> or traffic</w:t>
      </w:r>
      <w:r w:rsidR="009E79DD">
        <w:rPr>
          <w:rFonts w:asciiTheme="minorHAnsi" w:hAnsiTheme="minorHAnsi" w:cstheme="minorHAnsi"/>
          <w:color w:val="313131"/>
          <w:sz w:val="24"/>
          <w:szCs w:val="24"/>
        </w:rPr>
        <w:t>.</w:t>
      </w:r>
      <w:r w:rsidRPr="005A3B8F">
        <w:rPr>
          <w:rFonts w:asciiTheme="minorHAnsi" w:hAnsiTheme="minorHAnsi" w:cstheme="minorHAnsi"/>
          <w:color w:val="313131"/>
          <w:sz w:val="24"/>
          <w:szCs w:val="24"/>
        </w:rPr>
        <w:t xml:space="preserve"> </w:t>
      </w:r>
    </w:p>
    <w:p w14:paraId="1A07062C" w14:textId="78B2F843" w:rsidR="005A3B8F" w:rsidRPr="00C051BB" w:rsidRDefault="005A3B8F" w:rsidP="005A3B8F">
      <w:pPr>
        <w:pStyle w:val="Heading1"/>
      </w:pPr>
      <w:r>
        <w:t>Co-Design Update</w:t>
      </w:r>
    </w:p>
    <w:p w14:paraId="2F07827C" w14:textId="77777777" w:rsidR="005A3B8F" w:rsidRPr="005A3B8F" w:rsidRDefault="005A3B8F" w:rsidP="005A3B8F">
      <w:pPr>
        <w:rPr>
          <w:rFonts w:ascii="Source Sans Pro" w:hAnsi="Source Sans Pro"/>
          <w:b/>
          <w:bCs/>
          <w:color w:val="7030A0"/>
          <w:sz w:val="27"/>
          <w:szCs w:val="27"/>
          <w:u w:val="single"/>
        </w:rPr>
      </w:pPr>
      <w:r w:rsidRPr="005A3B8F">
        <w:rPr>
          <w:rFonts w:ascii="Source Sans Pro" w:hAnsi="Source Sans Pro"/>
          <w:b/>
          <w:bCs/>
          <w:color w:val="7030A0"/>
          <w:sz w:val="27"/>
          <w:szCs w:val="27"/>
          <w:u w:val="single"/>
        </w:rPr>
        <w:t xml:space="preserve">Clients with high and complex support requirements. </w:t>
      </w:r>
    </w:p>
    <w:p w14:paraId="11E76B04" w14:textId="77777777" w:rsidR="005A3B8F" w:rsidRPr="005A3B8F" w:rsidRDefault="005A3B8F" w:rsidP="005A3B8F">
      <w:pPr>
        <w:pStyle w:val="ListParagraph"/>
        <w:numPr>
          <w:ilvl w:val="0"/>
          <w:numId w:val="43"/>
        </w:numPr>
        <w:spacing w:before="0" w:after="120"/>
        <w:rPr>
          <w:sz w:val="24"/>
          <w:szCs w:val="22"/>
        </w:rPr>
      </w:pPr>
      <w:r w:rsidRPr="005A3B8F">
        <w:rPr>
          <w:sz w:val="24"/>
          <w:szCs w:val="22"/>
        </w:rPr>
        <w:t xml:space="preserve">Homelessness commissioning identified the need for further co-design in relation to a service model for clients experiencing or at risk of homelessness with high and complex support requirements and/or other barriers. </w:t>
      </w:r>
    </w:p>
    <w:p w14:paraId="7601360B" w14:textId="77777777" w:rsidR="005A3B8F" w:rsidRPr="005A3B8F" w:rsidRDefault="005A3B8F" w:rsidP="005A3B8F">
      <w:pPr>
        <w:numPr>
          <w:ilvl w:val="0"/>
          <w:numId w:val="43"/>
        </w:numPr>
        <w:spacing w:before="0" w:after="120"/>
        <w:rPr>
          <w:sz w:val="24"/>
          <w:szCs w:val="22"/>
        </w:rPr>
      </w:pPr>
      <w:r w:rsidRPr="005A3B8F">
        <w:rPr>
          <w:sz w:val="24"/>
          <w:szCs w:val="22"/>
        </w:rPr>
        <w:t xml:space="preserve">This co-design process has four phases, which commenced with a stakeholder survey distributed to the sector in early June 2023. </w:t>
      </w:r>
    </w:p>
    <w:p w14:paraId="278329AD" w14:textId="77777777" w:rsidR="005A3B8F" w:rsidRPr="005A3B8F" w:rsidRDefault="005A3B8F" w:rsidP="005A3B8F">
      <w:pPr>
        <w:numPr>
          <w:ilvl w:val="0"/>
          <w:numId w:val="43"/>
        </w:numPr>
        <w:spacing w:before="0" w:after="120"/>
        <w:rPr>
          <w:sz w:val="24"/>
          <w:szCs w:val="22"/>
        </w:rPr>
      </w:pPr>
      <w:r w:rsidRPr="005A3B8F">
        <w:rPr>
          <w:sz w:val="24"/>
          <w:szCs w:val="22"/>
        </w:rPr>
        <w:t xml:space="preserve">The findings from the survey have been used to inform the development of two co-design workshops aimed at building essential service delivery elements and outcomes. </w:t>
      </w:r>
    </w:p>
    <w:p w14:paraId="6DE2980E" w14:textId="62DF5848" w:rsidR="005A3B8F" w:rsidRPr="005A3B8F" w:rsidRDefault="005A3B8F" w:rsidP="005A3B8F">
      <w:pPr>
        <w:numPr>
          <w:ilvl w:val="0"/>
          <w:numId w:val="43"/>
        </w:numPr>
        <w:spacing w:before="0" w:after="120"/>
        <w:rPr>
          <w:sz w:val="24"/>
          <w:szCs w:val="22"/>
        </w:rPr>
      </w:pPr>
      <w:r w:rsidRPr="005A3B8F">
        <w:rPr>
          <w:sz w:val="24"/>
          <w:szCs w:val="22"/>
        </w:rPr>
        <w:t xml:space="preserve">The first virtual co -design workshop was held on 19 July 2023 and the second face-to-face workshop was held on 17 August 2023. </w:t>
      </w:r>
    </w:p>
    <w:p w14:paraId="68DA9909" w14:textId="77777777" w:rsidR="00D70B0E" w:rsidRPr="00D70B0E" w:rsidRDefault="00D70B0E" w:rsidP="00D70B0E">
      <w:pPr>
        <w:numPr>
          <w:ilvl w:val="0"/>
          <w:numId w:val="43"/>
        </w:numPr>
        <w:spacing w:before="120" w:after="0" w:line="240" w:lineRule="auto"/>
        <w:rPr>
          <w:b/>
          <w:bCs/>
          <w:sz w:val="24"/>
          <w:szCs w:val="24"/>
        </w:rPr>
      </w:pPr>
      <w:r w:rsidRPr="00D70B0E">
        <w:rPr>
          <w:sz w:val="24"/>
          <w:szCs w:val="22"/>
        </w:rPr>
        <w:t>The final Homelessness complex clients design workshop saw government and sector draft core elements of a statement of needs and service delivery requirements, with the listening report from this activity available soon.  </w:t>
      </w:r>
      <w:r>
        <w:rPr>
          <w:sz w:val="24"/>
          <w:szCs w:val="22"/>
        </w:rPr>
        <w:tab/>
      </w:r>
      <w:r>
        <w:rPr>
          <w:sz w:val="24"/>
          <w:szCs w:val="22"/>
        </w:rPr>
        <w:tab/>
      </w:r>
    </w:p>
    <w:p w14:paraId="4D9C1CE9" w14:textId="7D8EEA73" w:rsidR="00313739" w:rsidRPr="00D70B0E" w:rsidRDefault="00D70B0E" w:rsidP="00502581">
      <w:pPr>
        <w:numPr>
          <w:ilvl w:val="0"/>
          <w:numId w:val="43"/>
        </w:numPr>
        <w:spacing w:before="120" w:after="0" w:line="240" w:lineRule="auto"/>
        <w:rPr>
          <w:b/>
          <w:bCs/>
          <w:sz w:val="24"/>
          <w:szCs w:val="24"/>
        </w:rPr>
      </w:pPr>
      <w:r w:rsidRPr="00D70B0E">
        <w:rPr>
          <w:sz w:val="24"/>
          <w:szCs w:val="22"/>
        </w:rPr>
        <w:t>The input from workshops will support the development of a proposed statement of requirements.</w:t>
      </w:r>
      <w:r w:rsidRPr="00D70B0E">
        <w:rPr>
          <w:sz w:val="24"/>
          <w:szCs w:val="22"/>
        </w:rPr>
        <w:tab/>
      </w:r>
      <w:r w:rsidRPr="00D70B0E">
        <w:rPr>
          <w:sz w:val="24"/>
          <w:szCs w:val="22"/>
        </w:rPr>
        <w:tab/>
      </w:r>
      <w:r w:rsidRPr="00D70B0E">
        <w:rPr>
          <w:sz w:val="24"/>
          <w:szCs w:val="22"/>
        </w:rPr>
        <w:tab/>
      </w:r>
      <w:r w:rsidRPr="00D70B0E">
        <w:rPr>
          <w:sz w:val="24"/>
          <w:szCs w:val="22"/>
        </w:rPr>
        <w:tab/>
      </w:r>
      <w:r w:rsidRPr="00D70B0E">
        <w:rPr>
          <w:sz w:val="24"/>
          <w:szCs w:val="22"/>
        </w:rPr>
        <w:tab/>
      </w:r>
    </w:p>
    <w:sectPr w:rsidR="00313739" w:rsidRPr="00D70B0E" w:rsidSect="00C35709">
      <w:pgSz w:w="11907" w:h="16840" w:code="9"/>
      <w:pgMar w:top="1134" w:right="1134" w:bottom="1702" w:left="1134" w:header="567" w:footer="2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BA339" w14:textId="77777777" w:rsidR="00487380" w:rsidRDefault="00487380">
      <w:pPr>
        <w:spacing w:before="0" w:after="0"/>
      </w:pPr>
      <w:r>
        <w:separator/>
      </w:r>
    </w:p>
    <w:p w14:paraId="5081A55C" w14:textId="77777777" w:rsidR="00487380" w:rsidRDefault="00487380"/>
  </w:endnote>
  <w:endnote w:type="continuationSeparator" w:id="0">
    <w:p w14:paraId="72EA3978" w14:textId="77777777" w:rsidR="00487380" w:rsidRDefault="00487380">
      <w:pPr>
        <w:spacing w:before="0" w:after="0"/>
      </w:pPr>
      <w:r>
        <w:continuationSeparator/>
      </w:r>
    </w:p>
    <w:p w14:paraId="1EABAFE6" w14:textId="77777777" w:rsidR="00487380" w:rsidRDefault="004873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ork Sans Light">
    <w:charset w:val="00"/>
    <w:family w:val="auto"/>
    <w:pitch w:val="variable"/>
    <w:sig w:usb0="A00000FF" w:usb1="5000E07B" w:usb2="00000000" w:usb3="00000000" w:csb0="00000193"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5635842"/>
      <w:docPartObj>
        <w:docPartGallery w:val="Page Numbers (Bottom of Page)"/>
        <w:docPartUnique/>
      </w:docPartObj>
    </w:sdtPr>
    <w:sdtEndPr>
      <w:rPr>
        <w:rStyle w:val="PageNumber"/>
      </w:rPr>
    </w:sdtEndPr>
    <w:sdtContent>
      <w:p w14:paraId="6250DCA5" w14:textId="15CDB356" w:rsidR="000459F7" w:rsidRDefault="000459F7" w:rsidP="00B46B2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AD0C32" w14:textId="77777777" w:rsidR="000459F7" w:rsidRDefault="000459F7" w:rsidP="00D678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138035189"/>
      <w:docPartObj>
        <w:docPartGallery w:val="Page Numbers (Bottom of Page)"/>
        <w:docPartUnique/>
      </w:docPartObj>
    </w:sdtPr>
    <w:sdtEndPr>
      <w:rPr>
        <w:rStyle w:val="PageNumber"/>
      </w:rPr>
    </w:sdtEndPr>
    <w:sdtContent>
      <w:p w14:paraId="362FA08C" w14:textId="7D3A4454" w:rsidR="000459F7" w:rsidRPr="00A50ACF" w:rsidRDefault="000459F7" w:rsidP="004D749A">
        <w:pPr>
          <w:pStyle w:val="Footer"/>
          <w:framePr w:h="586" w:hRule="exact" w:wrap="none" w:vAnchor="text" w:hAnchor="page" w:x="5922" w:y="-193"/>
          <w:rPr>
            <w:rStyle w:val="PageNumber"/>
            <w:sz w:val="16"/>
            <w:szCs w:val="16"/>
          </w:rPr>
        </w:pPr>
        <w:r w:rsidRPr="00A50ACF">
          <w:rPr>
            <w:rStyle w:val="PageNumber"/>
            <w:sz w:val="16"/>
            <w:szCs w:val="16"/>
          </w:rPr>
          <w:fldChar w:fldCharType="begin"/>
        </w:r>
        <w:r w:rsidRPr="00A50ACF">
          <w:rPr>
            <w:rStyle w:val="PageNumber"/>
            <w:sz w:val="16"/>
            <w:szCs w:val="16"/>
          </w:rPr>
          <w:instrText xml:space="preserve"> PAGE </w:instrText>
        </w:r>
        <w:r w:rsidRPr="00A50ACF">
          <w:rPr>
            <w:rStyle w:val="PageNumber"/>
            <w:sz w:val="16"/>
            <w:szCs w:val="16"/>
          </w:rPr>
          <w:fldChar w:fldCharType="separate"/>
        </w:r>
        <w:r w:rsidRPr="00A50ACF">
          <w:rPr>
            <w:rStyle w:val="PageNumber"/>
            <w:noProof/>
            <w:sz w:val="16"/>
            <w:szCs w:val="16"/>
          </w:rPr>
          <w:t>1</w:t>
        </w:r>
        <w:r w:rsidRPr="00A50ACF">
          <w:rPr>
            <w:rStyle w:val="PageNumber"/>
            <w:sz w:val="16"/>
            <w:szCs w:val="16"/>
          </w:rPr>
          <w:fldChar w:fldCharType="end"/>
        </w:r>
      </w:p>
    </w:sdtContent>
  </w:sdt>
  <w:p w14:paraId="61C7144D" w14:textId="1DCD7035" w:rsidR="000459F7" w:rsidRPr="005561B3" w:rsidRDefault="000A1179" w:rsidP="00786B29">
    <w:pPr>
      <w:pStyle w:val="Footer"/>
      <w:tabs>
        <w:tab w:val="clear" w:pos="3969"/>
      </w:tabs>
      <w:rPr>
        <w:b/>
      </w:rPr>
    </w:pPr>
    <w:r>
      <w:rPr>
        <w:noProof/>
      </w:rPr>
      <w:drawing>
        <wp:anchor distT="0" distB="0" distL="114300" distR="114300" simplePos="0" relativeHeight="251657216" behindDoc="1" locked="0" layoutInCell="1" allowOverlap="1" wp14:anchorId="2F866DD3" wp14:editId="2311D128">
          <wp:simplePos x="0" y="0"/>
          <wp:positionH relativeFrom="column">
            <wp:posOffset>-453390</wp:posOffset>
          </wp:positionH>
          <wp:positionV relativeFrom="paragraph">
            <wp:posOffset>-60960</wp:posOffset>
          </wp:positionV>
          <wp:extent cx="6883200" cy="252000"/>
          <wp:effectExtent l="0" t="0" r="0" b="0"/>
          <wp:wrapNone/>
          <wp:docPr id="1" name="Header WHog_B thin.png" descr="Example Foot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WHog_B thin.png" descr="Example Footer">
                    <a:extLst>
                      <a:ext uri="{C183D7F6-B498-43B3-948B-1728B52AA6E4}">
                        <adec:decorative xmlns:adec="http://schemas.microsoft.com/office/drawing/2017/decorative" val="0"/>
                      </a:ext>
                    </a:extLst>
                  </pic:cNvPr>
                  <pic:cNvPicPr/>
                </pic:nvPicPr>
                <pic:blipFill>
                  <a:blip r:embed="rId1" r:link="rId2">
                    <a:extLst>
                      <a:ext uri="{28A0092B-C50C-407E-A947-70E740481C1C}">
                        <a14:useLocalDpi xmlns:a14="http://schemas.microsoft.com/office/drawing/2010/main" val="0"/>
                      </a:ext>
                    </a:extLst>
                  </a:blip>
                  <a:stretch>
                    <a:fillRect/>
                  </a:stretch>
                </pic:blipFill>
                <pic:spPr>
                  <a:xfrm>
                    <a:off x="0" y="0"/>
                    <a:ext cx="6883200" cy="252000"/>
                  </a:xfrm>
                  <a:prstGeom prst="rect">
                    <a:avLst/>
                  </a:prstGeom>
                </pic:spPr>
              </pic:pic>
            </a:graphicData>
          </a:graphic>
          <wp14:sizeRelH relativeFrom="margin">
            <wp14:pctWidth>0</wp14:pctWidth>
          </wp14:sizeRelH>
          <wp14:sizeRelV relativeFrom="margin">
            <wp14:pctHeight>0</wp14:pctHeight>
          </wp14:sizeRelV>
        </wp:anchor>
      </w:drawing>
    </w:r>
    <w:r w:rsidR="00483345">
      <w:rPr>
        <w:noProof/>
      </w:rPr>
      <w:t xml:space="preserve"> Community </w:t>
    </w:r>
    <w:r w:rsidR="00786B29">
      <w:rPr>
        <w:noProof/>
      </w:rPr>
      <w:t xml:space="preserve">Services </w:t>
    </w:r>
    <w:r w:rsidR="00483345">
      <w:rPr>
        <w:noProof/>
      </w:rPr>
      <w:t xml:space="preserve"> Directorate</w:t>
    </w:r>
    <w:r w:rsidR="00A50ACF" w:rsidRPr="00723F5C">
      <w:rPr>
        <w:noProof/>
      </w:rPr>
      <w:t xml:space="preserve"> </w:t>
    </w:r>
    <w:r w:rsidR="00723F5C">
      <w:rPr>
        <w:noProof/>
      </w:rPr>
      <w:tab/>
    </w:r>
    <w:r w:rsidR="004D749A">
      <w:rPr>
        <w:noProof/>
      </w:rPr>
      <w:tab/>
    </w:r>
    <w:r w:rsidR="004D749A">
      <w:rPr>
        <w:noProof/>
      </w:rPr>
      <w:tab/>
      <w:t xml:space="preserve"> </w:t>
    </w:r>
    <w:r w:rsidR="004D749A">
      <w:rPr>
        <w:noProof/>
      </w:rPr>
      <w:tab/>
    </w:r>
    <w:r w:rsidR="004D749A">
      <w:rPr>
        <w:noProof/>
      </w:rPr>
      <w:tab/>
    </w:r>
    <w:r w:rsidR="004D749A">
      <w:rPr>
        <w:noProof/>
      </w:rPr>
      <w:tab/>
    </w:r>
    <w:r w:rsidR="004D749A">
      <w:rPr>
        <w:noProof/>
      </w:rPr>
      <w:tab/>
    </w:r>
    <w:r w:rsidR="00786B29">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66D75" w14:textId="09D02F9C" w:rsidR="00FD74DA" w:rsidRDefault="00FD74DA" w:rsidP="00FD74DA">
    <w:pPr>
      <w:pStyle w:val="Header"/>
      <w:pBdr>
        <w:top w:val="single" w:sz="4" w:space="1" w:color="auto"/>
      </w:pBdr>
      <w:jc w:val="right"/>
      <w:rPr>
        <w:noProof/>
        <w:sz w:val="22"/>
        <w:szCs w:val="18"/>
      </w:rPr>
    </w:pPr>
    <w:r w:rsidRPr="00FD74DA">
      <w:rPr>
        <w:sz w:val="22"/>
        <w:szCs w:val="18"/>
      </w:rPr>
      <w:t xml:space="preserve">Page </w:t>
    </w:r>
    <w:r w:rsidRPr="00FD74DA">
      <w:rPr>
        <w:sz w:val="22"/>
        <w:szCs w:val="18"/>
      </w:rPr>
      <w:fldChar w:fldCharType="begin"/>
    </w:r>
    <w:r w:rsidRPr="00FD74DA">
      <w:rPr>
        <w:sz w:val="22"/>
        <w:szCs w:val="18"/>
      </w:rPr>
      <w:instrText xml:space="preserve"> PAGE </w:instrText>
    </w:r>
    <w:r w:rsidRPr="00FD74DA">
      <w:rPr>
        <w:sz w:val="22"/>
        <w:szCs w:val="18"/>
      </w:rPr>
      <w:fldChar w:fldCharType="separate"/>
    </w:r>
    <w:r w:rsidRPr="00FD74DA">
      <w:rPr>
        <w:sz w:val="22"/>
        <w:szCs w:val="18"/>
      </w:rPr>
      <w:t>2</w:t>
    </w:r>
    <w:r w:rsidRPr="00FD74DA">
      <w:rPr>
        <w:noProof/>
        <w:sz w:val="22"/>
        <w:szCs w:val="18"/>
      </w:rPr>
      <w:fldChar w:fldCharType="end"/>
    </w:r>
    <w:r w:rsidRPr="00FD74DA">
      <w:rPr>
        <w:sz w:val="22"/>
        <w:szCs w:val="18"/>
      </w:rPr>
      <w:t xml:space="preserve"> of </w:t>
    </w:r>
    <w:r w:rsidRPr="00FD74DA">
      <w:rPr>
        <w:noProof/>
        <w:sz w:val="22"/>
        <w:szCs w:val="18"/>
      </w:rPr>
      <w:fldChar w:fldCharType="begin"/>
    </w:r>
    <w:r w:rsidRPr="00FD74DA">
      <w:rPr>
        <w:noProof/>
        <w:sz w:val="22"/>
        <w:szCs w:val="18"/>
      </w:rPr>
      <w:instrText xml:space="preserve"> NUMPAGES  </w:instrText>
    </w:r>
    <w:r w:rsidRPr="00FD74DA">
      <w:rPr>
        <w:noProof/>
        <w:sz w:val="22"/>
        <w:szCs w:val="18"/>
      </w:rPr>
      <w:fldChar w:fldCharType="separate"/>
    </w:r>
    <w:r w:rsidRPr="00FD74DA">
      <w:rPr>
        <w:noProof/>
        <w:sz w:val="22"/>
        <w:szCs w:val="18"/>
      </w:rPr>
      <w:t>12</w:t>
    </w:r>
    <w:r w:rsidRPr="00FD74DA">
      <w:rPr>
        <w:noProof/>
        <w:sz w:val="22"/>
        <w:szCs w:val="18"/>
      </w:rPr>
      <w:fldChar w:fldCharType="end"/>
    </w:r>
  </w:p>
  <w:p w14:paraId="26081496" w14:textId="1571F56D" w:rsidR="00623AB4" w:rsidRPr="00090188" w:rsidRDefault="00623AB4" w:rsidP="00090188">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7F1FA" w14:textId="34F6929D" w:rsidR="00623AB4" w:rsidRDefault="00623AB4" w:rsidP="00623AB4">
    <w:pPr>
      <w:pStyle w:val="NoSpacing"/>
      <w:jc w:val="cen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EDE6A" w14:textId="77777777" w:rsidR="00487380" w:rsidRDefault="00487380" w:rsidP="001723F7">
      <w:pPr>
        <w:spacing w:before="0" w:after="0"/>
      </w:pPr>
      <w:r>
        <w:separator/>
      </w:r>
    </w:p>
  </w:footnote>
  <w:footnote w:type="continuationSeparator" w:id="0">
    <w:p w14:paraId="43C19584" w14:textId="77777777" w:rsidR="00487380" w:rsidRDefault="00487380">
      <w:pPr>
        <w:spacing w:before="0" w:after="0"/>
      </w:pPr>
      <w:r>
        <w:continuationSeparator/>
      </w:r>
    </w:p>
    <w:p w14:paraId="7491C44A" w14:textId="77777777" w:rsidR="00487380" w:rsidRDefault="004873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609AF" w14:textId="5FCD792B" w:rsidR="00E61BB1" w:rsidRDefault="00D76AED">
    <w:pPr>
      <w:pStyle w:val="Header"/>
    </w:pPr>
    <w:r>
      <w:rPr>
        <w:noProof/>
      </w:rPr>
      <w:pict w14:anchorId="68AE4A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3571788" o:spid="_x0000_s1025" type="#_x0000_t75" style="position:absolute;margin-left:0;margin-top:0;width:491.1pt;height:694.55pt;z-index:-251658240;mso-wrap-edited:f;mso-position-horizontal:center;mso-position-horizontal-relative:margin;mso-position-vertical:center;mso-position-vertical-relative:margin" o:allowincell="f">
          <v:imagedata r:id="rId1" o:title="ACT_Gov_Templates_Report_blu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DD73D" w14:textId="77777777" w:rsidR="00C72116" w:rsidRDefault="00C72116" w:rsidP="00C72116">
    <w:pPr>
      <w:pStyle w:val="Header"/>
      <w:pBdr>
        <w:top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16075" w14:textId="7CF72979" w:rsidR="00623AB4" w:rsidRPr="00FE0085" w:rsidRDefault="00623AB4" w:rsidP="00FE0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6E9E"/>
    <w:multiLevelType w:val="multilevel"/>
    <w:tmpl w:val="402E7EF2"/>
    <w:numStyleLink w:val="AppendixNumbers"/>
  </w:abstractNum>
  <w:abstractNum w:abstractNumId="1" w15:restartNumberingAfterBreak="0">
    <w:nsid w:val="0F6C678D"/>
    <w:multiLevelType w:val="multilevel"/>
    <w:tmpl w:val="57D26A18"/>
    <w:styleLink w:val="KCBullets"/>
    <w:lvl w:ilvl="0">
      <w:start w:val="1"/>
      <w:numFmt w:val="lowerLetter"/>
      <w:pStyle w:val="Bullet1"/>
      <w:lvlText w:val="(%1)"/>
      <w:lvlJc w:val="left"/>
      <w:pPr>
        <w:ind w:left="284" w:hanging="284"/>
      </w:pPr>
      <w:rPr>
        <w:rFonts w:asciiTheme="minorHAnsi" w:eastAsiaTheme="minorHAnsi" w:hAnsiTheme="minorHAnsi" w:cstheme="minorBidi"/>
        <w:color w:val="auto"/>
      </w:rPr>
    </w:lvl>
    <w:lvl w:ilvl="1">
      <w:start w:val="1"/>
      <w:numFmt w:val="bullet"/>
      <w:pStyle w:val="Bullet2"/>
      <w:lvlText w:val="–"/>
      <w:lvlJc w:val="left"/>
      <w:pPr>
        <w:ind w:left="568" w:hanging="284"/>
      </w:pPr>
      <w:rPr>
        <w:rFonts w:ascii="Arial" w:hAnsi="Arial" w:hint="default"/>
        <w:color w:val="44546A" w:themeColor="text2"/>
      </w:rPr>
    </w:lvl>
    <w:lvl w:ilvl="2">
      <w:start w:val="1"/>
      <w:numFmt w:val="bullet"/>
      <w:pStyle w:val="Bullet3"/>
      <w:lvlText w:val="»"/>
      <w:lvlJc w:val="left"/>
      <w:pPr>
        <w:ind w:left="852" w:hanging="284"/>
      </w:pPr>
      <w:rPr>
        <w:rFonts w:ascii="Arial" w:hAnsi="Arial" w:hint="default"/>
        <w:color w:val="44546A"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5F635DC"/>
    <w:multiLevelType w:val="hybridMultilevel"/>
    <w:tmpl w:val="463A8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C83105"/>
    <w:multiLevelType w:val="hybridMultilevel"/>
    <w:tmpl w:val="90BA9194"/>
    <w:lvl w:ilvl="0" w:tplc="9B4E6E10">
      <w:start w:val="1"/>
      <w:numFmt w:val="decimal"/>
      <w:pStyle w:val="List"/>
      <w:lvlText w:val="1.1.%1."/>
      <w:lvlJc w:val="left"/>
      <w:pPr>
        <w:ind w:left="720" w:hanging="360"/>
      </w:pPr>
      <w:rPr>
        <w:rFonts w:hint="default"/>
        <w:b w:val="0"/>
        <w:color w:val="auto"/>
        <w:sz w:val="22"/>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F495DD6"/>
    <w:multiLevelType w:val="hybridMultilevel"/>
    <w:tmpl w:val="537AE58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6"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3BA5C35"/>
    <w:multiLevelType w:val="hybridMultilevel"/>
    <w:tmpl w:val="3A30B580"/>
    <w:lvl w:ilvl="0" w:tplc="F5E050B8">
      <w:start w:val="1"/>
      <w:numFmt w:val="bullet"/>
      <w:lvlText w:val=""/>
      <w:lvlJc w:val="left"/>
      <w:pPr>
        <w:ind w:left="821" w:hanging="360"/>
      </w:pPr>
      <w:rPr>
        <w:rFonts w:ascii="Symbol" w:hAnsi="Symbol" w:hint="default"/>
      </w:rPr>
    </w:lvl>
    <w:lvl w:ilvl="1" w:tplc="0C090003" w:tentative="1">
      <w:start w:val="1"/>
      <w:numFmt w:val="bullet"/>
      <w:lvlText w:val="o"/>
      <w:lvlJc w:val="left"/>
      <w:pPr>
        <w:ind w:left="1541" w:hanging="360"/>
      </w:pPr>
      <w:rPr>
        <w:rFonts w:ascii="Courier New" w:hAnsi="Courier New" w:cs="Courier New" w:hint="default"/>
      </w:rPr>
    </w:lvl>
    <w:lvl w:ilvl="2" w:tplc="0C090005" w:tentative="1">
      <w:start w:val="1"/>
      <w:numFmt w:val="bullet"/>
      <w:lvlText w:val=""/>
      <w:lvlJc w:val="left"/>
      <w:pPr>
        <w:ind w:left="2261" w:hanging="360"/>
      </w:pPr>
      <w:rPr>
        <w:rFonts w:ascii="Wingdings" w:hAnsi="Wingdings" w:hint="default"/>
      </w:rPr>
    </w:lvl>
    <w:lvl w:ilvl="3" w:tplc="0C090001" w:tentative="1">
      <w:start w:val="1"/>
      <w:numFmt w:val="bullet"/>
      <w:lvlText w:val=""/>
      <w:lvlJc w:val="left"/>
      <w:pPr>
        <w:ind w:left="2981" w:hanging="360"/>
      </w:pPr>
      <w:rPr>
        <w:rFonts w:ascii="Symbol" w:hAnsi="Symbol" w:hint="default"/>
      </w:rPr>
    </w:lvl>
    <w:lvl w:ilvl="4" w:tplc="0C090003" w:tentative="1">
      <w:start w:val="1"/>
      <w:numFmt w:val="bullet"/>
      <w:lvlText w:val="o"/>
      <w:lvlJc w:val="left"/>
      <w:pPr>
        <w:ind w:left="3701" w:hanging="360"/>
      </w:pPr>
      <w:rPr>
        <w:rFonts w:ascii="Courier New" w:hAnsi="Courier New" w:cs="Courier New" w:hint="default"/>
      </w:rPr>
    </w:lvl>
    <w:lvl w:ilvl="5" w:tplc="0C090005" w:tentative="1">
      <w:start w:val="1"/>
      <w:numFmt w:val="bullet"/>
      <w:lvlText w:val=""/>
      <w:lvlJc w:val="left"/>
      <w:pPr>
        <w:ind w:left="4421" w:hanging="360"/>
      </w:pPr>
      <w:rPr>
        <w:rFonts w:ascii="Wingdings" w:hAnsi="Wingdings" w:hint="default"/>
      </w:rPr>
    </w:lvl>
    <w:lvl w:ilvl="6" w:tplc="0C090001" w:tentative="1">
      <w:start w:val="1"/>
      <w:numFmt w:val="bullet"/>
      <w:lvlText w:val=""/>
      <w:lvlJc w:val="left"/>
      <w:pPr>
        <w:ind w:left="5141" w:hanging="360"/>
      </w:pPr>
      <w:rPr>
        <w:rFonts w:ascii="Symbol" w:hAnsi="Symbol" w:hint="default"/>
      </w:rPr>
    </w:lvl>
    <w:lvl w:ilvl="7" w:tplc="0C090003" w:tentative="1">
      <w:start w:val="1"/>
      <w:numFmt w:val="bullet"/>
      <w:lvlText w:val="o"/>
      <w:lvlJc w:val="left"/>
      <w:pPr>
        <w:ind w:left="5861" w:hanging="360"/>
      </w:pPr>
      <w:rPr>
        <w:rFonts w:ascii="Courier New" w:hAnsi="Courier New" w:cs="Courier New" w:hint="default"/>
      </w:rPr>
    </w:lvl>
    <w:lvl w:ilvl="8" w:tplc="0C090005" w:tentative="1">
      <w:start w:val="1"/>
      <w:numFmt w:val="bullet"/>
      <w:lvlText w:val=""/>
      <w:lvlJc w:val="left"/>
      <w:pPr>
        <w:ind w:left="6581" w:hanging="360"/>
      </w:pPr>
      <w:rPr>
        <w:rFonts w:ascii="Wingdings" w:hAnsi="Wingdings" w:hint="default"/>
      </w:rPr>
    </w:lvl>
  </w:abstractNum>
  <w:abstractNum w:abstractNumId="8" w15:restartNumberingAfterBreak="0">
    <w:nsid w:val="27175AAE"/>
    <w:multiLevelType w:val="hybridMultilevel"/>
    <w:tmpl w:val="30CAF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9BB197B"/>
    <w:multiLevelType w:val="hybridMultilevel"/>
    <w:tmpl w:val="48A2EFD6"/>
    <w:lvl w:ilvl="0" w:tplc="8E7CC984">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DB5389C"/>
    <w:multiLevelType w:val="hybridMultilevel"/>
    <w:tmpl w:val="0F103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EB1739"/>
    <w:multiLevelType w:val="hybridMultilevel"/>
    <w:tmpl w:val="841248EC"/>
    <w:lvl w:ilvl="0" w:tplc="F7F63E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35872B8"/>
    <w:multiLevelType w:val="hybridMultilevel"/>
    <w:tmpl w:val="AC941D52"/>
    <w:lvl w:ilvl="0" w:tplc="6DBAF65E">
      <w:start w:val="1"/>
      <w:numFmt w:val="decimal"/>
      <w:pStyle w:val="CS-Paragraphnumbering"/>
      <w:lvlText w:val="%1."/>
      <w:lvlJc w:val="left"/>
      <w:pPr>
        <w:ind w:left="720" w:hanging="360"/>
      </w:pPr>
      <w:rPr>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39B6C70"/>
    <w:multiLevelType w:val="hybridMultilevel"/>
    <w:tmpl w:val="B958F4E6"/>
    <w:lvl w:ilvl="0" w:tplc="A426EFF8">
      <w:start w:val="1"/>
      <w:numFmt w:val="bullet"/>
      <w:pStyle w:val="NormalRedBullet"/>
      <w:lvlText w:val=""/>
      <w:lvlJc w:val="left"/>
      <w:pPr>
        <w:ind w:left="928" w:hanging="360"/>
      </w:pPr>
      <w:rPr>
        <w:rFonts w:ascii="Symbol" w:hAnsi="Symbol" w:hint="default"/>
        <w:color w:val="000000"/>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15" w15:restartNumberingAfterBreak="0">
    <w:nsid w:val="39BB018F"/>
    <w:multiLevelType w:val="hybridMultilevel"/>
    <w:tmpl w:val="DAE63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295B11"/>
    <w:multiLevelType w:val="hybridMultilevel"/>
    <w:tmpl w:val="E36C5FEE"/>
    <w:lvl w:ilvl="0" w:tplc="B09031EC">
      <w:numFmt w:val="bullet"/>
      <w:lvlText w:val="•"/>
      <w:lvlJc w:val="left"/>
      <w:pPr>
        <w:ind w:left="948" w:hanging="360"/>
      </w:pPr>
      <w:rPr>
        <w:rFonts w:ascii="Calibri" w:eastAsiaTheme="minorHAnsi" w:hAnsi="Calibri" w:cs="Calibri" w:hint="default"/>
      </w:rPr>
    </w:lvl>
    <w:lvl w:ilvl="1" w:tplc="0C090003">
      <w:start w:val="1"/>
      <w:numFmt w:val="bullet"/>
      <w:lvlText w:val="o"/>
      <w:lvlJc w:val="left"/>
      <w:pPr>
        <w:ind w:left="1668" w:hanging="360"/>
      </w:pPr>
      <w:rPr>
        <w:rFonts w:ascii="Courier New" w:hAnsi="Courier New" w:cs="Courier New" w:hint="default"/>
      </w:rPr>
    </w:lvl>
    <w:lvl w:ilvl="2" w:tplc="0C090005" w:tentative="1">
      <w:start w:val="1"/>
      <w:numFmt w:val="bullet"/>
      <w:lvlText w:val=""/>
      <w:lvlJc w:val="left"/>
      <w:pPr>
        <w:ind w:left="2388" w:hanging="360"/>
      </w:pPr>
      <w:rPr>
        <w:rFonts w:ascii="Wingdings" w:hAnsi="Wingdings" w:hint="default"/>
      </w:rPr>
    </w:lvl>
    <w:lvl w:ilvl="3" w:tplc="0C090001" w:tentative="1">
      <w:start w:val="1"/>
      <w:numFmt w:val="bullet"/>
      <w:lvlText w:val=""/>
      <w:lvlJc w:val="left"/>
      <w:pPr>
        <w:ind w:left="3108" w:hanging="360"/>
      </w:pPr>
      <w:rPr>
        <w:rFonts w:ascii="Symbol" w:hAnsi="Symbol" w:hint="default"/>
      </w:rPr>
    </w:lvl>
    <w:lvl w:ilvl="4" w:tplc="0C090003" w:tentative="1">
      <w:start w:val="1"/>
      <w:numFmt w:val="bullet"/>
      <w:lvlText w:val="o"/>
      <w:lvlJc w:val="left"/>
      <w:pPr>
        <w:ind w:left="3828" w:hanging="360"/>
      </w:pPr>
      <w:rPr>
        <w:rFonts w:ascii="Courier New" w:hAnsi="Courier New" w:cs="Courier New" w:hint="default"/>
      </w:rPr>
    </w:lvl>
    <w:lvl w:ilvl="5" w:tplc="0C090005" w:tentative="1">
      <w:start w:val="1"/>
      <w:numFmt w:val="bullet"/>
      <w:lvlText w:val=""/>
      <w:lvlJc w:val="left"/>
      <w:pPr>
        <w:ind w:left="4548" w:hanging="360"/>
      </w:pPr>
      <w:rPr>
        <w:rFonts w:ascii="Wingdings" w:hAnsi="Wingdings" w:hint="default"/>
      </w:rPr>
    </w:lvl>
    <w:lvl w:ilvl="6" w:tplc="0C090001" w:tentative="1">
      <w:start w:val="1"/>
      <w:numFmt w:val="bullet"/>
      <w:lvlText w:val=""/>
      <w:lvlJc w:val="left"/>
      <w:pPr>
        <w:ind w:left="5268" w:hanging="360"/>
      </w:pPr>
      <w:rPr>
        <w:rFonts w:ascii="Symbol" w:hAnsi="Symbol" w:hint="default"/>
      </w:rPr>
    </w:lvl>
    <w:lvl w:ilvl="7" w:tplc="0C090003" w:tentative="1">
      <w:start w:val="1"/>
      <w:numFmt w:val="bullet"/>
      <w:lvlText w:val="o"/>
      <w:lvlJc w:val="left"/>
      <w:pPr>
        <w:ind w:left="5988" w:hanging="360"/>
      </w:pPr>
      <w:rPr>
        <w:rFonts w:ascii="Courier New" w:hAnsi="Courier New" w:cs="Courier New" w:hint="default"/>
      </w:rPr>
    </w:lvl>
    <w:lvl w:ilvl="8" w:tplc="0C090005" w:tentative="1">
      <w:start w:val="1"/>
      <w:numFmt w:val="bullet"/>
      <w:lvlText w:val=""/>
      <w:lvlJc w:val="left"/>
      <w:pPr>
        <w:ind w:left="6708" w:hanging="360"/>
      </w:pPr>
      <w:rPr>
        <w:rFonts w:ascii="Wingdings" w:hAnsi="Wingdings" w:hint="default"/>
      </w:rPr>
    </w:lvl>
  </w:abstractNum>
  <w:abstractNum w:abstractNumId="17" w15:restartNumberingAfterBreak="0">
    <w:nsid w:val="3C1D5419"/>
    <w:multiLevelType w:val="hybridMultilevel"/>
    <w:tmpl w:val="14240A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3C415180"/>
    <w:multiLevelType w:val="hybridMultilevel"/>
    <w:tmpl w:val="4E8EEBCA"/>
    <w:lvl w:ilvl="0" w:tplc="390A8100">
      <w:start w:val="1"/>
      <w:numFmt w:val="lowerRoman"/>
      <w:pStyle w:val="Bullet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4546A" w:themeColor="text2"/>
      </w:rPr>
    </w:lvl>
    <w:lvl w:ilvl="3">
      <w:start w:val="1"/>
      <w:numFmt w:val="bullet"/>
      <w:lvlText w:val="»"/>
      <w:lvlJc w:val="left"/>
      <w:pPr>
        <w:ind w:left="794" w:hanging="510"/>
      </w:pPr>
      <w:rPr>
        <w:rFonts w:ascii="Arial" w:hAnsi="Arial" w:hint="default"/>
        <w:color w:val="44546A"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0" w15:restartNumberingAfterBreak="0">
    <w:nsid w:val="430A2AA5"/>
    <w:multiLevelType w:val="multilevel"/>
    <w:tmpl w:val="99CEF076"/>
    <w:lvl w:ilvl="0">
      <w:start w:val="1"/>
      <w:numFmt w:val="decimal"/>
      <w:pStyle w:val="Schedule1PACT"/>
      <w:lvlText w:val="Schedule %1."/>
      <w:lvlJc w:val="left"/>
      <w:pPr>
        <w:ind w:left="2835" w:hanging="2835"/>
      </w:pPr>
    </w:lvl>
    <w:lvl w:ilvl="1">
      <w:start w:val="1"/>
      <w:numFmt w:val="decimal"/>
      <w:pStyle w:val="1-PACT"/>
      <w:lvlText w:val="%2."/>
      <w:lvlJc w:val="left"/>
      <w:pPr>
        <w:ind w:left="1134" w:hanging="1134"/>
      </w:pPr>
    </w:lvl>
    <w:lvl w:ilvl="2">
      <w:start w:val="1"/>
      <w:numFmt w:val="decimal"/>
      <w:pStyle w:val="11-PACT"/>
      <w:lvlText w:val="%2.%3."/>
      <w:lvlJc w:val="left"/>
      <w:pPr>
        <w:ind w:left="1134" w:hanging="1134"/>
      </w:pPr>
      <w:rPr>
        <w:b w:val="0"/>
        <w:bCs w:val="0"/>
        <w:i w:val="0"/>
        <w:iCs w:val="0"/>
        <w:caps w:val="0"/>
        <w:smallCaps w:val="0"/>
        <w:strike w:val="0"/>
        <w:dstrike w:val="0"/>
        <w:outline w:val="0"/>
        <w:shadow w:val="0"/>
        <w:emboss w:val="0"/>
        <w:imprint w:val="0"/>
        <w:vanish w:val="0"/>
        <w:webHidden w:val="0"/>
        <w:color w:val="482D8C"/>
        <w:spacing w:val="0"/>
        <w:kern w:val="0"/>
        <w:position w:val="0"/>
        <w:u w:val="none"/>
        <w:effect w:val="none"/>
        <w:vertAlign w:val="baseline"/>
        <w:em w:val="none"/>
        <w:specVanish w:val="0"/>
        <w14:ligatures w14:val="none"/>
        <w14:numForm w14:val="default"/>
        <w14:numSpacing w14:val="default"/>
        <w14:stylisticSets/>
        <w14:cntxtAlts w14:val="0"/>
      </w:rPr>
    </w:lvl>
    <w:lvl w:ilvl="3">
      <w:start w:val="1"/>
      <w:numFmt w:val="decimal"/>
      <w:pStyle w:val="111-PACT"/>
      <w:lvlText w:val="%2.%3.%4."/>
      <w:lvlJc w:val="left"/>
      <w:pPr>
        <w:ind w:left="1134" w:hanging="1134"/>
      </w:pPr>
      <w:rPr>
        <w:strike w:val="0"/>
        <w:dstrike w:val="0"/>
        <w:color w:val="auto"/>
        <w:u w:val="none"/>
        <w:effect w:val="none"/>
      </w:rPr>
    </w:lvl>
    <w:lvl w:ilvl="4">
      <w:start w:val="1"/>
      <w:numFmt w:val="lowerLetter"/>
      <w:pStyle w:val="a-PACT"/>
      <w:lvlText w:val="(%5)"/>
      <w:lvlJc w:val="left"/>
      <w:pPr>
        <w:ind w:left="1701" w:hanging="567"/>
      </w:pPr>
      <w:rPr>
        <w:color w:val="auto"/>
      </w:rPr>
    </w:lvl>
    <w:lvl w:ilvl="5">
      <w:start w:val="1"/>
      <w:numFmt w:val="lowerRoman"/>
      <w:pStyle w:val="i-PACT"/>
      <w:lvlText w:val="%6."/>
      <w:lvlJc w:val="left"/>
      <w:pPr>
        <w:ind w:left="2268" w:hanging="567"/>
      </w:pPr>
    </w:lvl>
    <w:lvl w:ilvl="6">
      <w:start w:val="1"/>
      <w:numFmt w:val="decimal"/>
      <w:lvlText w:val="%1.%2.%3.%4.%5.%6.%7."/>
      <w:lvlJc w:val="left"/>
      <w:pPr>
        <w:ind w:left="2835" w:hanging="567"/>
      </w:pPr>
    </w:lvl>
    <w:lvl w:ilvl="7">
      <w:start w:val="1"/>
      <w:numFmt w:val="decimal"/>
      <w:lvlText w:val="%1.%2.%3.%4.%5.%6.%7.%8."/>
      <w:lvlJc w:val="left"/>
      <w:pPr>
        <w:ind w:left="3402" w:hanging="567"/>
      </w:pPr>
    </w:lvl>
    <w:lvl w:ilvl="8">
      <w:start w:val="1"/>
      <w:numFmt w:val="decimal"/>
      <w:lvlText w:val="%1.%2.%3.%4.%5.%6.%7.%8.%9."/>
      <w:lvlJc w:val="left"/>
      <w:pPr>
        <w:ind w:left="3969" w:hanging="567"/>
      </w:pPr>
    </w:lvl>
  </w:abstractNum>
  <w:abstractNum w:abstractNumId="21" w15:restartNumberingAfterBreak="0">
    <w:nsid w:val="443B3F10"/>
    <w:multiLevelType w:val="hybridMultilevel"/>
    <w:tmpl w:val="31BC514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5A212B"/>
    <w:multiLevelType w:val="hybridMultilevel"/>
    <w:tmpl w:val="D924B6FE"/>
    <w:lvl w:ilvl="0" w:tplc="CEAE7970">
      <w:numFmt w:val="bullet"/>
      <w:pStyle w:val="bullet30"/>
      <w:lvlText w:val="-"/>
      <w:lvlJc w:val="left"/>
      <w:pPr>
        <w:ind w:left="1077" w:hanging="360"/>
      </w:pPr>
      <w:rPr>
        <w:rFonts w:ascii="Calibri" w:eastAsiaTheme="minorHAnsi" w:hAnsi="Calibri" w:cstheme="minorBidi"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3" w15:restartNumberingAfterBreak="0">
    <w:nsid w:val="4A2C4FC2"/>
    <w:multiLevelType w:val="hybridMultilevel"/>
    <w:tmpl w:val="F5AEA3CC"/>
    <w:lvl w:ilvl="0" w:tplc="44CE0BD4">
      <w:start w:val="1"/>
      <w:numFmt w:val="lowerLetter"/>
      <w:pStyle w:val="bulletalpha"/>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DF8719C"/>
    <w:multiLevelType w:val="hybridMultilevel"/>
    <w:tmpl w:val="48A2EFD6"/>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0091EDE"/>
    <w:multiLevelType w:val="hybridMultilevel"/>
    <w:tmpl w:val="D338B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517343"/>
    <w:multiLevelType w:val="multilevel"/>
    <w:tmpl w:val="131EEC6C"/>
    <w:numStyleLink w:val="TableNumbers"/>
  </w:abstractNum>
  <w:abstractNum w:abstractNumId="27" w15:restartNumberingAfterBreak="0">
    <w:nsid w:val="50E12008"/>
    <w:multiLevelType w:val="multilevel"/>
    <w:tmpl w:val="57D26A18"/>
    <w:numStyleLink w:val="KCBullets"/>
  </w:abstractNum>
  <w:abstractNum w:abstractNumId="28" w15:restartNumberingAfterBreak="0">
    <w:nsid w:val="531A54FB"/>
    <w:multiLevelType w:val="hybridMultilevel"/>
    <w:tmpl w:val="5E6CDF62"/>
    <w:lvl w:ilvl="0" w:tplc="67664A72">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35249AF"/>
    <w:multiLevelType w:val="multilevel"/>
    <w:tmpl w:val="402E7EF2"/>
    <w:styleLink w:val="AppendixNumbers"/>
    <w:lvl w:ilvl="0">
      <w:start w:val="1"/>
      <w:numFmt w:val="upperLetter"/>
      <w:pStyle w:val="AppendixNumbered"/>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4B031ED"/>
    <w:multiLevelType w:val="hybridMultilevel"/>
    <w:tmpl w:val="FEDA95CA"/>
    <w:lvl w:ilvl="0" w:tplc="11AEB78A">
      <w:start w:val="2"/>
      <w:numFmt w:val="decimal"/>
      <w:pStyle w:val="Heading4"/>
      <w:lvlText w:val="9.%1"/>
      <w:lvlJc w:val="left"/>
      <w:pPr>
        <w:ind w:left="360" w:hanging="360"/>
      </w:pPr>
      <w:rPr>
        <w:rFonts w:hint="default"/>
        <w:b w:val="0"/>
        <w:bCs/>
        <w:sz w:val="22"/>
        <w:szCs w:val="1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563048B"/>
    <w:multiLevelType w:val="multilevel"/>
    <w:tmpl w:val="C284D0B0"/>
    <w:numStyleLink w:val="FigureNumbers"/>
  </w:abstractNum>
  <w:abstractNum w:abstractNumId="32" w15:restartNumberingAfterBreak="0">
    <w:nsid w:val="55E44AAF"/>
    <w:multiLevelType w:val="hybridMultilevel"/>
    <w:tmpl w:val="AB323C76"/>
    <w:lvl w:ilvl="0" w:tplc="0A84D310">
      <w:start w:val="1"/>
      <w:numFmt w:val="lowerLetter"/>
      <w:lvlText w:val="(%1)"/>
      <w:lvlJc w:val="left"/>
      <w:pPr>
        <w:ind w:left="720" w:hanging="360"/>
      </w:pPr>
      <w:rPr>
        <w:rFonts w:cs="Tempus Sans ITC" w:hint="default"/>
      </w:rPr>
    </w:lvl>
    <w:lvl w:ilvl="1" w:tplc="FFFFFFFF">
      <w:numFmt w:val="bullet"/>
      <w:lvlText w:val="•"/>
      <w:lvlJc w:val="left"/>
      <w:pPr>
        <w:ind w:left="1800" w:hanging="72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7EC32EA"/>
    <w:multiLevelType w:val="hybridMultilevel"/>
    <w:tmpl w:val="FA90EA62"/>
    <w:lvl w:ilvl="0" w:tplc="F5E050B8">
      <w:start w:val="1"/>
      <w:numFmt w:val="bullet"/>
      <w:lvlText w:val=""/>
      <w:lvlJc w:val="left"/>
      <w:pPr>
        <w:ind w:left="1308" w:hanging="360"/>
      </w:pPr>
      <w:rPr>
        <w:rFonts w:ascii="Symbol" w:hAnsi="Symbol" w:hint="default"/>
      </w:rPr>
    </w:lvl>
    <w:lvl w:ilvl="1" w:tplc="0C090003" w:tentative="1">
      <w:start w:val="1"/>
      <w:numFmt w:val="bullet"/>
      <w:lvlText w:val="o"/>
      <w:lvlJc w:val="left"/>
      <w:pPr>
        <w:ind w:left="2028" w:hanging="360"/>
      </w:pPr>
      <w:rPr>
        <w:rFonts w:ascii="Courier New" w:hAnsi="Courier New" w:cs="Courier New" w:hint="default"/>
      </w:rPr>
    </w:lvl>
    <w:lvl w:ilvl="2" w:tplc="0C090005" w:tentative="1">
      <w:start w:val="1"/>
      <w:numFmt w:val="bullet"/>
      <w:lvlText w:val=""/>
      <w:lvlJc w:val="left"/>
      <w:pPr>
        <w:ind w:left="2748" w:hanging="360"/>
      </w:pPr>
      <w:rPr>
        <w:rFonts w:ascii="Wingdings" w:hAnsi="Wingdings" w:hint="default"/>
      </w:rPr>
    </w:lvl>
    <w:lvl w:ilvl="3" w:tplc="0C090001" w:tentative="1">
      <w:start w:val="1"/>
      <w:numFmt w:val="bullet"/>
      <w:lvlText w:val=""/>
      <w:lvlJc w:val="left"/>
      <w:pPr>
        <w:ind w:left="3468" w:hanging="360"/>
      </w:pPr>
      <w:rPr>
        <w:rFonts w:ascii="Symbol" w:hAnsi="Symbol" w:hint="default"/>
      </w:rPr>
    </w:lvl>
    <w:lvl w:ilvl="4" w:tplc="0C090003" w:tentative="1">
      <w:start w:val="1"/>
      <w:numFmt w:val="bullet"/>
      <w:lvlText w:val="o"/>
      <w:lvlJc w:val="left"/>
      <w:pPr>
        <w:ind w:left="4188" w:hanging="360"/>
      </w:pPr>
      <w:rPr>
        <w:rFonts w:ascii="Courier New" w:hAnsi="Courier New" w:cs="Courier New" w:hint="default"/>
      </w:rPr>
    </w:lvl>
    <w:lvl w:ilvl="5" w:tplc="0C090005" w:tentative="1">
      <w:start w:val="1"/>
      <w:numFmt w:val="bullet"/>
      <w:lvlText w:val=""/>
      <w:lvlJc w:val="left"/>
      <w:pPr>
        <w:ind w:left="4908" w:hanging="360"/>
      </w:pPr>
      <w:rPr>
        <w:rFonts w:ascii="Wingdings" w:hAnsi="Wingdings" w:hint="default"/>
      </w:rPr>
    </w:lvl>
    <w:lvl w:ilvl="6" w:tplc="0C090001" w:tentative="1">
      <w:start w:val="1"/>
      <w:numFmt w:val="bullet"/>
      <w:lvlText w:val=""/>
      <w:lvlJc w:val="left"/>
      <w:pPr>
        <w:ind w:left="5628" w:hanging="360"/>
      </w:pPr>
      <w:rPr>
        <w:rFonts w:ascii="Symbol" w:hAnsi="Symbol" w:hint="default"/>
      </w:rPr>
    </w:lvl>
    <w:lvl w:ilvl="7" w:tplc="0C090003" w:tentative="1">
      <w:start w:val="1"/>
      <w:numFmt w:val="bullet"/>
      <w:lvlText w:val="o"/>
      <w:lvlJc w:val="left"/>
      <w:pPr>
        <w:ind w:left="6348" w:hanging="360"/>
      </w:pPr>
      <w:rPr>
        <w:rFonts w:ascii="Courier New" w:hAnsi="Courier New" w:cs="Courier New" w:hint="default"/>
      </w:rPr>
    </w:lvl>
    <w:lvl w:ilvl="8" w:tplc="0C090005" w:tentative="1">
      <w:start w:val="1"/>
      <w:numFmt w:val="bullet"/>
      <w:lvlText w:val=""/>
      <w:lvlJc w:val="left"/>
      <w:pPr>
        <w:ind w:left="7068" w:hanging="360"/>
      </w:pPr>
      <w:rPr>
        <w:rFonts w:ascii="Wingdings" w:hAnsi="Wingdings" w:hint="default"/>
      </w:rPr>
    </w:lvl>
  </w:abstractNum>
  <w:abstractNum w:abstractNumId="34" w15:restartNumberingAfterBreak="0">
    <w:nsid w:val="5EFA63ED"/>
    <w:multiLevelType w:val="hybridMultilevel"/>
    <w:tmpl w:val="AB9E60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C21E15"/>
    <w:multiLevelType w:val="hybridMultilevel"/>
    <w:tmpl w:val="6E867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53696F"/>
    <w:multiLevelType w:val="hybridMultilevel"/>
    <w:tmpl w:val="49583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F607433"/>
    <w:multiLevelType w:val="hybridMultilevel"/>
    <w:tmpl w:val="DAEC419C"/>
    <w:lvl w:ilvl="0" w:tplc="4D784E72">
      <w:start w:val="1"/>
      <w:numFmt w:val="bullet"/>
      <w:pStyle w:val="bullet10"/>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FEB50FA"/>
    <w:multiLevelType w:val="hybridMultilevel"/>
    <w:tmpl w:val="7ACC4C3E"/>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39" w15:restartNumberingAfterBreak="0">
    <w:nsid w:val="75F74A80"/>
    <w:multiLevelType w:val="hybridMultilevel"/>
    <w:tmpl w:val="A5681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644516B"/>
    <w:multiLevelType w:val="hybridMultilevel"/>
    <w:tmpl w:val="6346D1A8"/>
    <w:lvl w:ilvl="0" w:tplc="0C090001">
      <w:start w:val="1"/>
      <w:numFmt w:val="bullet"/>
      <w:lvlText w:val=""/>
      <w:lvlJc w:val="left"/>
      <w:pPr>
        <w:ind w:left="879" w:hanging="360"/>
      </w:pPr>
      <w:rPr>
        <w:rFonts w:ascii="Symbol" w:hAnsi="Symbol" w:hint="default"/>
      </w:rPr>
    </w:lvl>
    <w:lvl w:ilvl="1" w:tplc="0C090003" w:tentative="1">
      <w:start w:val="1"/>
      <w:numFmt w:val="bullet"/>
      <w:lvlText w:val="o"/>
      <w:lvlJc w:val="left"/>
      <w:pPr>
        <w:ind w:left="1599" w:hanging="360"/>
      </w:pPr>
      <w:rPr>
        <w:rFonts w:ascii="Courier New" w:hAnsi="Courier New" w:cs="Courier New" w:hint="default"/>
      </w:rPr>
    </w:lvl>
    <w:lvl w:ilvl="2" w:tplc="0C090005" w:tentative="1">
      <w:start w:val="1"/>
      <w:numFmt w:val="bullet"/>
      <w:lvlText w:val=""/>
      <w:lvlJc w:val="left"/>
      <w:pPr>
        <w:ind w:left="2319" w:hanging="360"/>
      </w:pPr>
      <w:rPr>
        <w:rFonts w:ascii="Wingdings" w:hAnsi="Wingdings" w:hint="default"/>
      </w:rPr>
    </w:lvl>
    <w:lvl w:ilvl="3" w:tplc="0C090001" w:tentative="1">
      <w:start w:val="1"/>
      <w:numFmt w:val="bullet"/>
      <w:lvlText w:val=""/>
      <w:lvlJc w:val="left"/>
      <w:pPr>
        <w:ind w:left="3039" w:hanging="360"/>
      </w:pPr>
      <w:rPr>
        <w:rFonts w:ascii="Symbol" w:hAnsi="Symbol" w:hint="default"/>
      </w:rPr>
    </w:lvl>
    <w:lvl w:ilvl="4" w:tplc="0C090003" w:tentative="1">
      <w:start w:val="1"/>
      <w:numFmt w:val="bullet"/>
      <w:lvlText w:val="o"/>
      <w:lvlJc w:val="left"/>
      <w:pPr>
        <w:ind w:left="3759" w:hanging="360"/>
      </w:pPr>
      <w:rPr>
        <w:rFonts w:ascii="Courier New" w:hAnsi="Courier New" w:cs="Courier New" w:hint="default"/>
      </w:rPr>
    </w:lvl>
    <w:lvl w:ilvl="5" w:tplc="0C090005" w:tentative="1">
      <w:start w:val="1"/>
      <w:numFmt w:val="bullet"/>
      <w:lvlText w:val=""/>
      <w:lvlJc w:val="left"/>
      <w:pPr>
        <w:ind w:left="4479" w:hanging="360"/>
      </w:pPr>
      <w:rPr>
        <w:rFonts w:ascii="Wingdings" w:hAnsi="Wingdings" w:hint="default"/>
      </w:rPr>
    </w:lvl>
    <w:lvl w:ilvl="6" w:tplc="0C090001" w:tentative="1">
      <w:start w:val="1"/>
      <w:numFmt w:val="bullet"/>
      <w:lvlText w:val=""/>
      <w:lvlJc w:val="left"/>
      <w:pPr>
        <w:ind w:left="5199" w:hanging="360"/>
      </w:pPr>
      <w:rPr>
        <w:rFonts w:ascii="Symbol" w:hAnsi="Symbol" w:hint="default"/>
      </w:rPr>
    </w:lvl>
    <w:lvl w:ilvl="7" w:tplc="0C090003" w:tentative="1">
      <w:start w:val="1"/>
      <w:numFmt w:val="bullet"/>
      <w:lvlText w:val="o"/>
      <w:lvlJc w:val="left"/>
      <w:pPr>
        <w:ind w:left="5919" w:hanging="360"/>
      </w:pPr>
      <w:rPr>
        <w:rFonts w:ascii="Courier New" w:hAnsi="Courier New" w:cs="Courier New" w:hint="default"/>
      </w:rPr>
    </w:lvl>
    <w:lvl w:ilvl="8" w:tplc="0C090005" w:tentative="1">
      <w:start w:val="1"/>
      <w:numFmt w:val="bullet"/>
      <w:lvlText w:val=""/>
      <w:lvlJc w:val="left"/>
      <w:pPr>
        <w:ind w:left="6639" w:hanging="360"/>
      </w:pPr>
      <w:rPr>
        <w:rFonts w:ascii="Wingdings" w:hAnsi="Wingdings" w:hint="default"/>
      </w:rPr>
    </w:lvl>
  </w:abstractNum>
  <w:abstractNum w:abstractNumId="41" w15:restartNumberingAfterBreak="0">
    <w:nsid w:val="77A96361"/>
    <w:multiLevelType w:val="hybridMultilevel"/>
    <w:tmpl w:val="96162E22"/>
    <w:lvl w:ilvl="0" w:tplc="0DC48728">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2" w15:restartNumberingAfterBreak="0">
    <w:nsid w:val="78982AEF"/>
    <w:multiLevelType w:val="hybridMultilevel"/>
    <w:tmpl w:val="A0DA6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D9C1199"/>
    <w:multiLevelType w:val="multilevel"/>
    <w:tmpl w:val="903E40C8"/>
    <w:lvl w:ilvl="0">
      <w:start w:val="1"/>
      <w:numFmt w:val="bullet"/>
      <w:pStyle w:val="bullet20"/>
      <w:lvlText w:val="o"/>
      <w:lvlJc w:val="left"/>
      <w:pPr>
        <w:ind w:left="717" w:hanging="360"/>
      </w:pPr>
      <w:rPr>
        <w:rFonts w:ascii="Courier New" w:hAnsi="Courier New"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num w:numId="1" w16cid:durableId="1375735923">
    <w:abstractNumId w:val="9"/>
  </w:num>
  <w:num w:numId="2" w16cid:durableId="540099102">
    <w:abstractNumId w:val="22"/>
  </w:num>
  <w:num w:numId="3" w16cid:durableId="931165910">
    <w:abstractNumId w:val="37"/>
  </w:num>
  <w:num w:numId="4" w16cid:durableId="538129790">
    <w:abstractNumId w:val="43"/>
  </w:num>
  <w:num w:numId="5" w16cid:durableId="756554858">
    <w:abstractNumId w:val="1"/>
  </w:num>
  <w:num w:numId="6" w16cid:durableId="1148398259">
    <w:abstractNumId w:val="27"/>
  </w:num>
  <w:num w:numId="7" w16cid:durableId="1737975280">
    <w:abstractNumId w:val="23"/>
  </w:num>
  <w:num w:numId="8" w16cid:durableId="101148886">
    <w:abstractNumId w:val="18"/>
  </w:num>
  <w:num w:numId="9" w16cid:durableId="759791494">
    <w:abstractNumId w:val="19"/>
  </w:num>
  <w:num w:numId="10" w16cid:durableId="735510749">
    <w:abstractNumId w:val="4"/>
  </w:num>
  <w:num w:numId="11" w16cid:durableId="1332878417">
    <w:abstractNumId w:val="31"/>
  </w:num>
  <w:num w:numId="12" w16cid:durableId="1513252963">
    <w:abstractNumId w:val="29"/>
  </w:num>
  <w:num w:numId="13" w16cid:durableId="1142888030">
    <w:abstractNumId w:val="6"/>
  </w:num>
  <w:num w:numId="14" w16cid:durableId="1852141077">
    <w:abstractNumId w:val="26"/>
    <w:lvlOverride w:ilvl="0">
      <w:lvl w:ilvl="0">
        <w:start w:val="1"/>
        <w:numFmt w:val="decimal"/>
        <w:pStyle w:val="TableTitle"/>
        <w:lvlText w:val="Table %1."/>
        <w:lvlJc w:val="left"/>
        <w:pPr>
          <w:ind w:left="1134" w:hanging="1134"/>
        </w:pPr>
        <w:rPr>
          <w:rFonts w:hint="default"/>
          <w:b/>
          <w:i w:val="0"/>
          <w:caps w:val="0"/>
          <w:color w:val="5B9BD5" w:themeColor="accent1"/>
        </w:rPr>
      </w:lvl>
    </w:lvlOverride>
  </w:num>
  <w:num w:numId="15" w16cid:durableId="2122068688">
    <w:abstractNumId w:val="0"/>
  </w:num>
  <w:num w:numId="16" w16cid:durableId="773210211">
    <w:abstractNumId w:val="28"/>
  </w:num>
  <w:num w:numId="17" w16cid:durableId="1518495968">
    <w:abstractNumId w:val="14"/>
  </w:num>
  <w:num w:numId="18" w16cid:durableId="1866358179">
    <w:abstractNumId w:val="3"/>
  </w:num>
  <w:num w:numId="19" w16cid:durableId="1350698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3025353">
    <w:abstractNumId w:val="30"/>
  </w:num>
  <w:num w:numId="21" w16cid:durableId="2060592083">
    <w:abstractNumId w:val="13"/>
  </w:num>
  <w:num w:numId="22" w16cid:durableId="1313218431">
    <w:abstractNumId w:val="39"/>
  </w:num>
  <w:num w:numId="23" w16cid:durableId="372116630">
    <w:abstractNumId w:val="21"/>
  </w:num>
  <w:num w:numId="24" w16cid:durableId="1726447610">
    <w:abstractNumId w:val="5"/>
  </w:num>
  <w:num w:numId="25" w16cid:durableId="694234002">
    <w:abstractNumId w:val="12"/>
  </w:num>
  <w:num w:numId="26" w16cid:durableId="1197698938">
    <w:abstractNumId w:val="34"/>
  </w:num>
  <w:num w:numId="27" w16cid:durableId="1656881634">
    <w:abstractNumId w:val="10"/>
  </w:num>
  <w:num w:numId="28" w16cid:durableId="440339825">
    <w:abstractNumId w:val="38"/>
  </w:num>
  <w:num w:numId="29" w16cid:durableId="1713263680">
    <w:abstractNumId w:val="25"/>
  </w:num>
  <w:num w:numId="30" w16cid:durableId="21089616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3413100">
    <w:abstractNumId w:val="24"/>
  </w:num>
  <w:num w:numId="32" w16cid:durableId="510339118">
    <w:abstractNumId w:val="8"/>
  </w:num>
  <w:num w:numId="33" w16cid:durableId="1096679770">
    <w:abstractNumId w:val="32"/>
  </w:num>
  <w:num w:numId="34" w16cid:durableId="1335648833">
    <w:abstractNumId w:val="35"/>
  </w:num>
  <w:num w:numId="35" w16cid:durableId="577403257">
    <w:abstractNumId w:val="16"/>
  </w:num>
  <w:num w:numId="36" w16cid:durableId="2058552126">
    <w:abstractNumId w:val="2"/>
  </w:num>
  <w:num w:numId="37" w16cid:durableId="373580893">
    <w:abstractNumId w:val="36"/>
  </w:num>
  <w:num w:numId="38" w16cid:durableId="115758468">
    <w:abstractNumId w:val="40"/>
  </w:num>
  <w:num w:numId="39" w16cid:durableId="1506017677">
    <w:abstractNumId w:val="8"/>
  </w:num>
  <w:num w:numId="40" w16cid:durableId="2022969386">
    <w:abstractNumId w:val="33"/>
  </w:num>
  <w:num w:numId="41" w16cid:durableId="1138303769">
    <w:abstractNumId w:val="7"/>
  </w:num>
  <w:num w:numId="42" w16cid:durableId="30807533">
    <w:abstractNumId w:val="11"/>
  </w:num>
  <w:num w:numId="43" w16cid:durableId="1849052756">
    <w:abstractNumId w:val="17"/>
  </w:num>
  <w:num w:numId="44" w16cid:durableId="1149057474">
    <w:abstractNumId w:val="42"/>
  </w:num>
  <w:num w:numId="45" w16cid:durableId="934675677">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94"/>
    <w:rsid w:val="0000159F"/>
    <w:rsid w:val="00002A83"/>
    <w:rsid w:val="00002AF7"/>
    <w:rsid w:val="00002E80"/>
    <w:rsid w:val="000067E5"/>
    <w:rsid w:val="00006FFC"/>
    <w:rsid w:val="0001033F"/>
    <w:rsid w:val="00011180"/>
    <w:rsid w:val="000148A1"/>
    <w:rsid w:val="000166E2"/>
    <w:rsid w:val="00024DB8"/>
    <w:rsid w:val="00025CB4"/>
    <w:rsid w:val="00030F0F"/>
    <w:rsid w:val="00033095"/>
    <w:rsid w:val="00033B8B"/>
    <w:rsid w:val="00034451"/>
    <w:rsid w:val="000362F4"/>
    <w:rsid w:val="00036E8E"/>
    <w:rsid w:val="00036FBB"/>
    <w:rsid w:val="000409CC"/>
    <w:rsid w:val="00041229"/>
    <w:rsid w:val="00042315"/>
    <w:rsid w:val="000459F7"/>
    <w:rsid w:val="0004651A"/>
    <w:rsid w:val="000468A5"/>
    <w:rsid w:val="00046C7E"/>
    <w:rsid w:val="00047A2F"/>
    <w:rsid w:val="00050E3C"/>
    <w:rsid w:val="0005202D"/>
    <w:rsid w:val="00052CE2"/>
    <w:rsid w:val="000540F8"/>
    <w:rsid w:val="0005427C"/>
    <w:rsid w:val="00055740"/>
    <w:rsid w:val="00060883"/>
    <w:rsid w:val="00061209"/>
    <w:rsid w:val="00061CB7"/>
    <w:rsid w:val="00062FC3"/>
    <w:rsid w:val="00063F53"/>
    <w:rsid w:val="00064076"/>
    <w:rsid w:val="00067AB9"/>
    <w:rsid w:val="00067E3F"/>
    <w:rsid w:val="00067F06"/>
    <w:rsid w:val="00067FA8"/>
    <w:rsid w:val="00070352"/>
    <w:rsid w:val="00070C45"/>
    <w:rsid w:val="000772E8"/>
    <w:rsid w:val="00080696"/>
    <w:rsid w:val="00080A08"/>
    <w:rsid w:val="000815FE"/>
    <w:rsid w:val="00082C1E"/>
    <w:rsid w:val="00090659"/>
    <w:rsid w:val="00093948"/>
    <w:rsid w:val="000945FC"/>
    <w:rsid w:val="000977F2"/>
    <w:rsid w:val="000A1179"/>
    <w:rsid w:val="000A2753"/>
    <w:rsid w:val="000A31F3"/>
    <w:rsid w:val="000A5858"/>
    <w:rsid w:val="000A6F7E"/>
    <w:rsid w:val="000B192F"/>
    <w:rsid w:val="000B357A"/>
    <w:rsid w:val="000B359C"/>
    <w:rsid w:val="000B416C"/>
    <w:rsid w:val="000B5A89"/>
    <w:rsid w:val="000B79ED"/>
    <w:rsid w:val="000C124F"/>
    <w:rsid w:val="000C2FF4"/>
    <w:rsid w:val="000C6941"/>
    <w:rsid w:val="000D3642"/>
    <w:rsid w:val="000D3DE7"/>
    <w:rsid w:val="000D409C"/>
    <w:rsid w:val="000D473E"/>
    <w:rsid w:val="000D5635"/>
    <w:rsid w:val="000D64AA"/>
    <w:rsid w:val="000D7B2A"/>
    <w:rsid w:val="000E01B8"/>
    <w:rsid w:val="000E11E7"/>
    <w:rsid w:val="000E35A9"/>
    <w:rsid w:val="000E523B"/>
    <w:rsid w:val="000F1369"/>
    <w:rsid w:val="000F3C70"/>
    <w:rsid w:val="000F489D"/>
    <w:rsid w:val="000F6C81"/>
    <w:rsid w:val="000F7076"/>
    <w:rsid w:val="00100416"/>
    <w:rsid w:val="00103C68"/>
    <w:rsid w:val="0010655A"/>
    <w:rsid w:val="0011082B"/>
    <w:rsid w:val="0011226E"/>
    <w:rsid w:val="00112A3D"/>
    <w:rsid w:val="00113337"/>
    <w:rsid w:val="00116A4B"/>
    <w:rsid w:val="001202BC"/>
    <w:rsid w:val="00120DB6"/>
    <w:rsid w:val="001221C2"/>
    <w:rsid w:val="00122B4D"/>
    <w:rsid w:val="001245C8"/>
    <w:rsid w:val="00125E59"/>
    <w:rsid w:val="00126A84"/>
    <w:rsid w:val="001274ED"/>
    <w:rsid w:val="00137F41"/>
    <w:rsid w:val="00140E63"/>
    <w:rsid w:val="001411B2"/>
    <w:rsid w:val="00144A79"/>
    <w:rsid w:val="001456B1"/>
    <w:rsid w:val="00146D8C"/>
    <w:rsid w:val="00147183"/>
    <w:rsid w:val="00147648"/>
    <w:rsid w:val="00147A4B"/>
    <w:rsid w:val="001509FD"/>
    <w:rsid w:val="0015175C"/>
    <w:rsid w:val="001569D0"/>
    <w:rsid w:val="0016024F"/>
    <w:rsid w:val="00161B06"/>
    <w:rsid w:val="001628EB"/>
    <w:rsid w:val="001659C3"/>
    <w:rsid w:val="00165D31"/>
    <w:rsid w:val="00166F64"/>
    <w:rsid w:val="00170D40"/>
    <w:rsid w:val="001723F7"/>
    <w:rsid w:val="00182264"/>
    <w:rsid w:val="00182F29"/>
    <w:rsid w:val="00183FC6"/>
    <w:rsid w:val="0018551C"/>
    <w:rsid w:val="00185CCE"/>
    <w:rsid w:val="00185FE1"/>
    <w:rsid w:val="00186490"/>
    <w:rsid w:val="001868B5"/>
    <w:rsid w:val="001901D9"/>
    <w:rsid w:val="0019032A"/>
    <w:rsid w:val="00190528"/>
    <w:rsid w:val="0019587E"/>
    <w:rsid w:val="001A34E8"/>
    <w:rsid w:val="001A6487"/>
    <w:rsid w:val="001A7172"/>
    <w:rsid w:val="001A7D21"/>
    <w:rsid w:val="001B1C47"/>
    <w:rsid w:val="001B2D33"/>
    <w:rsid w:val="001B4763"/>
    <w:rsid w:val="001B5152"/>
    <w:rsid w:val="001B5B9D"/>
    <w:rsid w:val="001B6B20"/>
    <w:rsid w:val="001B6E8E"/>
    <w:rsid w:val="001C0082"/>
    <w:rsid w:val="001C5977"/>
    <w:rsid w:val="001D0003"/>
    <w:rsid w:val="001D03E6"/>
    <w:rsid w:val="001D03FE"/>
    <w:rsid w:val="001D0CB2"/>
    <w:rsid w:val="001D47FB"/>
    <w:rsid w:val="001E00FC"/>
    <w:rsid w:val="001E0110"/>
    <w:rsid w:val="001E0980"/>
    <w:rsid w:val="001E0C4D"/>
    <w:rsid w:val="001E0F16"/>
    <w:rsid w:val="001E174B"/>
    <w:rsid w:val="001E2685"/>
    <w:rsid w:val="001E6D0F"/>
    <w:rsid w:val="001F14CD"/>
    <w:rsid w:val="001F2EBF"/>
    <w:rsid w:val="001F5368"/>
    <w:rsid w:val="001F5A1E"/>
    <w:rsid w:val="001F68FD"/>
    <w:rsid w:val="00200493"/>
    <w:rsid w:val="00202319"/>
    <w:rsid w:val="0020371C"/>
    <w:rsid w:val="00206AF0"/>
    <w:rsid w:val="00207295"/>
    <w:rsid w:val="00212FE1"/>
    <w:rsid w:val="00214621"/>
    <w:rsid w:val="002151D4"/>
    <w:rsid w:val="002220C0"/>
    <w:rsid w:val="0022284A"/>
    <w:rsid w:val="00222B9C"/>
    <w:rsid w:val="00222C35"/>
    <w:rsid w:val="002242E7"/>
    <w:rsid w:val="002246A4"/>
    <w:rsid w:val="00224A6B"/>
    <w:rsid w:val="00225168"/>
    <w:rsid w:val="00225D81"/>
    <w:rsid w:val="00226D92"/>
    <w:rsid w:val="00227DEA"/>
    <w:rsid w:val="00230140"/>
    <w:rsid w:val="00232D72"/>
    <w:rsid w:val="0023385E"/>
    <w:rsid w:val="002456B4"/>
    <w:rsid w:val="002519BD"/>
    <w:rsid w:val="00253ACB"/>
    <w:rsid w:val="00254EE3"/>
    <w:rsid w:val="0025564E"/>
    <w:rsid w:val="00257E4B"/>
    <w:rsid w:val="00264497"/>
    <w:rsid w:val="00272E11"/>
    <w:rsid w:val="00273FD1"/>
    <w:rsid w:val="00277AF5"/>
    <w:rsid w:val="0028052C"/>
    <w:rsid w:val="00284B1E"/>
    <w:rsid w:val="00284C68"/>
    <w:rsid w:val="0028772E"/>
    <w:rsid w:val="002901DC"/>
    <w:rsid w:val="002903A5"/>
    <w:rsid w:val="00290922"/>
    <w:rsid w:val="00291845"/>
    <w:rsid w:val="00292832"/>
    <w:rsid w:val="00292DA0"/>
    <w:rsid w:val="002A0931"/>
    <w:rsid w:val="002A3C2D"/>
    <w:rsid w:val="002A47C5"/>
    <w:rsid w:val="002A47F8"/>
    <w:rsid w:val="002B3A89"/>
    <w:rsid w:val="002B418F"/>
    <w:rsid w:val="002B4201"/>
    <w:rsid w:val="002B6770"/>
    <w:rsid w:val="002C2C9A"/>
    <w:rsid w:val="002C3B33"/>
    <w:rsid w:val="002C494E"/>
    <w:rsid w:val="002C4BD6"/>
    <w:rsid w:val="002D0C44"/>
    <w:rsid w:val="002D3D10"/>
    <w:rsid w:val="002D5F6C"/>
    <w:rsid w:val="002D741F"/>
    <w:rsid w:val="002D7E91"/>
    <w:rsid w:val="002E15CE"/>
    <w:rsid w:val="002E54EC"/>
    <w:rsid w:val="002F14F6"/>
    <w:rsid w:val="002F4845"/>
    <w:rsid w:val="002F639E"/>
    <w:rsid w:val="00300ADB"/>
    <w:rsid w:val="00300CCC"/>
    <w:rsid w:val="00302FCE"/>
    <w:rsid w:val="003035F1"/>
    <w:rsid w:val="003037D0"/>
    <w:rsid w:val="00306EC7"/>
    <w:rsid w:val="003110EA"/>
    <w:rsid w:val="0031221A"/>
    <w:rsid w:val="0031298B"/>
    <w:rsid w:val="00313739"/>
    <w:rsid w:val="003144A1"/>
    <w:rsid w:val="00316001"/>
    <w:rsid w:val="00316C30"/>
    <w:rsid w:val="00321C34"/>
    <w:rsid w:val="00322FDF"/>
    <w:rsid w:val="00325808"/>
    <w:rsid w:val="0032718E"/>
    <w:rsid w:val="003273EB"/>
    <w:rsid w:val="00327C98"/>
    <w:rsid w:val="003300C3"/>
    <w:rsid w:val="00334042"/>
    <w:rsid w:val="0033488F"/>
    <w:rsid w:val="003355AA"/>
    <w:rsid w:val="00340363"/>
    <w:rsid w:val="003418BE"/>
    <w:rsid w:val="003435A9"/>
    <w:rsid w:val="003507B2"/>
    <w:rsid w:val="00350A19"/>
    <w:rsid w:val="00350BBA"/>
    <w:rsid w:val="003512DE"/>
    <w:rsid w:val="00360481"/>
    <w:rsid w:val="003633D4"/>
    <w:rsid w:val="003677B1"/>
    <w:rsid w:val="00370197"/>
    <w:rsid w:val="00371114"/>
    <w:rsid w:val="00371DB7"/>
    <w:rsid w:val="003721D4"/>
    <w:rsid w:val="003722F1"/>
    <w:rsid w:val="00373693"/>
    <w:rsid w:val="00376982"/>
    <w:rsid w:val="00380D75"/>
    <w:rsid w:val="00381149"/>
    <w:rsid w:val="00382CED"/>
    <w:rsid w:val="00386324"/>
    <w:rsid w:val="00386B33"/>
    <w:rsid w:val="0039075C"/>
    <w:rsid w:val="003908E5"/>
    <w:rsid w:val="00391887"/>
    <w:rsid w:val="00395563"/>
    <w:rsid w:val="00396F98"/>
    <w:rsid w:val="003A0CC4"/>
    <w:rsid w:val="003A12EE"/>
    <w:rsid w:val="003A148A"/>
    <w:rsid w:val="003A1497"/>
    <w:rsid w:val="003A2050"/>
    <w:rsid w:val="003A4765"/>
    <w:rsid w:val="003A5449"/>
    <w:rsid w:val="003A5E33"/>
    <w:rsid w:val="003A74DD"/>
    <w:rsid w:val="003B1B0F"/>
    <w:rsid w:val="003B4079"/>
    <w:rsid w:val="003B42E5"/>
    <w:rsid w:val="003B6335"/>
    <w:rsid w:val="003B7CE2"/>
    <w:rsid w:val="003C0B38"/>
    <w:rsid w:val="003C2BC2"/>
    <w:rsid w:val="003C3BAF"/>
    <w:rsid w:val="003C3D01"/>
    <w:rsid w:val="003C471F"/>
    <w:rsid w:val="003C4BF0"/>
    <w:rsid w:val="003C4D86"/>
    <w:rsid w:val="003C5CA1"/>
    <w:rsid w:val="003C5ED1"/>
    <w:rsid w:val="003D22DE"/>
    <w:rsid w:val="003D4137"/>
    <w:rsid w:val="003D6B00"/>
    <w:rsid w:val="003E232D"/>
    <w:rsid w:val="003E42E0"/>
    <w:rsid w:val="003E45FA"/>
    <w:rsid w:val="003E4738"/>
    <w:rsid w:val="003F0AFC"/>
    <w:rsid w:val="003F3928"/>
    <w:rsid w:val="003F440B"/>
    <w:rsid w:val="003F539A"/>
    <w:rsid w:val="003F5486"/>
    <w:rsid w:val="003F6C33"/>
    <w:rsid w:val="003F7835"/>
    <w:rsid w:val="00401DFD"/>
    <w:rsid w:val="004020B1"/>
    <w:rsid w:val="00402516"/>
    <w:rsid w:val="00402C25"/>
    <w:rsid w:val="00403623"/>
    <w:rsid w:val="00405565"/>
    <w:rsid w:val="00405778"/>
    <w:rsid w:val="004100BC"/>
    <w:rsid w:val="0041086B"/>
    <w:rsid w:val="00410DB1"/>
    <w:rsid w:val="00416498"/>
    <w:rsid w:val="00417870"/>
    <w:rsid w:val="00420A2A"/>
    <w:rsid w:val="004212A4"/>
    <w:rsid w:val="004235A7"/>
    <w:rsid w:val="00423CA3"/>
    <w:rsid w:val="004244E6"/>
    <w:rsid w:val="00425FF0"/>
    <w:rsid w:val="00430784"/>
    <w:rsid w:val="00431B90"/>
    <w:rsid w:val="00434696"/>
    <w:rsid w:val="00435884"/>
    <w:rsid w:val="00435E6A"/>
    <w:rsid w:val="00440B46"/>
    <w:rsid w:val="00441160"/>
    <w:rsid w:val="00441D11"/>
    <w:rsid w:val="00442B9C"/>
    <w:rsid w:val="00443784"/>
    <w:rsid w:val="00444579"/>
    <w:rsid w:val="0044606E"/>
    <w:rsid w:val="00454420"/>
    <w:rsid w:val="00457A95"/>
    <w:rsid w:val="00460520"/>
    <w:rsid w:val="00462830"/>
    <w:rsid w:val="004634C5"/>
    <w:rsid w:val="00465ECA"/>
    <w:rsid w:val="0046681C"/>
    <w:rsid w:val="004670B2"/>
    <w:rsid w:val="0046797D"/>
    <w:rsid w:val="004679D6"/>
    <w:rsid w:val="00470DB3"/>
    <w:rsid w:val="00471BF4"/>
    <w:rsid w:val="00472963"/>
    <w:rsid w:val="00473ED1"/>
    <w:rsid w:val="004779EA"/>
    <w:rsid w:val="00480801"/>
    <w:rsid w:val="00481CB2"/>
    <w:rsid w:val="0048305D"/>
    <w:rsid w:val="00483345"/>
    <w:rsid w:val="00483BFB"/>
    <w:rsid w:val="00483F8D"/>
    <w:rsid w:val="00487380"/>
    <w:rsid w:val="00490CEB"/>
    <w:rsid w:val="00493D80"/>
    <w:rsid w:val="00495309"/>
    <w:rsid w:val="00495C6A"/>
    <w:rsid w:val="004A003A"/>
    <w:rsid w:val="004A4652"/>
    <w:rsid w:val="004A4DD8"/>
    <w:rsid w:val="004A5A93"/>
    <w:rsid w:val="004A6470"/>
    <w:rsid w:val="004A7B2F"/>
    <w:rsid w:val="004B03AD"/>
    <w:rsid w:val="004B44FE"/>
    <w:rsid w:val="004B4F16"/>
    <w:rsid w:val="004B7F23"/>
    <w:rsid w:val="004C59F7"/>
    <w:rsid w:val="004D0A9C"/>
    <w:rsid w:val="004D113F"/>
    <w:rsid w:val="004D749A"/>
    <w:rsid w:val="004E0C46"/>
    <w:rsid w:val="004E3BF4"/>
    <w:rsid w:val="004E4E46"/>
    <w:rsid w:val="004E501E"/>
    <w:rsid w:val="004E5B32"/>
    <w:rsid w:val="004E6622"/>
    <w:rsid w:val="004F34E6"/>
    <w:rsid w:val="004F3D9E"/>
    <w:rsid w:val="004F3F45"/>
    <w:rsid w:val="004F65EA"/>
    <w:rsid w:val="00500C7F"/>
    <w:rsid w:val="00503BA7"/>
    <w:rsid w:val="00504380"/>
    <w:rsid w:val="00510DEA"/>
    <w:rsid w:val="00511720"/>
    <w:rsid w:val="00513CD6"/>
    <w:rsid w:val="00514C3A"/>
    <w:rsid w:val="00515C14"/>
    <w:rsid w:val="00517864"/>
    <w:rsid w:val="005239B3"/>
    <w:rsid w:val="005244C7"/>
    <w:rsid w:val="00525465"/>
    <w:rsid w:val="005331E2"/>
    <w:rsid w:val="00534CCC"/>
    <w:rsid w:val="0053613A"/>
    <w:rsid w:val="00536956"/>
    <w:rsid w:val="00541895"/>
    <w:rsid w:val="00541AB8"/>
    <w:rsid w:val="00544D0B"/>
    <w:rsid w:val="00550867"/>
    <w:rsid w:val="0055278D"/>
    <w:rsid w:val="00555ED7"/>
    <w:rsid w:val="005561B3"/>
    <w:rsid w:val="00557502"/>
    <w:rsid w:val="005600CB"/>
    <w:rsid w:val="00561662"/>
    <w:rsid w:val="00564033"/>
    <w:rsid w:val="00564C40"/>
    <w:rsid w:val="00565FB4"/>
    <w:rsid w:val="00566404"/>
    <w:rsid w:val="00567695"/>
    <w:rsid w:val="00572530"/>
    <w:rsid w:val="005750C6"/>
    <w:rsid w:val="00577972"/>
    <w:rsid w:val="0058437E"/>
    <w:rsid w:val="0058476B"/>
    <w:rsid w:val="00586F3A"/>
    <w:rsid w:val="00587343"/>
    <w:rsid w:val="00587E63"/>
    <w:rsid w:val="005908CE"/>
    <w:rsid w:val="00590F62"/>
    <w:rsid w:val="005921C2"/>
    <w:rsid w:val="005929CA"/>
    <w:rsid w:val="00593F35"/>
    <w:rsid w:val="005951BD"/>
    <w:rsid w:val="005970FF"/>
    <w:rsid w:val="005A3B8F"/>
    <w:rsid w:val="005A4883"/>
    <w:rsid w:val="005A4F2B"/>
    <w:rsid w:val="005B1F3C"/>
    <w:rsid w:val="005B458D"/>
    <w:rsid w:val="005B5BCB"/>
    <w:rsid w:val="005B6770"/>
    <w:rsid w:val="005B6FCE"/>
    <w:rsid w:val="005B7B67"/>
    <w:rsid w:val="005C2352"/>
    <w:rsid w:val="005C2D86"/>
    <w:rsid w:val="005C564F"/>
    <w:rsid w:val="005D23F2"/>
    <w:rsid w:val="005D314B"/>
    <w:rsid w:val="005D37BD"/>
    <w:rsid w:val="005D3D59"/>
    <w:rsid w:val="005D3F6F"/>
    <w:rsid w:val="005D525C"/>
    <w:rsid w:val="005D5A3F"/>
    <w:rsid w:val="005D5ABB"/>
    <w:rsid w:val="005D60C4"/>
    <w:rsid w:val="005D72E2"/>
    <w:rsid w:val="005D78BC"/>
    <w:rsid w:val="005E1406"/>
    <w:rsid w:val="005E238A"/>
    <w:rsid w:val="005E262F"/>
    <w:rsid w:val="005E3400"/>
    <w:rsid w:val="005E35C3"/>
    <w:rsid w:val="005E3AB9"/>
    <w:rsid w:val="005E69BD"/>
    <w:rsid w:val="005E6DF8"/>
    <w:rsid w:val="005F0068"/>
    <w:rsid w:val="005F18E4"/>
    <w:rsid w:val="005F1C51"/>
    <w:rsid w:val="005F1EC8"/>
    <w:rsid w:val="005F70C4"/>
    <w:rsid w:val="0060051C"/>
    <w:rsid w:val="006017C1"/>
    <w:rsid w:val="00602987"/>
    <w:rsid w:val="00606296"/>
    <w:rsid w:val="006073A7"/>
    <w:rsid w:val="00607E43"/>
    <w:rsid w:val="00613213"/>
    <w:rsid w:val="00613831"/>
    <w:rsid w:val="0061416F"/>
    <w:rsid w:val="0061514F"/>
    <w:rsid w:val="00615621"/>
    <w:rsid w:val="00620366"/>
    <w:rsid w:val="0062146F"/>
    <w:rsid w:val="0062157D"/>
    <w:rsid w:val="00623AB4"/>
    <w:rsid w:val="0062637E"/>
    <w:rsid w:val="00627258"/>
    <w:rsid w:val="006325DA"/>
    <w:rsid w:val="00634960"/>
    <w:rsid w:val="006358B9"/>
    <w:rsid w:val="006361AE"/>
    <w:rsid w:val="00636612"/>
    <w:rsid w:val="00642335"/>
    <w:rsid w:val="006438A7"/>
    <w:rsid w:val="00643D2F"/>
    <w:rsid w:val="006458BD"/>
    <w:rsid w:val="00650E29"/>
    <w:rsid w:val="0065359F"/>
    <w:rsid w:val="00654372"/>
    <w:rsid w:val="00654D09"/>
    <w:rsid w:val="00657B12"/>
    <w:rsid w:val="006602F4"/>
    <w:rsid w:val="00664036"/>
    <w:rsid w:val="00664330"/>
    <w:rsid w:val="00667B0C"/>
    <w:rsid w:val="0067060B"/>
    <w:rsid w:val="00670AB7"/>
    <w:rsid w:val="00670C2A"/>
    <w:rsid w:val="00672F8C"/>
    <w:rsid w:val="006744F8"/>
    <w:rsid w:val="00675B96"/>
    <w:rsid w:val="006846C5"/>
    <w:rsid w:val="00684E82"/>
    <w:rsid w:val="00691BCF"/>
    <w:rsid w:val="0069245E"/>
    <w:rsid w:val="0069252D"/>
    <w:rsid w:val="00695160"/>
    <w:rsid w:val="00697374"/>
    <w:rsid w:val="00697892"/>
    <w:rsid w:val="006A00BD"/>
    <w:rsid w:val="006A0434"/>
    <w:rsid w:val="006A1379"/>
    <w:rsid w:val="006A1CA9"/>
    <w:rsid w:val="006A3567"/>
    <w:rsid w:val="006A6532"/>
    <w:rsid w:val="006A686B"/>
    <w:rsid w:val="006A76B4"/>
    <w:rsid w:val="006A7BE0"/>
    <w:rsid w:val="006B0E38"/>
    <w:rsid w:val="006B1AD1"/>
    <w:rsid w:val="006B4600"/>
    <w:rsid w:val="006B4D3E"/>
    <w:rsid w:val="006B56AA"/>
    <w:rsid w:val="006B5DE7"/>
    <w:rsid w:val="006B6E5B"/>
    <w:rsid w:val="006C2975"/>
    <w:rsid w:val="006C3AC5"/>
    <w:rsid w:val="006C447F"/>
    <w:rsid w:val="006C6874"/>
    <w:rsid w:val="006C6D9F"/>
    <w:rsid w:val="006C7E6E"/>
    <w:rsid w:val="006D00BA"/>
    <w:rsid w:val="006D2061"/>
    <w:rsid w:val="006D7258"/>
    <w:rsid w:val="006E0151"/>
    <w:rsid w:val="006E167F"/>
    <w:rsid w:val="006E2503"/>
    <w:rsid w:val="006F7B65"/>
    <w:rsid w:val="006F7F07"/>
    <w:rsid w:val="00700913"/>
    <w:rsid w:val="00705236"/>
    <w:rsid w:val="00705EF2"/>
    <w:rsid w:val="00707386"/>
    <w:rsid w:val="007127C2"/>
    <w:rsid w:val="007136CE"/>
    <w:rsid w:val="0071373F"/>
    <w:rsid w:val="007145ED"/>
    <w:rsid w:val="00716175"/>
    <w:rsid w:val="00716CFA"/>
    <w:rsid w:val="0072393F"/>
    <w:rsid w:val="00723F5C"/>
    <w:rsid w:val="007245BD"/>
    <w:rsid w:val="00726A29"/>
    <w:rsid w:val="00727119"/>
    <w:rsid w:val="00730294"/>
    <w:rsid w:val="00730E76"/>
    <w:rsid w:val="007317F5"/>
    <w:rsid w:val="00731BA1"/>
    <w:rsid w:val="00733974"/>
    <w:rsid w:val="00734CBB"/>
    <w:rsid w:val="00736191"/>
    <w:rsid w:val="0073728F"/>
    <w:rsid w:val="007404C9"/>
    <w:rsid w:val="007413E4"/>
    <w:rsid w:val="007428F1"/>
    <w:rsid w:val="00744D15"/>
    <w:rsid w:val="00751C91"/>
    <w:rsid w:val="00755F4A"/>
    <w:rsid w:val="00756957"/>
    <w:rsid w:val="0075772B"/>
    <w:rsid w:val="00757931"/>
    <w:rsid w:val="00760F11"/>
    <w:rsid w:val="0076133C"/>
    <w:rsid w:val="0076195F"/>
    <w:rsid w:val="007621B2"/>
    <w:rsid w:val="00765E05"/>
    <w:rsid w:val="007668A8"/>
    <w:rsid w:val="00770344"/>
    <w:rsid w:val="007723F5"/>
    <w:rsid w:val="007728C4"/>
    <w:rsid w:val="00774390"/>
    <w:rsid w:val="00775D7A"/>
    <w:rsid w:val="007763D8"/>
    <w:rsid w:val="007770D2"/>
    <w:rsid w:val="007805E2"/>
    <w:rsid w:val="007811EC"/>
    <w:rsid w:val="00781C6C"/>
    <w:rsid w:val="00781F76"/>
    <w:rsid w:val="00783E48"/>
    <w:rsid w:val="00785513"/>
    <w:rsid w:val="00785C0E"/>
    <w:rsid w:val="00785D24"/>
    <w:rsid w:val="00786B29"/>
    <w:rsid w:val="007870A9"/>
    <w:rsid w:val="007903F0"/>
    <w:rsid w:val="0079173B"/>
    <w:rsid w:val="00792C68"/>
    <w:rsid w:val="00793117"/>
    <w:rsid w:val="007931DD"/>
    <w:rsid w:val="00796814"/>
    <w:rsid w:val="0079704B"/>
    <w:rsid w:val="0079755F"/>
    <w:rsid w:val="007A0612"/>
    <w:rsid w:val="007A1203"/>
    <w:rsid w:val="007A2F11"/>
    <w:rsid w:val="007A346C"/>
    <w:rsid w:val="007B0885"/>
    <w:rsid w:val="007B7F17"/>
    <w:rsid w:val="007C31FD"/>
    <w:rsid w:val="007C34A7"/>
    <w:rsid w:val="007C3FE1"/>
    <w:rsid w:val="007C43E0"/>
    <w:rsid w:val="007C65A3"/>
    <w:rsid w:val="007C6A53"/>
    <w:rsid w:val="007C762F"/>
    <w:rsid w:val="007D0EA8"/>
    <w:rsid w:val="007D1067"/>
    <w:rsid w:val="007D1854"/>
    <w:rsid w:val="007D31D0"/>
    <w:rsid w:val="007D37ED"/>
    <w:rsid w:val="007D6B26"/>
    <w:rsid w:val="007D7624"/>
    <w:rsid w:val="007E09A7"/>
    <w:rsid w:val="007E0C22"/>
    <w:rsid w:val="007E150A"/>
    <w:rsid w:val="007E1ADF"/>
    <w:rsid w:val="007E1E31"/>
    <w:rsid w:val="007E5050"/>
    <w:rsid w:val="007F2817"/>
    <w:rsid w:val="007F2F83"/>
    <w:rsid w:val="00804089"/>
    <w:rsid w:val="00805FD8"/>
    <w:rsid w:val="008069F5"/>
    <w:rsid w:val="00807B4A"/>
    <w:rsid w:val="00807BDD"/>
    <w:rsid w:val="00810AF1"/>
    <w:rsid w:val="00813D10"/>
    <w:rsid w:val="00813F2C"/>
    <w:rsid w:val="00814AEE"/>
    <w:rsid w:val="00814D89"/>
    <w:rsid w:val="008150D6"/>
    <w:rsid w:val="00823A16"/>
    <w:rsid w:val="00824F4C"/>
    <w:rsid w:val="00825C83"/>
    <w:rsid w:val="00831175"/>
    <w:rsid w:val="0083203F"/>
    <w:rsid w:val="00832706"/>
    <w:rsid w:val="00832A81"/>
    <w:rsid w:val="00832AB2"/>
    <w:rsid w:val="00832B3C"/>
    <w:rsid w:val="00832E86"/>
    <w:rsid w:val="00842844"/>
    <w:rsid w:val="00843B9B"/>
    <w:rsid w:val="00844A05"/>
    <w:rsid w:val="00846017"/>
    <w:rsid w:val="00846EFE"/>
    <w:rsid w:val="00850058"/>
    <w:rsid w:val="00850953"/>
    <w:rsid w:val="00851091"/>
    <w:rsid w:val="008524A3"/>
    <w:rsid w:val="00852E60"/>
    <w:rsid w:val="00853876"/>
    <w:rsid w:val="00854DDA"/>
    <w:rsid w:val="00855415"/>
    <w:rsid w:val="008568D1"/>
    <w:rsid w:val="008618D2"/>
    <w:rsid w:val="00861E0D"/>
    <w:rsid w:val="00863A4C"/>
    <w:rsid w:val="00864104"/>
    <w:rsid w:val="00864883"/>
    <w:rsid w:val="0086702C"/>
    <w:rsid w:val="00870043"/>
    <w:rsid w:val="00871424"/>
    <w:rsid w:val="00872A7C"/>
    <w:rsid w:val="0087638C"/>
    <w:rsid w:val="008765D6"/>
    <w:rsid w:val="0087732D"/>
    <w:rsid w:val="00881627"/>
    <w:rsid w:val="0088195F"/>
    <w:rsid w:val="00887730"/>
    <w:rsid w:val="008878D6"/>
    <w:rsid w:val="00892EA3"/>
    <w:rsid w:val="00894215"/>
    <w:rsid w:val="008958D2"/>
    <w:rsid w:val="00896247"/>
    <w:rsid w:val="008A0404"/>
    <w:rsid w:val="008A1976"/>
    <w:rsid w:val="008A251E"/>
    <w:rsid w:val="008A30B7"/>
    <w:rsid w:val="008A46A8"/>
    <w:rsid w:val="008A555D"/>
    <w:rsid w:val="008A72B2"/>
    <w:rsid w:val="008C081A"/>
    <w:rsid w:val="008C1A20"/>
    <w:rsid w:val="008C3BB7"/>
    <w:rsid w:val="008C5418"/>
    <w:rsid w:val="008C7FD2"/>
    <w:rsid w:val="008D0602"/>
    <w:rsid w:val="008D3553"/>
    <w:rsid w:val="008D5E0B"/>
    <w:rsid w:val="008D5EAC"/>
    <w:rsid w:val="008D6BB7"/>
    <w:rsid w:val="008D736B"/>
    <w:rsid w:val="008D743C"/>
    <w:rsid w:val="008E07C5"/>
    <w:rsid w:val="008E13EE"/>
    <w:rsid w:val="008E2E2F"/>
    <w:rsid w:val="008E3B95"/>
    <w:rsid w:val="008E62A6"/>
    <w:rsid w:val="008E7BAA"/>
    <w:rsid w:val="008F068E"/>
    <w:rsid w:val="008F0A6B"/>
    <w:rsid w:val="008F4C1C"/>
    <w:rsid w:val="008F70AD"/>
    <w:rsid w:val="00900532"/>
    <w:rsid w:val="009051C5"/>
    <w:rsid w:val="00905992"/>
    <w:rsid w:val="00911A17"/>
    <w:rsid w:val="00912EE1"/>
    <w:rsid w:val="00913B7E"/>
    <w:rsid w:val="00914CEE"/>
    <w:rsid w:val="009169D8"/>
    <w:rsid w:val="009171D8"/>
    <w:rsid w:val="00917D52"/>
    <w:rsid w:val="009266DD"/>
    <w:rsid w:val="009273A3"/>
    <w:rsid w:val="0093265F"/>
    <w:rsid w:val="00934578"/>
    <w:rsid w:val="00936B0E"/>
    <w:rsid w:val="00940E2C"/>
    <w:rsid w:val="00944865"/>
    <w:rsid w:val="0094593A"/>
    <w:rsid w:val="00945946"/>
    <w:rsid w:val="00945A13"/>
    <w:rsid w:val="00945B17"/>
    <w:rsid w:val="00951E03"/>
    <w:rsid w:val="00953B18"/>
    <w:rsid w:val="00961E86"/>
    <w:rsid w:val="00962518"/>
    <w:rsid w:val="00962CDD"/>
    <w:rsid w:val="00964BB7"/>
    <w:rsid w:val="0096521B"/>
    <w:rsid w:val="0096653F"/>
    <w:rsid w:val="009712C4"/>
    <w:rsid w:val="009717CC"/>
    <w:rsid w:val="00972784"/>
    <w:rsid w:val="00975187"/>
    <w:rsid w:val="00975E18"/>
    <w:rsid w:val="00975EA9"/>
    <w:rsid w:val="00981E36"/>
    <w:rsid w:val="00982D0B"/>
    <w:rsid w:val="00982D35"/>
    <w:rsid w:val="0098420B"/>
    <w:rsid w:val="009876C6"/>
    <w:rsid w:val="0099597A"/>
    <w:rsid w:val="00996406"/>
    <w:rsid w:val="009A13D2"/>
    <w:rsid w:val="009A2F21"/>
    <w:rsid w:val="009A37F5"/>
    <w:rsid w:val="009A5B2A"/>
    <w:rsid w:val="009A6D81"/>
    <w:rsid w:val="009A7D27"/>
    <w:rsid w:val="009B32DA"/>
    <w:rsid w:val="009B765E"/>
    <w:rsid w:val="009C6EF0"/>
    <w:rsid w:val="009D1D56"/>
    <w:rsid w:val="009D2444"/>
    <w:rsid w:val="009D3931"/>
    <w:rsid w:val="009D3D0A"/>
    <w:rsid w:val="009D5769"/>
    <w:rsid w:val="009E0A13"/>
    <w:rsid w:val="009E2FF1"/>
    <w:rsid w:val="009E6741"/>
    <w:rsid w:val="009E7231"/>
    <w:rsid w:val="009E7672"/>
    <w:rsid w:val="009E79DD"/>
    <w:rsid w:val="009E7F64"/>
    <w:rsid w:val="009F1345"/>
    <w:rsid w:val="009F1A2F"/>
    <w:rsid w:val="009F4D46"/>
    <w:rsid w:val="00A0120A"/>
    <w:rsid w:val="00A0335D"/>
    <w:rsid w:val="00A03ED6"/>
    <w:rsid w:val="00A06137"/>
    <w:rsid w:val="00A061B8"/>
    <w:rsid w:val="00A070FE"/>
    <w:rsid w:val="00A07E1A"/>
    <w:rsid w:val="00A10BAB"/>
    <w:rsid w:val="00A1203B"/>
    <w:rsid w:val="00A1237C"/>
    <w:rsid w:val="00A14766"/>
    <w:rsid w:val="00A225E8"/>
    <w:rsid w:val="00A23149"/>
    <w:rsid w:val="00A23763"/>
    <w:rsid w:val="00A25E44"/>
    <w:rsid w:val="00A2632E"/>
    <w:rsid w:val="00A31721"/>
    <w:rsid w:val="00A31BA5"/>
    <w:rsid w:val="00A36463"/>
    <w:rsid w:val="00A42E9A"/>
    <w:rsid w:val="00A47788"/>
    <w:rsid w:val="00A47BB5"/>
    <w:rsid w:val="00A47E3D"/>
    <w:rsid w:val="00A50ACF"/>
    <w:rsid w:val="00A51A6D"/>
    <w:rsid w:val="00A52C0F"/>
    <w:rsid w:val="00A53C78"/>
    <w:rsid w:val="00A53D59"/>
    <w:rsid w:val="00A5763E"/>
    <w:rsid w:val="00A614ED"/>
    <w:rsid w:val="00A6444A"/>
    <w:rsid w:val="00A64EF8"/>
    <w:rsid w:val="00A663F3"/>
    <w:rsid w:val="00A66AC5"/>
    <w:rsid w:val="00A6761B"/>
    <w:rsid w:val="00A72F08"/>
    <w:rsid w:val="00A74F68"/>
    <w:rsid w:val="00A754BB"/>
    <w:rsid w:val="00A75733"/>
    <w:rsid w:val="00A75F42"/>
    <w:rsid w:val="00A767D7"/>
    <w:rsid w:val="00A77EA4"/>
    <w:rsid w:val="00A80D4A"/>
    <w:rsid w:val="00A84831"/>
    <w:rsid w:val="00A84EA1"/>
    <w:rsid w:val="00A8523A"/>
    <w:rsid w:val="00A92730"/>
    <w:rsid w:val="00AA4AC9"/>
    <w:rsid w:val="00AA51A2"/>
    <w:rsid w:val="00AA658C"/>
    <w:rsid w:val="00AA7C1A"/>
    <w:rsid w:val="00AB2221"/>
    <w:rsid w:val="00AB4664"/>
    <w:rsid w:val="00AB55B3"/>
    <w:rsid w:val="00AB6329"/>
    <w:rsid w:val="00AB661A"/>
    <w:rsid w:val="00AC0519"/>
    <w:rsid w:val="00AC12C3"/>
    <w:rsid w:val="00AC267D"/>
    <w:rsid w:val="00AC4601"/>
    <w:rsid w:val="00AC5AF0"/>
    <w:rsid w:val="00AC64F8"/>
    <w:rsid w:val="00AC653C"/>
    <w:rsid w:val="00AD3418"/>
    <w:rsid w:val="00AE52FA"/>
    <w:rsid w:val="00AE5583"/>
    <w:rsid w:val="00AE6F9B"/>
    <w:rsid w:val="00AE7D36"/>
    <w:rsid w:val="00AF59B7"/>
    <w:rsid w:val="00AF5EF6"/>
    <w:rsid w:val="00B003A4"/>
    <w:rsid w:val="00B008B4"/>
    <w:rsid w:val="00B00C37"/>
    <w:rsid w:val="00B02572"/>
    <w:rsid w:val="00B028FA"/>
    <w:rsid w:val="00B02B1E"/>
    <w:rsid w:val="00B078A7"/>
    <w:rsid w:val="00B1096B"/>
    <w:rsid w:val="00B12782"/>
    <w:rsid w:val="00B12EB8"/>
    <w:rsid w:val="00B1430D"/>
    <w:rsid w:val="00B16CCF"/>
    <w:rsid w:val="00B178AD"/>
    <w:rsid w:val="00B248D7"/>
    <w:rsid w:val="00B257F4"/>
    <w:rsid w:val="00B2580E"/>
    <w:rsid w:val="00B303AF"/>
    <w:rsid w:val="00B329D3"/>
    <w:rsid w:val="00B3460C"/>
    <w:rsid w:val="00B358EC"/>
    <w:rsid w:val="00B40632"/>
    <w:rsid w:val="00B40ECE"/>
    <w:rsid w:val="00B4239B"/>
    <w:rsid w:val="00B42ACF"/>
    <w:rsid w:val="00B42B61"/>
    <w:rsid w:val="00B4488A"/>
    <w:rsid w:val="00B4507C"/>
    <w:rsid w:val="00B46596"/>
    <w:rsid w:val="00B46B29"/>
    <w:rsid w:val="00B46B93"/>
    <w:rsid w:val="00B514E3"/>
    <w:rsid w:val="00B5293F"/>
    <w:rsid w:val="00B54D08"/>
    <w:rsid w:val="00B5537D"/>
    <w:rsid w:val="00B621B9"/>
    <w:rsid w:val="00B62D1F"/>
    <w:rsid w:val="00B6389F"/>
    <w:rsid w:val="00B6647F"/>
    <w:rsid w:val="00B70832"/>
    <w:rsid w:val="00B71B52"/>
    <w:rsid w:val="00B76680"/>
    <w:rsid w:val="00B77263"/>
    <w:rsid w:val="00B83969"/>
    <w:rsid w:val="00B83F53"/>
    <w:rsid w:val="00B84CC3"/>
    <w:rsid w:val="00B85096"/>
    <w:rsid w:val="00B91B47"/>
    <w:rsid w:val="00B9341E"/>
    <w:rsid w:val="00B95D27"/>
    <w:rsid w:val="00B96CAB"/>
    <w:rsid w:val="00BA1BDA"/>
    <w:rsid w:val="00BA3A21"/>
    <w:rsid w:val="00BA7CDA"/>
    <w:rsid w:val="00BB2F88"/>
    <w:rsid w:val="00BB5B26"/>
    <w:rsid w:val="00BB6607"/>
    <w:rsid w:val="00BB794A"/>
    <w:rsid w:val="00BC0D5F"/>
    <w:rsid w:val="00BC4261"/>
    <w:rsid w:val="00BC531E"/>
    <w:rsid w:val="00BC673B"/>
    <w:rsid w:val="00BC712F"/>
    <w:rsid w:val="00BC7F13"/>
    <w:rsid w:val="00BD0C45"/>
    <w:rsid w:val="00BD48C8"/>
    <w:rsid w:val="00BD5395"/>
    <w:rsid w:val="00BD6431"/>
    <w:rsid w:val="00BD7ADC"/>
    <w:rsid w:val="00BE16AB"/>
    <w:rsid w:val="00BE2094"/>
    <w:rsid w:val="00BE310F"/>
    <w:rsid w:val="00BE3CFD"/>
    <w:rsid w:val="00BE50C2"/>
    <w:rsid w:val="00BE5B54"/>
    <w:rsid w:val="00BE65EC"/>
    <w:rsid w:val="00BF2882"/>
    <w:rsid w:val="00BF4732"/>
    <w:rsid w:val="00BF5B50"/>
    <w:rsid w:val="00BF6B28"/>
    <w:rsid w:val="00BF7E02"/>
    <w:rsid w:val="00C00757"/>
    <w:rsid w:val="00C02A27"/>
    <w:rsid w:val="00C051BB"/>
    <w:rsid w:val="00C068D6"/>
    <w:rsid w:val="00C06FD9"/>
    <w:rsid w:val="00C10379"/>
    <w:rsid w:val="00C10B18"/>
    <w:rsid w:val="00C1197A"/>
    <w:rsid w:val="00C12B90"/>
    <w:rsid w:val="00C13268"/>
    <w:rsid w:val="00C1367F"/>
    <w:rsid w:val="00C159C5"/>
    <w:rsid w:val="00C23AE3"/>
    <w:rsid w:val="00C27BF7"/>
    <w:rsid w:val="00C32A8C"/>
    <w:rsid w:val="00C32E16"/>
    <w:rsid w:val="00C3330E"/>
    <w:rsid w:val="00C33B04"/>
    <w:rsid w:val="00C34C1C"/>
    <w:rsid w:val="00C35709"/>
    <w:rsid w:val="00C35E44"/>
    <w:rsid w:val="00C36102"/>
    <w:rsid w:val="00C3795E"/>
    <w:rsid w:val="00C45989"/>
    <w:rsid w:val="00C47C73"/>
    <w:rsid w:val="00C50044"/>
    <w:rsid w:val="00C51819"/>
    <w:rsid w:val="00C537D5"/>
    <w:rsid w:val="00C54568"/>
    <w:rsid w:val="00C54880"/>
    <w:rsid w:val="00C55542"/>
    <w:rsid w:val="00C5559F"/>
    <w:rsid w:val="00C56123"/>
    <w:rsid w:val="00C57BB2"/>
    <w:rsid w:val="00C62187"/>
    <w:rsid w:val="00C62D1C"/>
    <w:rsid w:val="00C65D22"/>
    <w:rsid w:val="00C72116"/>
    <w:rsid w:val="00C73E0D"/>
    <w:rsid w:val="00C809BD"/>
    <w:rsid w:val="00C80B9D"/>
    <w:rsid w:val="00C833B5"/>
    <w:rsid w:val="00C837A4"/>
    <w:rsid w:val="00C8682D"/>
    <w:rsid w:val="00C91661"/>
    <w:rsid w:val="00C92867"/>
    <w:rsid w:val="00C935A1"/>
    <w:rsid w:val="00CA31DD"/>
    <w:rsid w:val="00CA351B"/>
    <w:rsid w:val="00CA3587"/>
    <w:rsid w:val="00CA512E"/>
    <w:rsid w:val="00CA7E0E"/>
    <w:rsid w:val="00CB1B74"/>
    <w:rsid w:val="00CB3342"/>
    <w:rsid w:val="00CC0126"/>
    <w:rsid w:val="00CC2B24"/>
    <w:rsid w:val="00CC412C"/>
    <w:rsid w:val="00CC6ABC"/>
    <w:rsid w:val="00CC730C"/>
    <w:rsid w:val="00CD1474"/>
    <w:rsid w:val="00CE176F"/>
    <w:rsid w:val="00CE416B"/>
    <w:rsid w:val="00CE5718"/>
    <w:rsid w:val="00CF24C8"/>
    <w:rsid w:val="00CF4532"/>
    <w:rsid w:val="00CF5E98"/>
    <w:rsid w:val="00D024CA"/>
    <w:rsid w:val="00D03790"/>
    <w:rsid w:val="00D049D8"/>
    <w:rsid w:val="00D05766"/>
    <w:rsid w:val="00D059FB"/>
    <w:rsid w:val="00D060B7"/>
    <w:rsid w:val="00D06645"/>
    <w:rsid w:val="00D06CF5"/>
    <w:rsid w:val="00D147F8"/>
    <w:rsid w:val="00D173A4"/>
    <w:rsid w:val="00D17F50"/>
    <w:rsid w:val="00D20335"/>
    <w:rsid w:val="00D2656E"/>
    <w:rsid w:val="00D27A0B"/>
    <w:rsid w:val="00D27DB2"/>
    <w:rsid w:val="00D27F93"/>
    <w:rsid w:val="00D31CA8"/>
    <w:rsid w:val="00D32D2A"/>
    <w:rsid w:val="00D33CD9"/>
    <w:rsid w:val="00D347C0"/>
    <w:rsid w:val="00D35AF4"/>
    <w:rsid w:val="00D3648B"/>
    <w:rsid w:val="00D37A81"/>
    <w:rsid w:val="00D40B93"/>
    <w:rsid w:val="00D42111"/>
    <w:rsid w:val="00D42533"/>
    <w:rsid w:val="00D42947"/>
    <w:rsid w:val="00D440B0"/>
    <w:rsid w:val="00D4447F"/>
    <w:rsid w:val="00D4564A"/>
    <w:rsid w:val="00D47905"/>
    <w:rsid w:val="00D50DE9"/>
    <w:rsid w:val="00D51466"/>
    <w:rsid w:val="00D52252"/>
    <w:rsid w:val="00D5231F"/>
    <w:rsid w:val="00D5237E"/>
    <w:rsid w:val="00D53344"/>
    <w:rsid w:val="00D55EB0"/>
    <w:rsid w:val="00D565AB"/>
    <w:rsid w:val="00D56624"/>
    <w:rsid w:val="00D572A8"/>
    <w:rsid w:val="00D6240D"/>
    <w:rsid w:val="00D6784A"/>
    <w:rsid w:val="00D70B0E"/>
    <w:rsid w:val="00D720FE"/>
    <w:rsid w:val="00D722A0"/>
    <w:rsid w:val="00D73FC9"/>
    <w:rsid w:val="00D76208"/>
    <w:rsid w:val="00D76AED"/>
    <w:rsid w:val="00D80487"/>
    <w:rsid w:val="00D80869"/>
    <w:rsid w:val="00D81AA3"/>
    <w:rsid w:val="00D83139"/>
    <w:rsid w:val="00D843E0"/>
    <w:rsid w:val="00D86335"/>
    <w:rsid w:val="00D905AF"/>
    <w:rsid w:val="00D95232"/>
    <w:rsid w:val="00D97084"/>
    <w:rsid w:val="00DA0027"/>
    <w:rsid w:val="00DA0CFC"/>
    <w:rsid w:val="00DA1AB4"/>
    <w:rsid w:val="00DA302E"/>
    <w:rsid w:val="00DA320A"/>
    <w:rsid w:val="00DA420D"/>
    <w:rsid w:val="00DA4799"/>
    <w:rsid w:val="00DA5C67"/>
    <w:rsid w:val="00DB1A2C"/>
    <w:rsid w:val="00DB1BE6"/>
    <w:rsid w:val="00DB7FC3"/>
    <w:rsid w:val="00DC3249"/>
    <w:rsid w:val="00DC4F38"/>
    <w:rsid w:val="00DC6CD3"/>
    <w:rsid w:val="00DC73A9"/>
    <w:rsid w:val="00DC7EA0"/>
    <w:rsid w:val="00DD6070"/>
    <w:rsid w:val="00DD71A1"/>
    <w:rsid w:val="00DE1C3E"/>
    <w:rsid w:val="00DE3318"/>
    <w:rsid w:val="00DE4B31"/>
    <w:rsid w:val="00DE63CA"/>
    <w:rsid w:val="00DF037A"/>
    <w:rsid w:val="00DF21AB"/>
    <w:rsid w:val="00DF4A8D"/>
    <w:rsid w:val="00DF5059"/>
    <w:rsid w:val="00DF5208"/>
    <w:rsid w:val="00E00F4A"/>
    <w:rsid w:val="00E071F5"/>
    <w:rsid w:val="00E10878"/>
    <w:rsid w:val="00E10C37"/>
    <w:rsid w:val="00E11E0C"/>
    <w:rsid w:val="00E12C79"/>
    <w:rsid w:val="00E151D0"/>
    <w:rsid w:val="00E155D9"/>
    <w:rsid w:val="00E20F7F"/>
    <w:rsid w:val="00E24314"/>
    <w:rsid w:val="00E263BF"/>
    <w:rsid w:val="00E30E39"/>
    <w:rsid w:val="00E31246"/>
    <w:rsid w:val="00E3285D"/>
    <w:rsid w:val="00E34593"/>
    <w:rsid w:val="00E35D14"/>
    <w:rsid w:val="00E3756B"/>
    <w:rsid w:val="00E375ED"/>
    <w:rsid w:val="00E40127"/>
    <w:rsid w:val="00E50923"/>
    <w:rsid w:val="00E513D9"/>
    <w:rsid w:val="00E53156"/>
    <w:rsid w:val="00E544A0"/>
    <w:rsid w:val="00E61BB1"/>
    <w:rsid w:val="00E63215"/>
    <w:rsid w:val="00E63571"/>
    <w:rsid w:val="00E65238"/>
    <w:rsid w:val="00E67C9A"/>
    <w:rsid w:val="00E733FE"/>
    <w:rsid w:val="00E779DD"/>
    <w:rsid w:val="00E80388"/>
    <w:rsid w:val="00E80F78"/>
    <w:rsid w:val="00E81555"/>
    <w:rsid w:val="00E83AA0"/>
    <w:rsid w:val="00E83D6F"/>
    <w:rsid w:val="00E8455D"/>
    <w:rsid w:val="00E863E5"/>
    <w:rsid w:val="00E90D49"/>
    <w:rsid w:val="00E92BF8"/>
    <w:rsid w:val="00EA3604"/>
    <w:rsid w:val="00EA542B"/>
    <w:rsid w:val="00EA6023"/>
    <w:rsid w:val="00EB4651"/>
    <w:rsid w:val="00EB55F8"/>
    <w:rsid w:val="00EB6FED"/>
    <w:rsid w:val="00EC0659"/>
    <w:rsid w:val="00EC09ED"/>
    <w:rsid w:val="00EC28F6"/>
    <w:rsid w:val="00EC519D"/>
    <w:rsid w:val="00EC5694"/>
    <w:rsid w:val="00EC6674"/>
    <w:rsid w:val="00ED1301"/>
    <w:rsid w:val="00ED1700"/>
    <w:rsid w:val="00ED72CA"/>
    <w:rsid w:val="00ED7A5E"/>
    <w:rsid w:val="00EE34F5"/>
    <w:rsid w:val="00EE3562"/>
    <w:rsid w:val="00EE48D2"/>
    <w:rsid w:val="00EE67FE"/>
    <w:rsid w:val="00EE6C52"/>
    <w:rsid w:val="00EF0487"/>
    <w:rsid w:val="00EF05CA"/>
    <w:rsid w:val="00EF26BB"/>
    <w:rsid w:val="00EF6F02"/>
    <w:rsid w:val="00EF77CA"/>
    <w:rsid w:val="00F01833"/>
    <w:rsid w:val="00F049EF"/>
    <w:rsid w:val="00F04ACA"/>
    <w:rsid w:val="00F053EF"/>
    <w:rsid w:val="00F1233C"/>
    <w:rsid w:val="00F1499E"/>
    <w:rsid w:val="00F162CF"/>
    <w:rsid w:val="00F169F1"/>
    <w:rsid w:val="00F2286D"/>
    <w:rsid w:val="00F235B9"/>
    <w:rsid w:val="00F2424C"/>
    <w:rsid w:val="00F24DFF"/>
    <w:rsid w:val="00F271F9"/>
    <w:rsid w:val="00F278D5"/>
    <w:rsid w:val="00F31EEF"/>
    <w:rsid w:val="00F33EBD"/>
    <w:rsid w:val="00F34F5D"/>
    <w:rsid w:val="00F354C8"/>
    <w:rsid w:val="00F36ED3"/>
    <w:rsid w:val="00F377DC"/>
    <w:rsid w:val="00F379D4"/>
    <w:rsid w:val="00F46791"/>
    <w:rsid w:val="00F508F4"/>
    <w:rsid w:val="00F50F96"/>
    <w:rsid w:val="00F51125"/>
    <w:rsid w:val="00F52258"/>
    <w:rsid w:val="00F52917"/>
    <w:rsid w:val="00F52F3B"/>
    <w:rsid w:val="00F557F2"/>
    <w:rsid w:val="00F55CB0"/>
    <w:rsid w:val="00F55D0F"/>
    <w:rsid w:val="00F56ED2"/>
    <w:rsid w:val="00F64C22"/>
    <w:rsid w:val="00F66D3F"/>
    <w:rsid w:val="00F6762E"/>
    <w:rsid w:val="00F732D8"/>
    <w:rsid w:val="00F74592"/>
    <w:rsid w:val="00F76AAC"/>
    <w:rsid w:val="00F76D7B"/>
    <w:rsid w:val="00F80284"/>
    <w:rsid w:val="00F82EAA"/>
    <w:rsid w:val="00F83811"/>
    <w:rsid w:val="00F9220D"/>
    <w:rsid w:val="00F939BC"/>
    <w:rsid w:val="00F957C1"/>
    <w:rsid w:val="00F95BCA"/>
    <w:rsid w:val="00F95E56"/>
    <w:rsid w:val="00F97651"/>
    <w:rsid w:val="00F97959"/>
    <w:rsid w:val="00FA0C41"/>
    <w:rsid w:val="00FA1DE0"/>
    <w:rsid w:val="00FA6FB7"/>
    <w:rsid w:val="00FA6FCF"/>
    <w:rsid w:val="00FB1A89"/>
    <w:rsid w:val="00FB23DB"/>
    <w:rsid w:val="00FB3D0B"/>
    <w:rsid w:val="00FB592F"/>
    <w:rsid w:val="00FB6B08"/>
    <w:rsid w:val="00FC25F6"/>
    <w:rsid w:val="00FC62A5"/>
    <w:rsid w:val="00FC69E1"/>
    <w:rsid w:val="00FD0DA5"/>
    <w:rsid w:val="00FD1614"/>
    <w:rsid w:val="00FD231A"/>
    <w:rsid w:val="00FD74DA"/>
    <w:rsid w:val="00FE0085"/>
    <w:rsid w:val="00FE1572"/>
    <w:rsid w:val="00FE2259"/>
    <w:rsid w:val="00FE4197"/>
    <w:rsid w:val="00FE47DA"/>
    <w:rsid w:val="00FE4EF8"/>
    <w:rsid w:val="00FE4F77"/>
    <w:rsid w:val="00FE53D4"/>
    <w:rsid w:val="00FE5BE0"/>
    <w:rsid w:val="00FF2AB3"/>
    <w:rsid w:val="00FF3135"/>
    <w:rsid w:val="00FF3D10"/>
    <w:rsid w:val="00FF3FF3"/>
    <w:rsid w:val="00FF4175"/>
    <w:rsid w:val="00FF435C"/>
    <w:rsid w:val="00FF6EE0"/>
    <w:rsid w:val="00FF7C8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BAE21"/>
  <w15:docId w15:val="{67A6E00C-C980-4F91-8530-52EB54207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8F1"/>
    <w:pPr>
      <w:spacing w:before="200" w:after="200" w:line="276" w:lineRule="auto"/>
    </w:pPr>
    <w:rPr>
      <w:rFonts w:ascii="Calibri" w:eastAsia="Times New Roman" w:hAnsi="Calibri" w:cs="Times New Roman"/>
      <w:szCs w:val="20"/>
    </w:rPr>
  </w:style>
  <w:style w:type="paragraph" w:styleId="Heading1">
    <w:name w:val="heading 1"/>
    <w:basedOn w:val="Normal"/>
    <w:next w:val="Normal"/>
    <w:link w:val="Heading1Char"/>
    <w:autoRedefine/>
    <w:qFormat/>
    <w:rsid w:val="00B329D3"/>
    <w:pPr>
      <w:keepNext/>
      <w:pBdr>
        <w:bottom w:val="single" w:sz="4" w:space="1" w:color="auto"/>
      </w:pBdr>
      <w:spacing w:before="120" w:after="0" w:line="240" w:lineRule="auto"/>
      <w:jc w:val="both"/>
      <w:outlineLvl w:val="0"/>
    </w:pPr>
    <w:rPr>
      <w:rFonts w:asciiTheme="minorHAnsi" w:eastAsiaTheme="minorHAnsi" w:hAnsiTheme="minorHAnsi" w:cstheme="minorHAnsi"/>
      <w:b/>
      <w:color w:val="7030A0"/>
      <w:kern w:val="28"/>
      <w:sz w:val="32"/>
      <w:szCs w:val="14"/>
    </w:rPr>
  </w:style>
  <w:style w:type="paragraph" w:styleId="Heading2">
    <w:name w:val="heading 2"/>
    <w:aliases w:val="1.1,Defs Heading,h2,2 headline,h,Para2"/>
    <w:basedOn w:val="Normal"/>
    <w:next w:val="Normal"/>
    <w:link w:val="Heading2Char"/>
    <w:uiPriority w:val="99"/>
    <w:qFormat/>
    <w:rsid w:val="005F70C4"/>
    <w:pPr>
      <w:keepNext/>
      <w:spacing w:before="240" w:after="60"/>
      <w:outlineLvl w:val="1"/>
    </w:pPr>
    <w:rPr>
      <w:rFonts w:ascii="Arial" w:hAnsi="Arial"/>
      <w:b/>
      <w:snapToGrid w:val="0"/>
      <w:color w:val="7030A0"/>
      <w:sz w:val="30"/>
    </w:rPr>
  </w:style>
  <w:style w:type="paragraph" w:styleId="Heading3">
    <w:name w:val="heading 3"/>
    <w:aliases w:val="(a),Plain Heading,Third Level,3 bullet,b,2,Para3,Heading 3 OL,Level 1 - 1,h3,3,Head 3,C Sub-Sub/Italic,Head 31,Head 32,C Sub-Sub/Italic1,Head 33,C Sub-Sub/Italic2,Head 311,Head 321,C Sub-Sub/Italic11,h31,h3 sub heading,H3,hoofdstuk 1.1.1,H31"/>
    <w:basedOn w:val="Normal"/>
    <w:next w:val="Normal"/>
    <w:link w:val="Heading3Char"/>
    <w:autoRedefine/>
    <w:uiPriority w:val="99"/>
    <w:qFormat/>
    <w:rsid w:val="004A7B2F"/>
    <w:pPr>
      <w:spacing w:before="0" w:after="120" w:line="240" w:lineRule="auto"/>
      <w:outlineLvl w:val="2"/>
    </w:pPr>
    <w:rPr>
      <w:rFonts w:asciiTheme="minorHAnsi" w:hAnsiTheme="minorHAnsi" w:cstheme="minorHAnsi"/>
      <w:b/>
      <w:szCs w:val="24"/>
    </w:rPr>
  </w:style>
  <w:style w:type="paragraph" w:styleId="Heading4">
    <w:name w:val="heading 4"/>
    <w:basedOn w:val="Normal"/>
    <w:next w:val="Normal"/>
    <w:link w:val="Heading4Char"/>
    <w:autoRedefine/>
    <w:qFormat/>
    <w:rsid w:val="00F1499E"/>
    <w:pPr>
      <w:keepNext/>
      <w:keepLines/>
      <w:numPr>
        <w:numId w:val="20"/>
      </w:numPr>
      <w:tabs>
        <w:tab w:val="left" w:pos="709"/>
      </w:tabs>
      <w:spacing w:before="120" w:after="0" w:line="240" w:lineRule="auto"/>
      <w:ind w:left="426" w:hanging="426"/>
      <w:outlineLvl w:val="3"/>
    </w:pPr>
    <w:rPr>
      <w:rFonts w:asciiTheme="minorHAnsi" w:hAnsiTheme="minorHAnsi" w:cstheme="majorBidi"/>
      <w:b/>
      <w:color w:val="7030A0"/>
      <w:sz w:val="28"/>
      <w:szCs w:val="22"/>
    </w:rPr>
  </w:style>
  <w:style w:type="paragraph" w:styleId="Heading5">
    <w:name w:val="heading 5"/>
    <w:basedOn w:val="Normal"/>
    <w:next w:val="Normal"/>
    <w:link w:val="Heading5Char"/>
    <w:autoRedefine/>
    <w:qFormat/>
    <w:rsid w:val="000459F7"/>
    <w:pPr>
      <w:keepNext/>
      <w:spacing w:before="240" w:after="60"/>
      <w:outlineLvl w:val="4"/>
    </w:pPr>
    <w:rPr>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9D3"/>
    <w:rPr>
      <w:rFonts w:cstheme="minorHAnsi"/>
      <w:b/>
      <w:color w:val="7030A0"/>
      <w:kern w:val="28"/>
      <w:sz w:val="32"/>
      <w:szCs w:val="14"/>
    </w:rPr>
  </w:style>
  <w:style w:type="character" w:customStyle="1" w:styleId="Heading2Char">
    <w:name w:val="Heading 2 Char"/>
    <w:aliases w:val="1.1 Char,Defs Heading Char,h2 Char,2 headline Char,h Char,Para2 Char"/>
    <w:basedOn w:val="DefaultParagraphFont"/>
    <w:link w:val="Heading2"/>
    <w:rsid w:val="005F70C4"/>
    <w:rPr>
      <w:rFonts w:ascii="Arial" w:eastAsia="Times New Roman" w:hAnsi="Arial" w:cs="Times New Roman"/>
      <w:b/>
      <w:snapToGrid w:val="0"/>
      <w:color w:val="7030A0"/>
      <w:sz w:val="30"/>
      <w:szCs w:val="20"/>
    </w:rPr>
  </w:style>
  <w:style w:type="character" w:customStyle="1" w:styleId="Heading3Char">
    <w:name w:val="Heading 3 Char"/>
    <w:aliases w:val="(a) Char,Plain Heading Char,Third Level Char,3 bullet Char,b Char,2 Char,Para3 Char,Heading 3 OL Char,Level 1 - 1 Char,h3 Char,3 Char,Head 3 Char,C Sub-Sub/Italic Char,Head 31 Char,Head 32 Char,C Sub-Sub/Italic1 Char,Head 33 Char,h31 Char"/>
    <w:basedOn w:val="DefaultParagraphFont"/>
    <w:link w:val="Heading3"/>
    <w:uiPriority w:val="99"/>
    <w:rsid w:val="004A7B2F"/>
    <w:rPr>
      <w:rFonts w:eastAsia="Times New Roman" w:cstheme="minorHAnsi"/>
      <w:b/>
      <w:szCs w:val="24"/>
    </w:rPr>
  </w:style>
  <w:style w:type="character" w:customStyle="1" w:styleId="Heading4Char">
    <w:name w:val="Heading 4 Char"/>
    <w:basedOn w:val="DefaultParagraphFont"/>
    <w:link w:val="Heading4"/>
    <w:rsid w:val="00F1499E"/>
    <w:rPr>
      <w:rFonts w:eastAsia="Times New Roman" w:cstheme="majorBidi"/>
      <w:b/>
      <w:color w:val="7030A0"/>
      <w:sz w:val="28"/>
    </w:rPr>
  </w:style>
  <w:style w:type="character" w:customStyle="1" w:styleId="Heading5Char">
    <w:name w:val="Heading 5 Char"/>
    <w:basedOn w:val="DefaultParagraphFont"/>
    <w:link w:val="Heading5"/>
    <w:rsid w:val="000459F7"/>
    <w:rPr>
      <w:rFonts w:ascii="Calibri" w:eastAsia="Times New Roman" w:hAnsi="Calibri" w:cs="Times New Roman"/>
      <w:b/>
      <w:i/>
      <w:color w:val="000000" w:themeColor="text1"/>
      <w:szCs w:val="20"/>
    </w:rPr>
  </w:style>
  <w:style w:type="paragraph" w:styleId="Header">
    <w:name w:val="header"/>
    <w:basedOn w:val="Normal"/>
    <w:link w:val="HeaderChar"/>
    <w:uiPriority w:val="99"/>
    <w:rsid w:val="00EC5694"/>
    <w:pPr>
      <w:tabs>
        <w:tab w:val="center" w:pos="4153"/>
        <w:tab w:val="right" w:pos="8306"/>
      </w:tabs>
    </w:pPr>
    <w:rPr>
      <w:sz w:val="24"/>
    </w:rPr>
  </w:style>
  <w:style w:type="character" w:customStyle="1" w:styleId="HeaderChar">
    <w:name w:val="Header Char"/>
    <w:basedOn w:val="DefaultParagraphFont"/>
    <w:link w:val="Header"/>
    <w:uiPriority w:val="99"/>
    <w:rsid w:val="00EC5694"/>
    <w:rPr>
      <w:rFonts w:ascii="Calibri" w:eastAsia="Times New Roman" w:hAnsi="Calibri" w:cs="Times New Roman"/>
      <w:sz w:val="24"/>
      <w:szCs w:val="20"/>
    </w:rPr>
  </w:style>
  <w:style w:type="paragraph" w:styleId="Footer">
    <w:name w:val="footer"/>
    <w:basedOn w:val="Normal"/>
    <w:link w:val="FooterChar"/>
    <w:uiPriority w:val="99"/>
    <w:rsid w:val="004D749A"/>
    <w:pPr>
      <w:tabs>
        <w:tab w:val="right" w:pos="567"/>
        <w:tab w:val="right" w:pos="2835"/>
        <w:tab w:val="right" w:pos="3969"/>
      </w:tabs>
      <w:ind w:left="142" w:right="142"/>
    </w:pPr>
    <w:rPr>
      <w:color w:val="FFFFFF" w:themeColor="background1"/>
      <w:sz w:val="20"/>
    </w:rPr>
  </w:style>
  <w:style w:type="character" w:customStyle="1" w:styleId="FooterChar">
    <w:name w:val="Footer Char"/>
    <w:basedOn w:val="DefaultParagraphFont"/>
    <w:link w:val="Footer"/>
    <w:uiPriority w:val="99"/>
    <w:rsid w:val="004D749A"/>
    <w:rPr>
      <w:rFonts w:ascii="Calibri" w:eastAsia="Times New Roman" w:hAnsi="Calibri" w:cs="Times New Roman"/>
      <w:color w:val="FFFFFF" w:themeColor="background1"/>
      <w:sz w:val="20"/>
      <w:szCs w:val="20"/>
    </w:rPr>
  </w:style>
  <w:style w:type="paragraph" w:customStyle="1" w:styleId="BodyText1">
    <w:name w:val="Body Text1"/>
    <w:basedOn w:val="Normal"/>
    <w:link w:val="BodytextChar"/>
    <w:qFormat/>
    <w:rsid w:val="00911A17"/>
  </w:style>
  <w:style w:type="paragraph" w:customStyle="1" w:styleId="bullet10">
    <w:name w:val="bullet 1"/>
    <w:basedOn w:val="BodyText"/>
    <w:link w:val="bullet1Char"/>
    <w:qFormat/>
    <w:rsid w:val="00657B12"/>
    <w:pPr>
      <w:numPr>
        <w:numId w:val="3"/>
      </w:numPr>
      <w:spacing w:before="60" w:after="60"/>
      <w:ind w:left="357" w:hanging="357"/>
    </w:pPr>
  </w:style>
  <w:style w:type="character" w:customStyle="1" w:styleId="bullet1Char">
    <w:name w:val="bullet 1 Char"/>
    <w:basedOn w:val="DefaultParagraphFont"/>
    <w:link w:val="bullet10"/>
    <w:rsid w:val="00657B12"/>
    <w:rPr>
      <w:rFonts w:ascii="Calibri" w:eastAsia="Times New Roman" w:hAnsi="Calibri" w:cs="Times New Roman"/>
      <w:szCs w:val="20"/>
    </w:rPr>
  </w:style>
  <w:style w:type="paragraph" w:customStyle="1" w:styleId="note">
    <w:name w:val="note"/>
    <w:basedOn w:val="NoteHeading"/>
    <w:link w:val="noteChar"/>
    <w:qFormat/>
    <w:rsid w:val="00183FC6"/>
    <w:pPr>
      <w:keepNext/>
      <w:spacing w:before="120"/>
    </w:pPr>
    <w:rPr>
      <w:bCs/>
      <w:sz w:val="18"/>
      <w:szCs w:val="16"/>
    </w:rPr>
  </w:style>
  <w:style w:type="character" w:customStyle="1" w:styleId="noteChar">
    <w:name w:val="note Char"/>
    <w:link w:val="note"/>
    <w:rsid w:val="00183FC6"/>
    <w:rPr>
      <w:rFonts w:ascii="Calibri" w:eastAsia="Times New Roman" w:hAnsi="Calibri" w:cs="Times New Roman"/>
      <w:bCs/>
      <w:sz w:val="18"/>
      <w:szCs w:val="16"/>
    </w:rPr>
  </w:style>
  <w:style w:type="paragraph" w:customStyle="1" w:styleId="bullet20">
    <w:name w:val="bullet 2"/>
    <w:basedOn w:val="bullet10"/>
    <w:link w:val="bullet2Char"/>
    <w:qFormat/>
    <w:rsid w:val="009D2444"/>
    <w:pPr>
      <w:numPr>
        <w:numId w:val="4"/>
      </w:numPr>
    </w:pPr>
  </w:style>
  <w:style w:type="character" w:customStyle="1" w:styleId="bullet2Char">
    <w:name w:val="bullet 2 Char"/>
    <w:basedOn w:val="bullet1Char"/>
    <w:link w:val="bullet20"/>
    <w:rsid w:val="009D2444"/>
    <w:rPr>
      <w:rFonts w:ascii="Calibri" w:eastAsia="Times New Roman" w:hAnsi="Calibri" w:cs="Times New Roman"/>
      <w:szCs w:val="20"/>
    </w:rPr>
  </w:style>
  <w:style w:type="paragraph" w:customStyle="1" w:styleId="Tablefigures">
    <w:name w:val="Table figures"/>
    <w:basedOn w:val="Tabletext"/>
    <w:link w:val="TablefiguresChar"/>
    <w:autoRedefine/>
    <w:qFormat/>
    <w:rsid w:val="00EC5694"/>
    <w:pPr>
      <w:jc w:val="right"/>
    </w:pPr>
    <w:rPr>
      <w:bCs/>
    </w:rPr>
  </w:style>
  <w:style w:type="paragraph" w:customStyle="1" w:styleId="Tabletext">
    <w:name w:val="Table text"/>
    <w:basedOn w:val="Normal"/>
    <w:link w:val="TabletextChar"/>
    <w:autoRedefine/>
    <w:qFormat/>
    <w:rsid w:val="00B83F53"/>
    <w:pPr>
      <w:spacing w:before="60" w:after="60"/>
    </w:pPr>
    <w:rPr>
      <w:sz w:val="20"/>
      <w:lang w:eastAsia="en-AU"/>
    </w:rPr>
  </w:style>
  <w:style w:type="character" w:customStyle="1" w:styleId="TablefiguresChar">
    <w:name w:val="Table figures Char"/>
    <w:basedOn w:val="DefaultParagraphFont"/>
    <w:link w:val="Tablefigures"/>
    <w:rsid w:val="00EC5694"/>
    <w:rPr>
      <w:rFonts w:ascii="Calibri" w:eastAsia="Times New Roman" w:hAnsi="Calibri" w:cs="Times New Roman"/>
      <w:sz w:val="20"/>
      <w:szCs w:val="20"/>
      <w:lang w:eastAsia="en-AU"/>
    </w:rPr>
  </w:style>
  <w:style w:type="character" w:customStyle="1" w:styleId="TabletextChar">
    <w:name w:val="Table text Char"/>
    <w:aliases w:val="List Paragraph Char,Recommendation Char,List Paragraph1 Char,List Paragraph11 Char,Bullet point Char,Bullets Char,NAST Quote Char,L Char,CV text Char,F5 List Paragraph Char,Dot pt Char,List Paragraph111 Char,Numbered Paragraph Char"/>
    <w:basedOn w:val="DefaultParagraphFont"/>
    <w:link w:val="Tabletext"/>
    <w:uiPriority w:val="34"/>
    <w:qFormat/>
    <w:rsid w:val="00B83F53"/>
    <w:rPr>
      <w:rFonts w:ascii="Calibri" w:eastAsia="Times New Roman" w:hAnsi="Calibri" w:cs="Times New Roman"/>
      <w:sz w:val="20"/>
      <w:szCs w:val="20"/>
      <w:lang w:eastAsia="en-AU"/>
    </w:rPr>
  </w:style>
  <w:style w:type="paragraph" w:customStyle="1" w:styleId="noteslist">
    <w:name w:val="notes list"/>
    <w:basedOn w:val="Normal"/>
    <w:link w:val="noteslistChar"/>
    <w:qFormat/>
    <w:rsid w:val="00EC5694"/>
    <w:pPr>
      <w:numPr>
        <w:numId w:val="1"/>
      </w:numPr>
      <w:spacing w:before="0" w:after="0"/>
    </w:pPr>
    <w:rPr>
      <w:sz w:val="18"/>
      <w:szCs w:val="24"/>
    </w:rPr>
  </w:style>
  <w:style w:type="character" w:customStyle="1" w:styleId="noteslistChar">
    <w:name w:val="notes list Char"/>
    <w:basedOn w:val="DefaultParagraphFont"/>
    <w:link w:val="noteslist"/>
    <w:rsid w:val="00EC5694"/>
    <w:rPr>
      <w:rFonts w:ascii="Calibri" w:eastAsia="Times New Roman" w:hAnsi="Calibri" w:cs="Times New Roman"/>
      <w:sz w:val="18"/>
      <w:szCs w:val="24"/>
    </w:rPr>
  </w:style>
  <w:style w:type="paragraph" w:customStyle="1" w:styleId="TableFiguresheading">
    <w:name w:val="Table Figures_heading"/>
    <w:basedOn w:val="Normal"/>
    <w:link w:val="TableFiguresheadingChar"/>
    <w:qFormat/>
    <w:rsid w:val="00EC5694"/>
    <w:pPr>
      <w:spacing w:before="0" w:after="0"/>
      <w:jc w:val="right"/>
    </w:pPr>
    <w:rPr>
      <w:b/>
      <w:sz w:val="20"/>
    </w:rPr>
  </w:style>
  <w:style w:type="character" w:customStyle="1" w:styleId="TableFiguresheadingChar">
    <w:name w:val="Table Figures_heading Char"/>
    <w:basedOn w:val="DefaultParagraphFont"/>
    <w:link w:val="TableFiguresheading"/>
    <w:rsid w:val="00EC5694"/>
    <w:rPr>
      <w:rFonts w:ascii="Calibri" w:eastAsia="Times New Roman" w:hAnsi="Calibri" w:cs="Times New Roman"/>
      <w:b/>
      <w:sz w:val="20"/>
      <w:szCs w:val="20"/>
    </w:rPr>
  </w:style>
  <w:style w:type="paragraph" w:customStyle="1" w:styleId="Tabletextbold">
    <w:name w:val="Table text bold"/>
    <w:basedOn w:val="Normal"/>
    <w:qFormat/>
    <w:rsid w:val="00B83F53"/>
    <w:pPr>
      <w:spacing w:before="60" w:after="60"/>
    </w:pPr>
    <w:rPr>
      <w:b/>
      <w:sz w:val="20"/>
      <w:lang w:eastAsia="en-AU"/>
    </w:rPr>
  </w:style>
  <w:style w:type="paragraph" w:customStyle="1" w:styleId="TableTextbolditalics">
    <w:name w:val="Table Text bold italics"/>
    <w:basedOn w:val="Tabletext"/>
    <w:qFormat/>
    <w:rsid w:val="00EC5694"/>
    <w:rPr>
      <w:b/>
      <w:i/>
    </w:rPr>
  </w:style>
  <w:style w:type="paragraph" w:customStyle="1" w:styleId="TableCaption">
    <w:name w:val="Table Caption"/>
    <w:basedOn w:val="Caption"/>
    <w:qFormat/>
    <w:rsid w:val="005F70C4"/>
    <w:pPr>
      <w:keepNext/>
      <w:spacing w:before="240" w:after="120"/>
    </w:pPr>
    <w:rPr>
      <w:b/>
      <w:bCs/>
      <w:i w:val="0"/>
      <w:iCs w:val="0"/>
      <w:color w:val="7030A0"/>
      <w:sz w:val="22"/>
    </w:rPr>
  </w:style>
  <w:style w:type="table" w:customStyle="1" w:styleId="ARTableText">
    <w:name w:val="AR_Table_Text"/>
    <w:basedOn w:val="TableNormal"/>
    <w:uiPriority w:val="99"/>
    <w:qFormat/>
    <w:rsid w:val="00EC5694"/>
    <w:pPr>
      <w:spacing w:after="0" w:line="240" w:lineRule="auto"/>
    </w:pPr>
    <w:rPr>
      <w:rFonts w:eastAsia="Times New Roman" w:cs="Times New Roman"/>
      <w:sz w:val="20"/>
      <w:szCs w:val="20"/>
      <w:lang w:eastAsia="en-AU"/>
    </w:rPr>
    <w:tblPr>
      <w:tblStyleRowBandSize w:val="1"/>
      <w:tblCellMar>
        <w:top w:w="57" w:type="dxa"/>
        <w:bottom w:w="57" w:type="dxa"/>
      </w:tblCellMar>
    </w:tblPr>
    <w:tcPr>
      <w:shd w:val="clear" w:color="auto" w:fill="E0E0E0"/>
      <w:vAlign w:val="bottom"/>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Normal">
    <w:name w:val="Table_heading_Normal"/>
    <w:basedOn w:val="TableFiguresheading"/>
    <w:qFormat/>
    <w:rsid w:val="00BD7ADC"/>
    <w:pPr>
      <w:spacing w:before="60" w:after="60" w:line="240" w:lineRule="auto"/>
      <w:jc w:val="left"/>
    </w:pPr>
    <w:rPr>
      <w:b w:val="0"/>
      <w:bCs/>
      <w:sz w:val="22"/>
      <w:szCs w:val="22"/>
      <w:lang w:eastAsia="en-AU"/>
    </w:rPr>
  </w:style>
  <w:style w:type="table" w:customStyle="1" w:styleId="ARTableFigures">
    <w:name w:val="AR_Table_Figures"/>
    <w:basedOn w:val="ARTableText"/>
    <w:uiPriority w:val="99"/>
    <w:qFormat/>
    <w:rsid w:val="00EC5694"/>
    <w:pPr>
      <w:jc w:val="right"/>
    </w:pPr>
    <w:tblPr/>
    <w:tcPr>
      <w:shd w:val="clear" w:color="auto" w:fill="E0E0E0"/>
    </w:tc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paragraph" w:customStyle="1" w:styleId="bullet30">
    <w:name w:val="bullet 3"/>
    <w:basedOn w:val="bullet20"/>
    <w:qFormat/>
    <w:rsid w:val="009D2444"/>
    <w:pPr>
      <w:numPr>
        <w:numId w:val="2"/>
      </w:numPr>
    </w:pPr>
  </w:style>
  <w:style w:type="paragraph" w:customStyle="1" w:styleId="IntroParagraph">
    <w:name w:val="Intro Paragraph"/>
    <w:basedOn w:val="BodyText1"/>
    <w:link w:val="IntroParagraphChar"/>
    <w:qFormat/>
    <w:rsid w:val="005F70C4"/>
    <w:pPr>
      <w:spacing w:before="300" w:after="300"/>
    </w:pPr>
    <w:rPr>
      <w:color w:val="7030A0"/>
      <w:sz w:val="26"/>
    </w:rPr>
  </w:style>
  <w:style w:type="character" w:customStyle="1" w:styleId="BodytextChar">
    <w:name w:val="Body text Char"/>
    <w:basedOn w:val="DefaultParagraphFont"/>
    <w:link w:val="BodyText1"/>
    <w:rsid w:val="00911A17"/>
    <w:rPr>
      <w:rFonts w:ascii="Calibri" w:eastAsia="Times New Roman" w:hAnsi="Calibri" w:cs="Times New Roman"/>
      <w:szCs w:val="20"/>
    </w:rPr>
  </w:style>
  <w:style w:type="character" w:customStyle="1" w:styleId="IntroParagraphChar">
    <w:name w:val="Intro Paragraph Char"/>
    <w:basedOn w:val="BodytextChar"/>
    <w:link w:val="IntroParagraph"/>
    <w:rsid w:val="005F70C4"/>
    <w:rPr>
      <w:rFonts w:ascii="Calibri" w:eastAsia="Times New Roman" w:hAnsi="Calibri" w:cs="Times New Roman"/>
      <w:color w:val="7030A0"/>
      <w:sz w:val="26"/>
      <w:szCs w:val="20"/>
    </w:rPr>
  </w:style>
  <w:style w:type="paragraph" w:styleId="BodyText">
    <w:name w:val="Body Text"/>
    <w:basedOn w:val="Normal"/>
    <w:link w:val="BodyTextChar0"/>
    <w:uiPriority w:val="99"/>
    <w:semiHidden/>
    <w:unhideWhenUsed/>
    <w:rsid w:val="00EC5694"/>
    <w:pPr>
      <w:spacing w:after="120"/>
    </w:pPr>
  </w:style>
  <w:style w:type="character" w:customStyle="1" w:styleId="BodyTextChar0">
    <w:name w:val="Body Text Char"/>
    <w:basedOn w:val="DefaultParagraphFont"/>
    <w:link w:val="BodyText"/>
    <w:uiPriority w:val="99"/>
    <w:semiHidden/>
    <w:rsid w:val="00EC5694"/>
    <w:rPr>
      <w:rFonts w:ascii="Calibri" w:eastAsia="Times New Roman" w:hAnsi="Calibri" w:cs="Times New Roman"/>
      <w:szCs w:val="20"/>
    </w:rPr>
  </w:style>
  <w:style w:type="paragraph" w:styleId="NoteHeading">
    <w:name w:val="Note Heading"/>
    <w:basedOn w:val="Normal"/>
    <w:next w:val="Normal"/>
    <w:link w:val="NoteHeadingChar"/>
    <w:uiPriority w:val="99"/>
    <w:semiHidden/>
    <w:unhideWhenUsed/>
    <w:rsid w:val="00EC5694"/>
    <w:pPr>
      <w:spacing w:before="0" w:after="0"/>
    </w:pPr>
  </w:style>
  <w:style w:type="character" w:customStyle="1" w:styleId="NoteHeadingChar">
    <w:name w:val="Note Heading Char"/>
    <w:basedOn w:val="DefaultParagraphFont"/>
    <w:link w:val="NoteHeading"/>
    <w:uiPriority w:val="99"/>
    <w:semiHidden/>
    <w:rsid w:val="00EC5694"/>
    <w:rPr>
      <w:rFonts w:ascii="Calibri" w:eastAsia="Times New Roman" w:hAnsi="Calibri" w:cs="Times New Roman"/>
      <w:szCs w:val="20"/>
    </w:rPr>
  </w:style>
  <w:style w:type="paragraph" w:styleId="Caption">
    <w:name w:val="caption"/>
    <w:basedOn w:val="Normal"/>
    <w:next w:val="Normal"/>
    <w:uiPriority w:val="35"/>
    <w:semiHidden/>
    <w:unhideWhenUsed/>
    <w:qFormat/>
    <w:rsid w:val="00EC5694"/>
    <w:pPr>
      <w:spacing w:before="0"/>
    </w:pPr>
    <w:rPr>
      <w:i/>
      <w:iCs/>
      <w:color w:val="44546A" w:themeColor="text2"/>
      <w:sz w:val="18"/>
      <w:szCs w:val="18"/>
    </w:rPr>
  </w:style>
  <w:style w:type="character" w:styleId="Hyperlink">
    <w:name w:val="Hyperlink"/>
    <w:basedOn w:val="DefaultParagraphFont"/>
    <w:uiPriority w:val="99"/>
    <w:unhideWhenUsed/>
    <w:rsid w:val="00EC5694"/>
    <w:rPr>
      <w:color w:val="0563C1" w:themeColor="hyperlink"/>
      <w:u w:val="single"/>
    </w:rPr>
  </w:style>
  <w:style w:type="paragraph" w:styleId="ListParagraph">
    <w:name w:val="List Paragraph"/>
    <w:aliases w:val="Recommendation,List Paragraph1,List Paragraph11,Bullet point,Bullets,NAST Quote,L,CV text,F5 List Paragraph,Dot pt,List Paragraph111,Medium Grid 1 - Accent 21,Numbered Paragraph,List Paragraph2,NFP GP Bulleted List,FooterText,列,Heading 2."/>
    <w:basedOn w:val="Normal"/>
    <w:uiPriority w:val="34"/>
    <w:qFormat/>
    <w:rsid w:val="000C124F"/>
    <w:pPr>
      <w:ind w:left="720"/>
      <w:contextualSpacing/>
    </w:pPr>
  </w:style>
  <w:style w:type="paragraph" w:styleId="BalloonText">
    <w:name w:val="Balloon Text"/>
    <w:basedOn w:val="Normal"/>
    <w:link w:val="BalloonTextChar"/>
    <w:uiPriority w:val="99"/>
    <w:semiHidden/>
    <w:unhideWhenUsed/>
    <w:rsid w:val="00C833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3B5"/>
    <w:rPr>
      <w:rFonts w:ascii="Tahoma" w:eastAsia="Times New Roman" w:hAnsi="Tahoma" w:cs="Tahoma"/>
      <w:sz w:val="16"/>
      <w:szCs w:val="16"/>
    </w:rPr>
  </w:style>
  <w:style w:type="table" w:styleId="TableGridLight">
    <w:name w:val="Grid Table Light"/>
    <w:basedOn w:val="TableNormal"/>
    <w:uiPriority w:val="40"/>
    <w:rsid w:val="009D24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D24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ageNumber">
    <w:name w:val="page number"/>
    <w:basedOn w:val="DefaultParagraphFont"/>
    <w:uiPriority w:val="99"/>
    <w:semiHidden/>
    <w:unhideWhenUsed/>
    <w:rsid w:val="00770344"/>
  </w:style>
  <w:style w:type="paragraph" w:customStyle="1" w:styleId="Coverheading">
    <w:name w:val="Cover heading"/>
    <w:qFormat/>
    <w:rsid w:val="00557502"/>
    <w:pPr>
      <w:spacing w:after="1000"/>
      <w:jc w:val="center"/>
    </w:pPr>
    <w:rPr>
      <w:rFonts w:ascii="Arial" w:eastAsia="Times New Roman" w:hAnsi="Arial" w:cs="Times New Roman"/>
      <w:b/>
      <w:color w:val="FFFFFF" w:themeColor="background1"/>
      <w:kern w:val="28"/>
      <w:sz w:val="100"/>
      <w:szCs w:val="100"/>
    </w:rPr>
  </w:style>
  <w:style w:type="paragraph" w:customStyle="1" w:styleId="CoverSub-heading">
    <w:name w:val="Cover Sub-heading"/>
    <w:basedOn w:val="Coverheading"/>
    <w:qFormat/>
    <w:rsid w:val="00557502"/>
    <w:rPr>
      <w:sz w:val="60"/>
      <w:szCs w:val="60"/>
    </w:rPr>
  </w:style>
  <w:style w:type="table" w:styleId="TableGrid">
    <w:name w:val="Table Grid"/>
    <w:basedOn w:val="TableNormal"/>
    <w:uiPriority w:val="39"/>
    <w:rsid w:val="00DB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2"/>
    <w:qFormat/>
    <w:rsid w:val="007C31FD"/>
    <w:pPr>
      <w:keepLines/>
      <w:spacing w:before="120" w:after="120"/>
      <w:contextualSpacing/>
      <w:outlineLvl w:val="0"/>
    </w:pPr>
    <w:rPr>
      <w:rFonts w:ascii="Arial" w:eastAsiaTheme="majorEastAsia" w:hAnsi="Arial" w:cs="Arial"/>
      <w:b/>
      <w:color w:val="FFFFFF" w:themeColor="background1"/>
      <w:kern w:val="28"/>
      <w:sz w:val="70"/>
      <w:szCs w:val="70"/>
    </w:rPr>
  </w:style>
  <w:style w:type="character" w:customStyle="1" w:styleId="TitleChar">
    <w:name w:val="Title Char"/>
    <w:basedOn w:val="DefaultParagraphFont"/>
    <w:link w:val="Title"/>
    <w:uiPriority w:val="22"/>
    <w:rsid w:val="007C31FD"/>
    <w:rPr>
      <w:rFonts w:ascii="Arial" w:eastAsiaTheme="majorEastAsia" w:hAnsi="Arial" w:cs="Arial"/>
      <w:b/>
      <w:color w:val="FFFFFF" w:themeColor="background1"/>
      <w:kern w:val="28"/>
      <w:sz w:val="70"/>
      <w:szCs w:val="70"/>
    </w:rPr>
  </w:style>
  <w:style w:type="paragraph" w:styleId="Subtitle">
    <w:name w:val="Subtitle"/>
    <w:basedOn w:val="Normal"/>
    <w:next w:val="Normal"/>
    <w:link w:val="SubtitleChar"/>
    <w:uiPriority w:val="23"/>
    <w:qFormat/>
    <w:rsid w:val="00F939BC"/>
    <w:pPr>
      <w:keepLines/>
      <w:numPr>
        <w:ilvl w:val="1"/>
      </w:numPr>
      <w:spacing w:before="120" w:after="480" w:line="360" w:lineRule="exact"/>
      <w:contextualSpacing/>
      <w:jc w:val="right"/>
    </w:pPr>
    <w:rPr>
      <w:rFonts w:asciiTheme="minorHAnsi" w:eastAsiaTheme="minorEastAsia" w:hAnsiTheme="minorHAnsi" w:cstheme="minorBidi"/>
      <w:bCs/>
      <w:color w:val="FFFFFF" w:themeColor="background1"/>
      <w:sz w:val="50"/>
      <w:szCs w:val="50"/>
    </w:rPr>
  </w:style>
  <w:style w:type="character" w:customStyle="1" w:styleId="SubtitleChar">
    <w:name w:val="Subtitle Char"/>
    <w:basedOn w:val="DefaultParagraphFont"/>
    <w:link w:val="Subtitle"/>
    <w:uiPriority w:val="23"/>
    <w:rsid w:val="00F939BC"/>
    <w:rPr>
      <w:rFonts w:eastAsiaTheme="minorEastAsia"/>
      <w:bCs/>
      <w:color w:val="FFFFFF" w:themeColor="background1"/>
      <w:sz w:val="50"/>
      <w:szCs w:val="50"/>
    </w:rPr>
  </w:style>
  <w:style w:type="paragraph" w:customStyle="1" w:styleId="Boxed1Text">
    <w:name w:val="Boxed 1 Text"/>
    <w:basedOn w:val="Normal"/>
    <w:uiPriority w:val="29"/>
    <w:qFormat/>
    <w:rsid w:val="008F4C1C"/>
    <w:pPr>
      <w:pBdr>
        <w:top w:val="single" w:sz="4" w:space="14" w:color="DEEAF6" w:themeColor="accent1" w:themeTint="33"/>
        <w:left w:val="single" w:sz="4" w:space="14" w:color="DEEAF6" w:themeColor="accent1" w:themeTint="33"/>
        <w:bottom w:val="single" w:sz="4" w:space="14" w:color="DEEAF6" w:themeColor="accent1" w:themeTint="33"/>
        <w:right w:val="single" w:sz="4" w:space="14" w:color="DEEAF6" w:themeColor="accent1" w:themeTint="33"/>
      </w:pBdr>
      <w:shd w:val="clear" w:color="auto" w:fill="DEEAF6" w:themeFill="accent1" w:themeFillTint="33"/>
      <w:spacing w:before="120" w:after="60"/>
      <w:ind w:left="284" w:right="284"/>
    </w:pPr>
    <w:rPr>
      <w:rFonts w:asciiTheme="minorHAnsi" w:eastAsiaTheme="minorHAnsi" w:hAnsiTheme="minorHAnsi" w:cstheme="minorBidi"/>
      <w:color w:val="000000" w:themeColor="text1"/>
      <w:szCs w:val="22"/>
    </w:rPr>
  </w:style>
  <w:style w:type="numbering" w:customStyle="1" w:styleId="KCBullets">
    <w:name w:val="KC Bullets"/>
    <w:uiPriority w:val="99"/>
    <w:rsid w:val="00430784"/>
    <w:pPr>
      <w:numPr>
        <w:numId w:val="5"/>
      </w:numPr>
    </w:pPr>
  </w:style>
  <w:style w:type="paragraph" w:customStyle="1" w:styleId="Bullet1">
    <w:name w:val="Bullet 1"/>
    <w:basedOn w:val="Normal"/>
    <w:uiPriority w:val="11"/>
    <w:qFormat/>
    <w:rsid w:val="00430784"/>
    <w:pPr>
      <w:numPr>
        <w:numId w:val="6"/>
      </w:numPr>
      <w:spacing w:before="120" w:after="120"/>
    </w:pPr>
    <w:rPr>
      <w:rFonts w:asciiTheme="minorHAnsi" w:eastAsiaTheme="minorHAnsi" w:hAnsiTheme="minorHAnsi" w:cstheme="minorBidi"/>
      <w:color w:val="000000" w:themeColor="text1"/>
      <w:sz w:val="20"/>
    </w:rPr>
  </w:style>
  <w:style w:type="paragraph" w:customStyle="1" w:styleId="Bullet2">
    <w:name w:val="Bullet 2"/>
    <w:basedOn w:val="Normal"/>
    <w:uiPriority w:val="11"/>
    <w:qFormat/>
    <w:rsid w:val="00430784"/>
    <w:pPr>
      <w:numPr>
        <w:ilvl w:val="1"/>
        <w:numId w:val="6"/>
      </w:numPr>
      <w:spacing w:before="120" w:after="120"/>
    </w:pPr>
    <w:rPr>
      <w:rFonts w:asciiTheme="minorHAnsi" w:eastAsiaTheme="minorHAnsi" w:hAnsiTheme="minorHAnsi" w:cstheme="minorBidi"/>
      <w:color w:val="000000" w:themeColor="text1"/>
      <w:sz w:val="20"/>
    </w:rPr>
  </w:style>
  <w:style w:type="paragraph" w:customStyle="1" w:styleId="Bullet3">
    <w:name w:val="Bullet 3"/>
    <w:basedOn w:val="Normal"/>
    <w:uiPriority w:val="11"/>
    <w:qFormat/>
    <w:rsid w:val="00430784"/>
    <w:pPr>
      <w:numPr>
        <w:ilvl w:val="2"/>
        <w:numId w:val="6"/>
      </w:numPr>
      <w:spacing w:before="120" w:after="120"/>
    </w:pPr>
    <w:rPr>
      <w:rFonts w:asciiTheme="minorHAnsi" w:eastAsiaTheme="minorHAnsi" w:hAnsiTheme="minorHAnsi" w:cstheme="minorBidi"/>
      <w:color w:val="000000" w:themeColor="text1"/>
      <w:sz w:val="20"/>
    </w:rPr>
  </w:style>
  <w:style w:type="paragraph" w:customStyle="1" w:styleId="bulletalpha">
    <w:name w:val="bullet alpha"/>
    <w:basedOn w:val="bullet10"/>
    <w:qFormat/>
    <w:rsid w:val="00E63215"/>
    <w:pPr>
      <w:numPr>
        <w:numId w:val="7"/>
      </w:numPr>
      <w:ind w:left="357" w:hanging="357"/>
    </w:pPr>
    <w:rPr>
      <w:szCs w:val="22"/>
      <w:lang w:val="en"/>
    </w:rPr>
  </w:style>
  <w:style w:type="paragraph" w:customStyle="1" w:styleId="Bulletroman">
    <w:name w:val="Bullet roman"/>
    <w:basedOn w:val="bulletalpha"/>
    <w:qFormat/>
    <w:rsid w:val="00430784"/>
    <w:pPr>
      <w:numPr>
        <w:numId w:val="8"/>
      </w:numPr>
    </w:pPr>
  </w:style>
  <w:style w:type="paragraph" w:customStyle="1" w:styleId="Boxed1Bullet">
    <w:name w:val="Boxed 1 Bullet"/>
    <w:basedOn w:val="Boxed1Text"/>
    <w:uiPriority w:val="30"/>
    <w:qFormat/>
    <w:rsid w:val="00430784"/>
    <w:pPr>
      <w:numPr>
        <w:numId w:val="9"/>
      </w:numPr>
    </w:pPr>
  </w:style>
  <w:style w:type="paragraph" w:customStyle="1" w:styleId="Boxed2Bullet">
    <w:name w:val="Boxed 2 Bullet"/>
    <w:basedOn w:val="Normal"/>
    <w:uiPriority w:val="32"/>
    <w:qFormat/>
    <w:rsid w:val="00430784"/>
    <w:pPr>
      <w:numPr>
        <w:ilvl w:val="1"/>
        <w:numId w:val="9"/>
      </w:numPr>
      <w:pBdr>
        <w:top w:val="single" w:sz="4" w:space="14" w:color="5B9BD5" w:themeColor="accent1"/>
        <w:left w:val="single" w:sz="4" w:space="14" w:color="5B9BD5" w:themeColor="accent1"/>
        <w:bottom w:val="single" w:sz="4" w:space="14" w:color="5B9BD5" w:themeColor="accent1"/>
        <w:right w:val="single" w:sz="4" w:space="14" w:color="5B9BD5" w:themeColor="accent1"/>
      </w:pBdr>
      <w:spacing w:before="120" w:after="60" w:line="240" w:lineRule="atLeast"/>
      <w:ind w:right="284"/>
    </w:pPr>
    <w:rPr>
      <w:rFonts w:asciiTheme="minorHAnsi" w:eastAsiaTheme="minorHAnsi" w:hAnsiTheme="minorHAnsi" w:cstheme="minorBidi"/>
      <w:color w:val="000000" w:themeColor="text1"/>
      <w:sz w:val="20"/>
    </w:rPr>
  </w:style>
  <w:style w:type="numbering" w:customStyle="1" w:styleId="BoxedBullets">
    <w:name w:val="Boxed Bullets"/>
    <w:uiPriority w:val="99"/>
    <w:rsid w:val="00430784"/>
    <w:pPr>
      <w:numPr>
        <w:numId w:val="9"/>
      </w:numPr>
    </w:pPr>
  </w:style>
  <w:style w:type="character" w:styleId="IntenseEmphasis">
    <w:name w:val="Intense Emphasis"/>
    <w:basedOn w:val="DefaultParagraphFont"/>
    <w:uiPriority w:val="33"/>
    <w:qFormat/>
    <w:rsid w:val="00430784"/>
    <w:rPr>
      <w:b/>
      <w:i/>
      <w:iCs/>
      <w:color w:val="000000" w:themeColor="text1"/>
    </w:rPr>
  </w:style>
  <w:style w:type="paragraph" w:customStyle="1" w:styleId="NormalIndent5mm">
    <w:name w:val="Normal Indent 5mm"/>
    <w:basedOn w:val="Normal"/>
    <w:qFormat/>
    <w:rsid w:val="00B514E3"/>
    <w:pPr>
      <w:spacing w:before="120" w:after="120" w:line="240" w:lineRule="auto"/>
      <w:ind w:left="284"/>
    </w:pPr>
    <w:rPr>
      <w:rFonts w:asciiTheme="minorHAnsi" w:eastAsiaTheme="minorHAnsi" w:hAnsiTheme="minorHAnsi" w:cstheme="minorBidi"/>
      <w:color w:val="000000" w:themeColor="text1"/>
      <w:sz w:val="20"/>
    </w:rPr>
  </w:style>
  <w:style w:type="character" w:styleId="Strong">
    <w:name w:val="Strong"/>
    <w:basedOn w:val="DefaultParagraphFont"/>
    <w:uiPriority w:val="22"/>
    <w:qFormat/>
    <w:rsid w:val="001F5A1E"/>
    <w:rPr>
      <w:b/>
      <w:bCs/>
    </w:rPr>
  </w:style>
  <w:style w:type="paragraph" w:customStyle="1" w:styleId="Boxed1Heading">
    <w:name w:val="Boxed 1 Heading"/>
    <w:basedOn w:val="Boxed1Text"/>
    <w:uiPriority w:val="29"/>
    <w:qFormat/>
    <w:rsid w:val="00495C6A"/>
    <w:pPr>
      <w:keepNext/>
      <w:spacing w:line="240" w:lineRule="atLeast"/>
    </w:pPr>
    <w:rPr>
      <w:b/>
      <w:szCs w:val="20"/>
    </w:rPr>
  </w:style>
  <w:style w:type="numbering" w:customStyle="1" w:styleId="FigureNumbers">
    <w:name w:val="Figure Numbers"/>
    <w:uiPriority w:val="99"/>
    <w:rsid w:val="00495C6A"/>
    <w:pPr>
      <w:numPr>
        <w:numId w:val="10"/>
      </w:numPr>
    </w:pPr>
  </w:style>
  <w:style w:type="paragraph" w:customStyle="1" w:styleId="FigureTitle">
    <w:name w:val="Figure Title"/>
    <w:basedOn w:val="Normal"/>
    <w:uiPriority w:val="12"/>
    <w:qFormat/>
    <w:rsid w:val="00495C6A"/>
    <w:pPr>
      <w:keepNext/>
      <w:numPr>
        <w:numId w:val="11"/>
      </w:numPr>
      <w:spacing w:before="240" w:after="120" w:line="240" w:lineRule="auto"/>
    </w:pPr>
    <w:rPr>
      <w:rFonts w:asciiTheme="majorHAnsi" w:eastAsiaTheme="minorHAnsi" w:hAnsiTheme="majorHAnsi" w:cstheme="minorBidi"/>
      <w:color w:val="000000" w:themeColor="text1"/>
      <w:sz w:val="20"/>
    </w:rPr>
  </w:style>
  <w:style w:type="character" w:customStyle="1" w:styleId="heading10">
    <w:name w:val="heading1"/>
    <w:basedOn w:val="DefaultParagraphFont"/>
    <w:rsid w:val="007811EC"/>
    <w:rPr>
      <w:rFonts w:ascii="Calibri" w:hAnsi="Calibri" w:cs="Calibri" w:hint="default"/>
      <w:b/>
      <w:bCs/>
      <w:i w:val="0"/>
      <w:iCs w:val="0"/>
      <w:color w:val="000000"/>
    </w:rPr>
  </w:style>
  <w:style w:type="paragraph" w:customStyle="1" w:styleId="AppendixNumbered">
    <w:name w:val="Appendix Numbered"/>
    <w:basedOn w:val="Heading2"/>
    <w:uiPriority w:val="11"/>
    <w:qFormat/>
    <w:rsid w:val="00C45989"/>
    <w:pPr>
      <w:keepLines/>
      <w:pageBreakBefore/>
      <w:numPr>
        <w:numId w:val="15"/>
      </w:numPr>
      <w:spacing w:before="360" w:after="120" w:line="240" w:lineRule="auto"/>
    </w:pPr>
    <w:rPr>
      <w:rFonts w:asciiTheme="majorHAnsi" w:eastAsiaTheme="majorEastAsia" w:hAnsiTheme="majorHAnsi" w:cstheme="majorBidi"/>
      <w:snapToGrid/>
      <w:color w:val="5B9BD5" w:themeColor="accent1"/>
      <w:szCs w:val="26"/>
    </w:rPr>
  </w:style>
  <w:style w:type="numbering" w:customStyle="1" w:styleId="AppendixNumbers">
    <w:name w:val="Appendix Numbers"/>
    <w:uiPriority w:val="99"/>
    <w:rsid w:val="00C45989"/>
    <w:pPr>
      <w:numPr>
        <w:numId w:val="12"/>
      </w:numPr>
    </w:pPr>
  </w:style>
  <w:style w:type="table" w:customStyle="1" w:styleId="DefaultTable1">
    <w:name w:val="Default Table 1"/>
    <w:basedOn w:val="GridTable5Dark-Accent1"/>
    <w:uiPriority w:val="99"/>
    <w:rsid w:val="00C45989"/>
    <w:pPr>
      <w:spacing w:before="60" w:after="60"/>
    </w:pPr>
    <w:rPr>
      <w:color w:val="000000" w:themeColor="text1"/>
      <w:sz w:val="18"/>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B9BD5"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DEEAF6" w:themeFill="accent1" w:themeFillTint="33"/>
      </w:tcPr>
    </w:tblStylePr>
    <w:tblStylePr w:type="band2Vert">
      <w:tblPr/>
      <w:tcPr>
        <w:shd w:val="clear" w:color="auto" w:fill="BDD6EE" w:themeFill="accent1" w:themeFillTint="66"/>
      </w:tcPr>
    </w:tblStylePr>
    <w:tblStylePr w:type="band1Horz">
      <w:tblPr/>
      <w:tcPr>
        <w:shd w:val="clear" w:color="auto" w:fill="DEEAF6" w:themeFill="accent1" w:themeFillTint="33"/>
      </w:tcPr>
    </w:tblStylePr>
    <w:tblStylePr w:type="band2Horz">
      <w:tblPr/>
      <w:tcPr>
        <w:shd w:val="clear" w:color="auto" w:fill="BDD6EE" w:themeFill="accent1" w:themeFillTint="66"/>
      </w:tcPr>
    </w:tblStylePr>
  </w:style>
  <w:style w:type="numbering" w:customStyle="1" w:styleId="TableNumbers">
    <w:name w:val="Table Numbers"/>
    <w:uiPriority w:val="99"/>
    <w:rsid w:val="00C45989"/>
    <w:pPr>
      <w:numPr>
        <w:numId w:val="13"/>
      </w:numPr>
    </w:pPr>
  </w:style>
  <w:style w:type="paragraph" w:customStyle="1" w:styleId="TableTitle">
    <w:name w:val="Table Title"/>
    <w:basedOn w:val="FigureTitle"/>
    <w:uiPriority w:val="12"/>
    <w:qFormat/>
    <w:rsid w:val="00C45989"/>
    <w:pPr>
      <w:numPr>
        <w:numId w:val="14"/>
      </w:numPr>
    </w:pPr>
  </w:style>
  <w:style w:type="table" w:styleId="GridTable5Dark-Accent1">
    <w:name w:val="Grid Table 5 Dark Accent 1"/>
    <w:basedOn w:val="TableNormal"/>
    <w:uiPriority w:val="50"/>
    <w:rsid w:val="00C45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FollowedHyperlink">
    <w:name w:val="FollowedHyperlink"/>
    <w:basedOn w:val="DefaultParagraphFont"/>
    <w:uiPriority w:val="99"/>
    <w:semiHidden/>
    <w:unhideWhenUsed/>
    <w:rsid w:val="005331E2"/>
    <w:rPr>
      <w:color w:val="954F72" w:themeColor="followedHyperlink"/>
      <w:u w:val="single"/>
    </w:rPr>
  </w:style>
  <w:style w:type="character" w:styleId="UnresolvedMention">
    <w:name w:val="Unresolved Mention"/>
    <w:basedOn w:val="DefaultParagraphFont"/>
    <w:uiPriority w:val="99"/>
    <w:semiHidden/>
    <w:unhideWhenUsed/>
    <w:rsid w:val="005331E2"/>
    <w:rPr>
      <w:color w:val="605E5C"/>
      <w:shd w:val="clear" w:color="auto" w:fill="E1DFDD"/>
    </w:rPr>
  </w:style>
  <w:style w:type="paragraph" w:customStyle="1" w:styleId="bulletnumbers">
    <w:name w:val="bullet numbers"/>
    <w:basedOn w:val="Normal"/>
    <w:qFormat/>
    <w:rsid w:val="00C23AE3"/>
    <w:pPr>
      <w:numPr>
        <w:numId w:val="16"/>
      </w:numPr>
      <w:spacing w:before="30" w:after="30"/>
    </w:pPr>
    <w:rPr>
      <w:rFonts w:asciiTheme="minorHAnsi" w:eastAsiaTheme="minorHAnsi" w:hAnsiTheme="minorHAnsi"/>
      <w:szCs w:val="22"/>
    </w:rPr>
  </w:style>
  <w:style w:type="paragraph" w:customStyle="1" w:styleId="Directoratename">
    <w:name w:val="Directorate name"/>
    <w:basedOn w:val="Normal"/>
    <w:qFormat/>
    <w:rsid w:val="008F4C1C"/>
    <w:rPr>
      <w:b/>
      <w:bCs/>
      <w:color w:val="7030A0"/>
      <w:sz w:val="28"/>
      <w:szCs w:val="28"/>
    </w:rPr>
  </w:style>
  <w:style w:type="paragraph" w:styleId="FootnoteText">
    <w:name w:val="footnote text"/>
    <w:basedOn w:val="Normal"/>
    <w:link w:val="FootnoteTextChar"/>
    <w:uiPriority w:val="99"/>
    <w:semiHidden/>
    <w:unhideWhenUsed/>
    <w:rsid w:val="001723F7"/>
    <w:pPr>
      <w:spacing w:before="0" w:after="0" w:line="240" w:lineRule="auto"/>
    </w:pPr>
    <w:rPr>
      <w:sz w:val="20"/>
    </w:rPr>
  </w:style>
  <w:style w:type="character" w:customStyle="1" w:styleId="FootnoteTextChar">
    <w:name w:val="Footnote Text Char"/>
    <w:basedOn w:val="DefaultParagraphFont"/>
    <w:link w:val="FootnoteText"/>
    <w:uiPriority w:val="99"/>
    <w:semiHidden/>
    <w:rsid w:val="001723F7"/>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1723F7"/>
    <w:rPr>
      <w:vertAlign w:val="superscript"/>
    </w:rPr>
  </w:style>
  <w:style w:type="character" w:styleId="Emphasis">
    <w:name w:val="Emphasis"/>
    <w:basedOn w:val="DefaultParagraphFont"/>
    <w:uiPriority w:val="20"/>
    <w:qFormat/>
    <w:rsid w:val="00A47BB5"/>
    <w:rPr>
      <w:i/>
      <w:iCs/>
    </w:rPr>
  </w:style>
  <w:style w:type="table" w:styleId="GridTable1Light-Accent2">
    <w:name w:val="Grid Table 1 Light Accent 2"/>
    <w:basedOn w:val="TableNormal"/>
    <w:uiPriority w:val="46"/>
    <w:rsid w:val="00A47BB5"/>
    <w:pPr>
      <w:spacing w:after="0" w:line="240" w:lineRule="auto"/>
    </w:pPr>
    <w:rPr>
      <w:rFonts w:eastAsiaTheme="minorEastAsia"/>
      <w:kern w:val="22"/>
      <w:lang w:val="en-US" w:eastAsia="ja-JP"/>
      <w14:ligatures w14:val="standard"/>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customStyle="1" w:styleId="NormalRedBullet">
    <w:name w:val="Normal Red Bullet"/>
    <w:basedOn w:val="Normal"/>
    <w:qFormat/>
    <w:rsid w:val="00786B29"/>
    <w:pPr>
      <w:numPr>
        <w:numId w:val="17"/>
      </w:numPr>
      <w:tabs>
        <w:tab w:val="left" w:pos="1080"/>
      </w:tabs>
      <w:spacing w:before="60" w:after="60" w:line="228" w:lineRule="auto"/>
    </w:pPr>
    <w:rPr>
      <w:rFonts w:cs="Calibri"/>
      <w:color w:val="C7461F"/>
      <w:szCs w:val="22"/>
    </w:rPr>
  </w:style>
  <w:style w:type="paragraph" w:customStyle="1" w:styleId="TableParagraph">
    <w:name w:val="Table Paragraph"/>
    <w:basedOn w:val="Normal"/>
    <w:uiPriority w:val="1"/>
    <w:qFormat/>
    <w:rsid w:val="00AF5EF6"/>
    <w:pPr>
      <w:widowControl w:val="0"/>
      <w:autoSpaceDE w:val="0"/>
      <w:autoSpaceDN w:val="0"/>
      <w:spacing w:before="121" w:after="0" w:line="240" w:lineRule="auto"/>
    </w:pPr>
    <w:rPr>
      <w:rFonts w:eastAsia="Calibri" w:cs="Calibri"/>
      <w:szCs w:val="22"/>
    </w:rPr>
  </w:style>
  <w:style w:type="paragraph" w:customStyle="1" w:styleId="ListParagraph2">
    <w:name w:val="List Paragraph 2"/>
    <w:basedOn w:val="ListParagraph"/>
    <w:qFormat/>
    <w:rsid w:val="0046681C"/>
    <w:pPr>
      <w:tabs>
        <w:tab w:val="left" w:pos="425"/>
        <w:tab w:val="left" w:pos="851"/>
      </w:tabs>
      <w:spacing w:before="240" w:after="0"/>
      <w:ind w:left="1440" w:hanging="360"/>
      <w:contextualSpacing w:val="0"/>
    </w:pPr>
    <w:rPr>
      <w:rFonts w:asciiTheme="minorHAnsi" w:eastAsiaTheme="minorEastAsia" w:hAnsiTheme="minorHAnsi" w:cstheme="minorBidi"/>
      <w:sz w:val="26"/>
      <w:szCs w:val="26"/>
    </w:rPr>
  </w:style>
  <w:style w:type="paragraph" w:customStyle="1" w:styleId="Default">
    <w:name w:val="Default"/>
    <w:rsid w:val="00067FA8"/>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9E7F64"/>
    <w:pPr>
      <w:spacing w:before="100" w:beforeAutospacing="1" w:after="100" w:afterAutospacing="1" w:line="240" w:lineRule="auto"/>
    </w:pPr>
    <w:rPr>
      <w:rFonts w:ascii="Times New Roman" w:hAnsi="Times New Roman"/>
      <w:sz w:val="24"/>
      <w:szCs w:val="24"/>
      <w:lang w:eastAsia="en-AU"/>
    </w:rPr>
  </w:style>
  <w:style w:type="paragraph" w:customStyle="1" w:styleId="1-PACT">
    <w:name w:val="1. - PACT"/>
    <w:basedOn w:val="Normal"/>
    <w:qFormat/>
    <w:rsid w:val="00F56ED2"/>
    <w:pPr>
      <w:numPr>
        <w:ilvl w:val="1"/>
        <w:numId w:val="19"/>
      </w:numPr>
      <w:spacing w:before="240" w:after="120" w:line="240" w:lineRule="auto"/>
      <w:jc w:val="both"/>
      <w:outlineLvl w:val="3"/>
    </w:pPr>
    <w:rPr>
      <w:rFonts w:ascii="Arial" w:eastAsiaTheme="minorHAnsi" w:hAnsi="Arial" w:cs="Arial"/>
      <w:b/>
      <w:color w:val="482D8C"/>
      <w:sz w:val="44"/>
      <w:szCs w:val="44"/>
    </w:rPr>
  </w:style>
  <w:style w:type="paragraph" w:customStyle="1" w:styleId="11-PACT">
    <w:name w:val="1.1 - PACT"/>
    <w:basedOn w:val="Normal"/>
    <w:qFormat/>
    <w:rsid w:val="00F56ED2"/>
    <w:pPr>
      <w:numPr>
        <w:ilvl w:val="2"/>
        <w:numId w:val="19"/>
      </w:numPr>
      <w:spacing w:before="240" w:after="120" w:line="240" w:lineRule="auto"/>
      <w:jc w:val="both"/>
      <w:outlineLvl w:val="3"/>
    </w:pPr>
    <w:rPr>
      <w:rFonts w:ascii="Arial" w:eastAsiaTheme="minorHAnsi" w:hAnsi="Arial" w:cs="Arial"/>
      <w:color w:val="482D8C"/>
      <w:sz w:val="32"/>
      <w:szCs w:val="32"/>
    </w:rPr>
  </w:style>
  <w:style w:type="character" w:customStyle="1" w:styleId="111-PACTChar">
    <w:name w:val="1.1.1. - PACT Char"/>
    <w:basedOn w:val="DefaultParagraphFont"/>
    <w:link w:val="111-PACT"/>
    <w:locked/>
    <w:rsid w:val="00F56ED2"/>
    <w:rPr>
      <w:rFonts w:ascii="Calibri" w:hAnsi="Calibri" w:cs="Calibri"/>
    </w:rPr>
  </w:style>
  <w:style w:type="paragraph" w:customStyle="1" w:styleId="111-PACT">
    <w:name w:val="1.1.1. - PACT"/>
    <w:basedOn w:val="Normal"/>
    <w:link w:val="111-PACTChar"/>
    <w:qFormat/>
    <w:rsid w:val="00F56ED2"/>
    <w:pPr>
      <w:numPr>
        <w:ilvl w:val="3"/>
        <w:numId w:val="19"/>
      </w:numPr>
      <w:spacing w:before="120" w:after="120" w:line="240" w:lineRule="auto"/>
      <w:jc w:val="both"/>
      <w:outlineLvl w:val="3"/>
    </w:pPr>
    <w:rPr>
      <w:rFonts w:eastAsiaTheme="minorHAnsi" w:cs="Calibri"/>
      <w:szCs w:val="22"/>
    </w:rPr>
  </w:style>
  <w:style w:type="paragraph" w:customStyle="1" w:styleId="i-PACT">
    <w:name w:val="i. - PACT"/>
    <w:basedOn w:val="Normal"/>
    <w:qFormat/>
    <w:rsid w:val="00F56ED2"/>
    <w:pPr>
      <w:numPr>
        <w:ilvl w:val="5"/>
        <w:numId w:val="19"/>
      </w:numPr>
      <w:spacing w:before="0" w:after="120" w:line="240" w:lineRule="auto"/>
      <w:jc w:val="both"/>
      <w:outlineLvl w:val="5"/>
    </w:pPr>
    <w:rPr>
      <w:rFonts w:eastAsia="Calibri"/>
      <w:szCs w:val="22"/>
    </w:rPr>
  </w:style>
  <w:style w:type="paragraph" w:customStyle="1" w:styleId="Schedule1PACT">
    <w:name w:val="Schedule 1. PACT"/>
    <w:basedOn w:val="Normal"/>
    <w:qFormat/>
    <w:rsid w:val="00F56ED2"/>
    <w:pPr>
      <w:pageBreakBefore/>
      <w:numPr>
        <w:numId w:val="19"/>
      </w:numPr>
      <w:spacing w:before="240" w:after="120" w:line="240" w:lineRule="auto"/>
      <w:outlineLvl w:val="3"/>
    </w:pPr>
    <w:rPr>
      <w:rFonts w:asciiTheme="majorHAnsi" w:eastAsiaTheme="minorHAnsi" w:hAnsiTheme="majorHAnsi" w:cstheme="majorHAnsi"/>
      <w:b/>
      <w:color w:val="482D8C"/>
      <w:sz w:val="44"/>
      <w:szCs w:val="44"/>
    </w:rPr>
  </w:style>
  <w:style w:type="paragraph" w:customStyle="1" w:styleId="a-PACT">
    <w:name w:val="(a) - PACT"/>
    <w:basedOn w:val="i-PACT"/>
    <w:link w:val="a-PACTChar"/>
    <w:qFormat/>
    <w:rsid w:val="00F56ED2"/>
    <w:pPr>
      <w:numPr>
        <w:ilvl w:val="4"/>
      </w:numPr>
      <w:outlineLvl w:val="4"/>
    </w:pPr>
  </w:style>
  <w:style w:type="character" w:customStyle="1" w:styleId="a-PACTChar">
    <w:name w:val="(a) - PACT Char"/>
    <w:basedOn w:val="DefaultParagraphFont"/>
    <w:link w:val="a-PACT"/>
    <w:locked/>
    <w:rsid w:val="00F56ED2"/>
    <w:rPr>
      <w:rFonts w:ascii="Calibri" w:eastAsia="Calibri" w:hAnsi="Calibri" w:cs="Times New Roman"/>
    </w:rPr>
  </w:style>
  <w:style w:type="paragraph" w:customStyle="1" w:styleId="RFPparagraph">
    <w:name w:val="RFP paragraph"/>
    <w:basedOn w:val="Heading3"/>
    <w:qFormat/>
    <w:rsid w:val="001221C2"/>
    <w:pPr>
      <w:tabs>
        <w:tab w:val="num" w:pos="1702"/>
      </w:tabs>
      <w:spacing w:beforeLines="100" w:after="0"/>
      <w:ind w:left="1702" w:hanging="851"/>
    </w:pPr>
    <w:rPr>
      <w:rFonts w:ascii="Times New Roman" w:hAnsi="Times New Roman"/>
      <w:bCs/>
    </w:rPr>
  </w:style>
  <w:style w:type="paragraph" w:customStyle="1" w:styleId="TableText0">
    <w:name w:val="Table Text"/>
    <w:basedOn w:val="Normal"/>
    <w:link w:val="TableTextChar0"/>
    <w:rsid w:val="001221C2"/>
    <w:pPr>
      <w:spacing w:before="60" w:after="60" w:line="240" w:lineRule="auto"/>
    </w:pPr>
    <w:rPr>
      <w:rFonts w:ascii="Times New Roman" w:hAnsi="Times New Roman"/>
      <w:sz w:val="24"/>
      <w:szCs w:val="24"/>
    </w:rPr>
  </w:style>
  <w:style w:type="character" w:customStyle="1" w:styleId="TableTextChar0">
    <w:name w:val="Table Text Char"/>
    <w:basedOn w:val="DefaultParagraphFont"/>
    <w:link w:val="TableText0"/>
    <w:locked/>
    <w:rsid w:val="001221C2"/>
    <w:rPr>
      <w:rFonts w:ascii="Times New Roman" w:eastAsia="Times New Roman" w:hAnsi="Times New Roman" w:cs="Times New Roman"/>
      <w:sz w:val="24"/>
      <w:szCs w:val="24"/>
    </w:rPr>
  </w:style>
  <w:style w:type="paragraph" w:customStyle="1" w:styleId="Criteria">
    <w:name w:val="Criteria"/>
    <w:basedOn w:val="RFPparagraph"/>
    <w:rsid w:val="001221C2"/>
    <w:pPr>
      <w:tabs>
        <w:tab w:val="clear" w:pos="1702"/>
      </w:tabs>
      <w:ind w:left="0" w:firstLine="0"/>
    </w:pPr>
  </w:style>
  <w:style w:type="paragraph" w:styleId="List">
    <w:name w:val="List"/>
    <w:basedOn w:val="Normal"/>
    <w:rsid w:val="001221C2"/>
    <w:pPr>
      <w:numPr>
        <w:numId w:val="18"/>
      </w:numPr>
      <w:spacing w:beforeLines="50" w:before="0" w:after="0" w:line="240" w:lineRule="auto"/>
      <w:ind w:right="612"/>
    </w:pPr>
    <w:rPr>
      <w:rFonts w:ascii="Times New Roman" w:hAnsi="Times New Roman"/>
      <w:sz w:val="24"/>
    </w:rPr>
  </w:style>
  <w:style w:type="paragraph" w:styleId="NoSpacing">
    <w:name w:val="No Spacing"/>
    <w:uiPriority w:val="1"/>
    <w:qFormat/>
    <w:rsid w:val="00623AB4"/>
    <w:pPr>
      <w:spacing w:after="0" w:line="240" w:lineRule="auto"/>
    </w:pPr>
    <w:rPr>
      <w:rFonts w:ascii="Verdana" w:eastAsia="Times New Roman" w:hAnsi="Verdana" w:cs="Times New Roman"/>
      <w:sz w:val="24"/>
    </w:rPr>
  </w:style>
  <w:style w:type="character" w:styleId="CommentReference">
    <w:name w:val="annotation reference"/>
    <w:basedOn w:val="DefaultParagraphFont"/>
    <w:uiPriority w:val="99"/>
    <w:unhideWhenUsed/>
    <w:rsid w:val="00100416"/>
    <w:rPr>
      <w:sz w:val="16"/>
      <w:szCs w:val="16"/>
    </w:rPr>
  </w:style>
  <w:style w:type="paragraph" w:styleId="CommentText">
    <w:name w:val="annotation text"/>
    <w:basedOn w:val="Normal"/>
    <w:link w:val="CommentTextChar"/>
    <w:uiPriority w:val="99"/>
    <w:unhideWhenUsed/>
    <w:rsid w:val="00100416"/>
    <w:pPr>
      <w:spacing w:line="240" w:lineRule="auto"/>
    </w:pPr>
    <w:rPr>
      <w:sz w:val="20"/>
    </w:rPr>
  </w:style>
  <w:style w:type="character" w:customStyle="1" w:styleId="CommentTextChar">
    <w:name w:val="Comment Text Char"/>
    <w:basedOn w:val="DefaultParagraphFont"/>
    <w:link w:val="CommentText"/>
    <w:uiPriority w:val="99"/>
    <w:rsid w:val="0010041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00416"/>
    <w:rPr>
      <w:b/>
      <w:bCs/>
    </w:rPr>
  </w:style>
  <w:style w:type="character" w:customStyle="1" w:styleId="CommentSubjectChar">
    <w:name w:val="Comment Subject Char"/>
    <w:basedOn w:val="CommentTextChar"/>
    <w:link w:val="CommentSubject"/>
    <w:uiPriority w:val="99"/>
    <w:semiHidden/>
    <w:rsid w:val="00100416"/>
    <w:rPr>
      <w:rFonts w:ascii="Calibri" w:eastAsia="Times New Roman" w:hAnsi="Calibri" w:cs="Times New Roman"/>
      <w:b/>
      <w:bCs/>
      <w:sz w:val="20"/>
      <w:szCs w:val="20"/>
    </w:rPr>
  </w:style>
  <w:style w:type="paragraph" w:styleId="Revision">
    <w:name w:val="Revision"/>
    <w:hidden/>
    <w:uiPriority w:val="99"/>
    <w:semiHidden/>
    <w:rsid w:val="003273EB"/>
    <w:pPr>
      <w:spacing w:after="0" w:line="240" w:lineRule="auto"/>
    </w:pPr>
    <w:rPr>
      <w:rFonts w:ascii="Calibri" w:eastAsia="Times New Roman" w:hAnsi="Calibri" w:cs="Times New Roman"/>
      <w:szCs w:val="20"/>
    </w:rPr>
  </w:style>
  <w:style w:type="paragraph" w:styleId="BodyText2">
    <w:name w:val="Body Text 2"/>
    <w:basedOn w:val="Normal"/>
    <w:link w:val="BodyText2Char"/>
    <w:uiPriority w:val="99"/>
    <w:semiHidden/>
    <w:unhideWhenUsed/>
    <w:rsid w:val="003037D0"/>
    <w:pPr>
      <w:spacing w:after="120" w:line="480" w:lineRule="auto"/>
    </w:pPr>
  </w:style>
  <w:style w:type="character" w:customStyle="1" w:styleId="BodyText2Char">
    <w:name w:val="Body Text 2 Char"/>
    <w:basedOn w:val="DefaultParagraphFont"/>
    <w:link w:val="BodyText2"/>
    <w:uiPriority w:val="99"/>
    <w:semiHidden/>
    <w:rsid w:val="003037D0"/>
    <w:rPr>
      <w:rFonts w:ascii="Calibri" w:eastAsia="Times New Roman" w:hAnsi="Calibri" w:cs="Times New Roman"/>
      <w:szCs w:val="20"/>
    </w:rPr>
  </w:style>
  <w:style w:type="paragraph" w:customStyle="1" w:styleId="CS-Paragraphnumbering">
    <w:name w:val="CS - Paragraph numbering"/>
    <w:basedOn w:val="Normal"/>
    <w:rsid w:val="00FE0085"/>
    <w:pPr>
      <w:numPr>
        <w:numId w:val="21"/>
      </w:numPr>
      <w:spacing w:before="0" w:after="120"/>
      <w:ind w:right="-45"/>
    </w:pPr>
    <w:rPr>
      <w:rFonts w:asciiTheme="minorHAnsi" w:eastAsiaTheme="minorHAnsi" w:hAnsiTheme="minorHAnsi" w:cstheme="minorBidi"/>
      <w:sz w:val="24"/>
      <w:szCs w:val="24"/>
    </w:rPr>
  </w:style>
  <w:style w:type="paragraph" w:customStyle="1" w:styleId="xxtablebullet">
    <w:name w:val="x_x_tablebullet"/>
    <w:basedOn w:val="Normal"/>
    <w:rsid w:val="00D70B0E"/>
    <w:pPr>
      <w:spacing w:before="60" w:after="60" w:line="260" w:lineRule="atLeast"/>
      <w:ind w:left="227" w:hanging="227"/>
    </w:pPr>
    <w:rPr>
      <w:rFonts w:ascii="Work Sans Light" w:eastAsiaTheme="minorHAnsi" w:hAnsi="Work Sans Light" w:cs="Calibri"/>
      <w:color w:val="000000"/>
      <w:sz w:val="20"/>
      <w:lang w:eastAsia="en-AU"/>
    </w:rPr>
  </w:style>
  <w:style w:type="character" w:customStyle="1" w:styleId="normaltextrun">
    <w:name w:val="normaltextrun"/>
    <w:basedOn w:val="DefaultParagraphFont"/>
    <w:rsid w:val="00D70B0E"/>
  </w:style>
  <w:style w:type="character" w:customStyle="1" w:styleId="eop">
    <w:name w:val="eop"/>
    <w:basedOn w:val="DefaultParagraphFont"/>
    <w:rsid w:val="00D70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731661">
      <w:bodyDiv w:val="1"/>
      <w:marLeft w:val="0"/>
      <w:marRight w:val="0"/>
      <w:marTop w:val="0"/>
      <w:marBottom w:val="0"/>
      <w:divBdr>
        <w:top w:val="none" w:sz="0" w:space="0" w:color="auto"/>
        <w:left w:val="none" w:sz="0" w:space="0" w:color="auto"/>
        <w:bottom w:val="none" w:sz="0" w:space="0" w:color="auto"/>
        <w:right w:val="none" w:sz="0" w:space="0" w:color="auto"/>
      </w:divBdr>
    </w:div>
    <w:div w:id="1117338501">
      <w:bodyDiv w:val="1"/>
      <w:marLeft w:val="0"/>
      <w:marRight w:val="0"/>
      <w:marTop w:val="0"/>
      <w:marBottom w:val="0"/>
      <w:divBdr>
        <w:top w:val="none" w:sz="0" w:space="0" w:color="auto"/>
        <w:left w:val="none" w:sz="0" w:space="0" w:color="auto"/>
        <w:bottom w:val="none" w:sz="0" w:space="0" w:color="auto"/>
        <w:right w:val="none" w:sz="0" w:space="0" w:color="auto"/>
      </w:divBdr>
      <w:divsChild>
        <w:div w:id="7879509">
          <w:marLeft w:val="1080"/>
          <w:marRight w:val="0"/>
          <w:marTop w:val="100"/>
          <w:marBottom w:val="0"/>
          <w:divBdr>
            <w:top w:val="none" w:sz="0" w:space="0" w:color="auto"/>
            <w:left w:val="none" w:sz="0" w:space="0" w:color="auto"/>
            <w:bottom w:val="none" w:sz="0" w:space="0" w:color="auto"/>
            <w:right w:val="none" w:sz="0" w:space="0" w:color="auto"/>
          </w:divBdr>
        </w:div>
        <w:div w:id="292835317">
          <w:marLeft w:val="1080"/>
          <w:marRight w:val="0"/>
          <w:marTop w:val="100"/>
          <w:marBottom w:val="0"/>
          <w:divBdr>
            <w:top w:val="none" w:sz="0" w:space="0" w:color="auto"/>
            <w:left w:val="none" w:sz="0" w:space="0" w:color="auto"/>
            <w:bottom w:val="none" w:sz="0" w:space="0" w:color="auto"/>
            <w:right w:val="none" w:sz="0" w:space="0" w:color="auto"/>
          </w:divBdr>
        </w:div>
        <w:div w:id="485825616">
          <w:marLeft w:val="1080"/>
          <w:marRight w:val="0"/>
          <w:marTop w:val="100"/>
          <w:marBottom w:val="0"/>
          <w:divBdr>
            <w:top w:val="none" w:sz="0" w:space="0" w:color="auto"/>
            <w:left w:val="none" w:sz="0" w:space="0" w:color="auto"/>
            <w:bottom w:val="none" w:sz="0" w:space="0" w:color="auto"/>
            <w:right w:val="none" w:sz="0" w:space="0" w:color="auto"/>
          </w:divBdr>
        </w:div>
        <w:div w:id="941230479">
          <w:marLeft w:val="1080"/>
          <w:marRight w:val="0"/>
          <w:marTop w:val="100"/>
          <w:marBottom w:val="0"/>
          <w:divBdr>
            <w:top w:val="none" w:sz="0" w:space="0" w:color="auto"/>
            <w:left w:val="none" w:sz="0" w:space="0" w:color="auto"/>
            <w:bottom w:val="none" w:sz="0" w:space="0" w:color="auto"/>
            <w:right w:val="none" w:sz="0" w:space="0" w:color="auto"/>
          </w:divBdr>
        </w:div>
        <w:div w:id="1506938602">
          <w:marLeft w:val="1080"/>
          <w:marRight w:val="0"/>
          <w:marTop w:val="100"/>
          <w:marBottom w:val="0"/>
          <w:divBdr>
            <w:top w:val="none" w:sz="0" w:space="0" w:color="auto"/>
            <w:left w:val="none" w:sz="0" w:space="0" w:color="auto"/>
            <w:bottom w:val="none" w:sz="0" w:space="0" w:color="auto"/>
            <w:right w:val="none" w:sz="0" w:space="0" w:color="auto"/>
          </w:divBdr>
        </w:div>
        <w:div w:id="1705058551">
          <w:marLeft w:val="1080"/>
          <w:marRight w:val="0"/>
          <w:marTop w:val="100"/>
          <w:marBottom w:val="0"/>
          <w:divBdr>
            <w:top w:val="none" w:sz="0" w:space="0" w:color="auto"/>
            <w:left w:val="none" w:sz="0" w:space="0" w:color="auto"/>
            <w:bottom w:val="none" w:sz="0" w:space="0" w:color="auto"/>
            <w:right w:val="none" w:sz="0" w:space="0" w:color="auto"/>
          </w:divBdr>
        </w:div>
        <w:div w:id="2079666657">
          <w:marLeft w:val="1080"/>
          <w:marRight w:val="0"/>
          <w:marTop w:val="100"/>
          <w:marBottom w:val="0"/>
          <w:divBdr>
            <w:top w:val="none" w:sz="0" w:space="0" w:color="auto"/>
            <w:left w:val="none" w:sz="0" w:space="0" w:color="auto"/>
            <w:bottom w:val="none" w:sz="0" w:space="0" w:color="auto"/>
            <w:right w:val="none" w:sz="0" w:space="0" w:color="auto"/>
          </w:divBdr>
        </w:div>
      </w:divsChild>
    </w:div>
    <w:div w:id="1135222566">
      <w:bodyDiv w:val="1"/>
      <w:marLeft w:val="0"/>
      <w:marRight w:val="0"/>
      <w:marTop w:val="0"/>
      <w:marBottom w:val="0"/>
      <w:divBdr>
        <w:top w:val="none" w:sz="0" w:space="0" w:color="auto"/>
        <w:left w:val="none" w:sz="0" w:space="0" w:color="auto"/>
        <w:bottom w:val="none" w:sz="0" w:space="0" w:color="auto"/>
        <w:right w:val="none" w:sz="0" w:space="0" w:color="auto"/>
      </w:divBdr>
    </w:div>
    <w:div w:id="1279295477">
      <w:bodyDiv w:val="1"/>
      <w:marLeft w:val="0"/>
      <w:marRight w:val="0"/>
      <w:marTop w:val="0"/>
      <w:marBottom w:val="0"/>
      <w:divBdr>
        <w:top w:val="none" w:sz="0" w:space="0" w:color="auto"/>
        <w:left w:val="none" w:sz="0" w:space="0" w:color="auto"/>
        <w:bottom w:val="none" w:sz="0" w:space="0" w:color="auto"/>
        <w:right w:val="none" w:sz="0" w:space="0" w:color="auto"/>
      </w:divBdr>
    </w:div>
    <w:div w:id="1296712811">
      <w:bodyDiv w:val="1"/>
      <w:marLeft w:val="0"/>
      <w:marRight w:val="0"/>
      <w:marTop w:val="0"/>
      <w:marBottom w:val="0"/>
      <w:divBdr>
        <w:top w:val="none" w:sz="0" w:space="0" w:color="auto"/>
        <w:left w:val="none" w:sz="0" w:space="0" w:color="auto"/>
        <w:bottom w:val="none" w:sz="0" w:space="0" w:color="auto"/>
        <w:right w:val="none" w:sz="0" w:space="0" w:color="auto"/>
      </w:divBdr>
    </w:div>
    <w:div w:id="1610236279">
      <w:bodyDiv w:val="1"/>
      <w:marLeft w:val="0"/>
      <w:marRight w:val="0"/>
      <w:marTop w:val="0"/>
      <w:marBottom w:val="0"/>
      <w:divBdr>
        <w:top w:val="none" w:sz="0" w:space="0" w:color="auto"/>
        <w:left w:val="none" w:sz="0" w:space="0" w:color="auto"/>
        <w:bottom w:val="none" w:sz="0" w:space="0" w:color="auto"/>
        <w:right w:val="none" w:sz="0" w:space="0" w:color="auto"/>
      </w:divBdr>
    </w:div>
    <w:div w:id="1713921615">
      <w:bodyDiv w:val="1"/>
      <w:marLeft w:val="0"/>
      <w:marRight w:val="0"/>
      <w:marTop w:val="0"/>
      <w:marBottom w:val="0"/>
      <w:divBdr>
        <w:top w:val="none" w:sz="0" w:space="0" w:color="auto"/>
        <w:left w:val="none" w:sz="0" w:space="0" w:color="auto"/>
        <w:bottom w:val="none" w:sz="0" w:space="0" w:color="auto"/>
        <w:right w:val="none" w:sz="0" w:space="0" w:color="auto"/>
      </w:divBdr>
    </w:div>
    <w:div w:id="1753356164">
      <w:bodyDiv w:val="1"/>
      <w:marLeft w:val="0"/>
      <w:marRight w:val="0"/>
      <w:marTop w:val="0"/>
      <w:marBottom w:val="0"/>
      <w:divBdr>
        <w:top w:val="none" w:sz="0" w:space="0" w:color="auto"/>
        <w:left w:val="none" w:sz="0" w:space="0" w:color="auto"/>
        <w:bottom w:val="none" w:sz="0" w:space="0" w:color="auto"/>
        <w:right w:val="none" w:sz="0" w:space="0" w:color="auto"/>
      </w:divBdr>
    </w:div>
    <w:div w:id="1959794577">
      <w:bodyDiv w:val="1"/>
      <w:marLeft w:val="0"/>
      <w:marRight w:val="0"/>
      <w:marTop w:val="0"/>
      <w:marBottom w:val="0"/>
      <w:divBdr>
        <w:top w:val="none" w:sz="0" w:space="0" w:color="auto"/>
        <w:left w:val="none" w:sz="0" w:space="0" w:color="auto"/>
        <w:bottom w:val="none" w:sz="0" w:space="0" w:color="auto"/>
        <w:right w:val="none" w:sz="0" w:space="0" w:color="auto"/>
      </w:divBdr>
    </w:div>
    <w:div w:id="1978484046">
      <w:bodyDiv w:val="1"/>
      <w:marLeft w:val="0"/>
      <w:marRight w:val="0"/>
      <w:marTop w:val="0"/>
      <w:marBottom w:val="0"/>
      <w:divBdr>
        <w:top w:val="none" w:sz="0" w:space="0" w:color="auto"/>
        <w:left w:val="none" w:sz="0" w:space="0" w:color="auto"/>
        <w:bottom w:val="none" w:sz="0" w:space="0" w:color="auto"/>
        <w:right w:val="none" w:sz="0" w:space="0" w:color="auto"/>
      </w:divBdr>
    </w:div>
    <w:div w:id="2005236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communityservices.act.gov.au/commissioning/sectors-in-progress/homelessness-services" TargetMode="External"/><Relationship Id="rId26" Type="http://schemas.openxmlformats.org/officeDocument/2006/relationships/hyperlink" Target="https://legislation.act.gov.au/di/2020-278/" TargetMode="External"/><Relationship Id="rId3" Type="http://schemas.openxmlformats.org/officeDocument/2006/relationships/customXml" Target="../customXml/item3.xml"/><Relationship Id="rId21" Type="http://schemas.openxmlformats.org/officeDocument/2006/relationships/hyperlink" Target="mailto:ACTHousingProcurement@act.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4.wmf"/><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file:///\\nas327s1\PICC\CAMPAIGN%20and%20CREATIVE\Design_Hub\Branding\Post%20election%20options\Brand%20book%20update\Look%20&amp;%20feel%20development\Brand%20products%20various\AAA_Templates\Word%20templates\A4%20Reports\Content\Images\WHoG%20cover%20top\Cover%20WHoG%20long_.png" TargetMode="External"/><Relationship Id="rId20" Type="http://schemas.openxmlformats.org/officeDocument/2006/relationships/hyperlink" Target="https://www.communityservices.act.gov.au/commission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ommunityservices.act.gov.au/commissioning/sectors-in-progress/homelessness-serv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communityservices.act.gov.au/commissioning/sectors-in-progress/homelessness-and-housing"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file:///\\nas327s1\PICC\CAMPAIGN%20and%20CREATIVE\Design_Hub\Branding\Post%20election%20options\Brand%20book%20update\Look%20&amp;%20feel%20development\Brand%20products%20various\AAA_Templates\Word%20templates\A4%20Reports\Content\Images\Header%20WHoG\Header%20WHog_B%20thin.pn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lcf76f155ced4ddcb4097134ff3c332f xmlns="f6c841be-bb08-4901-87b0-0033aa80d2c6">
      <Terms xmlns="http://schemas.microsoft.com/office/infopath/2007/PartnerControls"/>
    </lcf76f155ced4ddcb4097134ff3c332f>
    <TaxCatchAll xmlns="4d47241e-7224-40da-83d9-1113ff4a433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19" ma:contentTypeDescription="Create a new document." ma:contentTypeScope="" ma:versionID="aec6f21c815671188cde2abac0075900">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321f9ca8876a6050411e27632b4ddb20"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dcb94e-5755-4384-ae7a-b1d759b3967d}" ma:internalName="TaxCatchAll" ma:showField="CatchAllData" ma:web="4d47241e-7224-40da-83d9-1113ff4a4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889FB0-8892-4E43-B0A9-12DC07353A8B}">
  <ds:schemaRefs>
    <ds:schemaRef ds:uri="http://schemas.openxmlformats.org/officeDocument/2006/bibliography"/>
  </ds:schemaRefs>
</ds:datastoreItem>
</file>

<file path=customXml/itemProps2.xml><?xml version="1.0" encoding="utf-8"?>
<ds:datastoreItem xmlns:ds="http://schemas.openxmlformats.org/officeDocument/2006/customXml" ds:itemID="{8FB681A3-58C3-4541-82AC-C3AB1893F7FC}">
  <ds:schemaRefs>
    <ds:schemaRef ds:uri="http://schemas.microsoft.com/sharepoint/v3/contenttype/forms"/>
  </ds:schemaRefs>
</ds:datastoreItem>
</file>

<file path=customXml/itemProps3.xml><?xml version="1.0" encoding="utf-8"?>
<ds:datastoreItem xmlns:ds="http://schemas.openxmlformats.org/officeDocument/2006/customXml" ds:itemID="{7984DB80-A521-429B-8B43-37D8A844619C}">
  <ds:schemaRefs>
    <ds:schemaRef ds:uri="http://schemas.microsoft.com/office/2006/documentManagement/types"/>
    <ds:schemaRef ds:uri="4d47241e-7224-40da-83d9-1113ff4a4334"/>
    <ds:schemaRef ds:uri="http://schemas.openxmlformats.org/package/2006/metadata/core-properties"/>
    <ds:schemaRef ds:uri="http://www.w3.org/XML/1998/namespace"/>
    <ds:schemaRef ds:uri="http://schemas.microsoft.com/office/infopath/2007/PartnerControls"/>
    <ds:schemaRef ds:uri="http://purl.org/dc/elements/1.1/"/>
    <ds:schemaRef ds:uri="http://schemas.microsoft.com/office/2006/metadata/properties"/>
    <ds:schemaRef ds:uri="f6c841be-bb08-4901-87b0-0033aa80d2c6"/>
    <ds:schemaRef ds:uri="http://purl.org/dc/dcmitype/"/>
    <ds:schemaRef ds:uri="http://purl.org/dc/terms/"/>
  </ds:schemaRefs>
</ds:datastoreItem>
</file>

<file path=customXml/itemProps4.xml><?xml version="1.0" encoding="utf-8"?>
<ds:datastoreItem xmlns:ds="http://schemas.openxmlformats.org/officeDocument/2006/customXml" ds:itemID="{B08D71D4-E4DA-409D-98DE-F2C5F857E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25</Pages>
  <Words>6119</Words>
  <Characters>34879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for Outcomes – Homelessness Sector FAQs</dc:title>
  <dc:subject>Commissioning for Outcomes – Homelessness Sector FAQs</dc:subject>
  <dc:creator>ACT Government</dc:creator>
  <cp:keywords>Commissioning for Outcomes – Homelessness Sector FAQs</cp:keywords>
  <dc:description>Commissioning for Outcomes – Homelessness Sector FAQs</dc:description>
  <cp:lastModifiedBy>Abramovic, Michelle</cp:lastModifiedBy>
  <cp:revision>7</cp:revision>
  <cp:lastPrinted>2023-05-02T01:54:00Z</cp:lastPrinted>
  <dcterms:created xsi:type="dcterms:W3CDTF">2023-10-12T03:27:00Z</dcterms:created>
  <dcterms:modified xsi:type="dcterms:W3CDTF">2023-10-23T04:04:00Z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MSIP_Label_69af8531-eb46-4968-8cb3-105d2f5ea87e_Enabled">
    <vt:lpwstr>true</vt:lpwstr>
  </property>
  <property fmtid="{D5CDD505-2E9C-101B-9397-08002B2CF9AE}" pid="4" name="MSIP_Label_69af8531-eb46-4968-8cb3-105d2f5ea87e_SetDate">
    <vt:lpwstr>2021-06-17T05:19:54Z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fc30cf60-cc8e-4fde-87ed-fd93859bb71d</vt:lpwstr>
  </property>
  <property fmtid="{D5CDD505-2E9C-101B-9397-08002B2CF9AE}" pid="9" name="MSIP_Label_69af8531-eb46-4968-8cb3-105d2f5ea87e_ContentBits">
    <vt:lpwstr>0</vt:lpwstr>
  </property>
</Properties>
</file>