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791C" w14:textId="77BAE751" w:rsidR="00A71528" w:rsidRPr="00A43DC3" w:rsidRDefault="006E5ABA" w:rsidP="00A43DC3">
      <w:pPr>
        <w:ind w:hanging="360"/>
      </w:pPr>
      <w:r w:rsidRPr="00DD276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B944A" wp14:editId="1E3EA899">
                <wp:simplePos x="0" y="0"/>
                <wp:positionH relativeFrom="column">
                  <wp:posOffset>-651293</wp:posOffset>
                </wp:positionH>
                <wp:positionV relativeFrom="paragraph">
                  <wp:posOffset>-862642</wp:posOffset>
                </wp:positionV>
                <wp:extent cx="5149598" cy="971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598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F0B64" w14:textId="77777777" w:rsidR="006E5ABA" w:rsidRDefault="00DD2768" w:rsidP="0048619B">
                            <w:pPr>
                              <w:pStyle w:val="NumberedLis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5A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Health </w:t>
                            </w:r>
                            <w:r w:rsidR="006E5ABA" w:rsidRPr="006E5A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Commissioning Sector Update #3 </w:t>
                            </w:r>
                          </w:p>
                          <w:p w14:paraId="59E977E9" w14:textId="64D6AF46" w:rsidR="0048619B" w:rsidRPr="006E5ABA" w:rsidRDefault="006E5ABA" w:rsidP="0048619B">
                            <w:pPr>
                              <w:pStyle w:val="NumberedLis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E5A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(28 November 2023) </w:t>
                            </w:r>
                            <w:r w:rsidRPr="006E5A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6E5A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Summary of questions and answers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B9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3pt;margin-top:-67.9pt;width:405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" filled="f" stroked="f">
                <v:textbox>
                  <w:txbxContent>
                    <w:p w14:paraId="1B0F0B64" w14:textId="77777777" w:rsidR="006E5ABA" w:rsidRDefault="00DD2768" w:rsidP="0048619B">
                      <w:pPr>
                        <w:pStyle w:val="NumberedList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5AB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Health </w:t>
                      </w:r>
                      <w:r w:rsidR="006E5ABA" w:rsidRPr="006E5AB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Commissioning Sector Update #3 </w:t>
                      </w:r>
                    </w:p>
                    <w:p w14:paraId="59E977E9" w14:textId="64D6AF46" w:rsidR="0048619B" w:rsidRPr="006E5ABA" w:rsidRDefault="006E5ABA" w:rsidP="0048619B">
                      <w:pPr>
                        <w:pStyle w:val="NumberedList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E5AB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(28 November 2023) </w:t>
                      </w:r>
                      <w:r w:rsidRPr="006E5AB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– </w:t>
                      </w:r>
                      <w:r w:rsidRPr="006E5AB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Summary of questions and answers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58AC35E" wp14:editId="0B7E5891">
            <wp:simplePos x="0" y="0"/>
            <wp:positionH relativeFrom="column">
              <wp:posOffset>4574804</wp:posOffset>
            </wp:positionH>
            <wp:positionV relativeFrom="paragraph">
              <wp:posOffset>-647700</wp:posOffset>
            </wp:positionV>
            <wp:extent cx="2159635" cy="563880"/>
            <wp:effectExtent l="0" t="0" r="0" b="7620"/>
            <wp:wrapNone/>
            <wp:docPr id="6" name="Picture 2" descr="\\act.gov.au\ACT Health\CS\Central\Communications\Online and Design\_Resources\Logos\ACT Health\Logo Set\ACT Health\PNGs\ACT Health inline_Rever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\\act.gov.au\ACT Health\CS\Central\Communications\Online and Design\_Resources\Logos\ACT Health\Logo Set\ACT Health\PNGs\ACT Health inline_Reverse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5FF" w:rsidRPr="00DD276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A0D0E0" wp14:editId="1E7A5990">
                <wp:simplePos x="0" y="0"/>
                <wp:positionH relativeFrom="page">
                  <wp:align>right</wp:align>
                </wp:positionH>
                <wp:positionV relativeFrom="paragraph">
                  <wp:posOffset>-1028700</wp:posOffset>
                </wp:positionV>
                <wp:extent cx="7609398" cy="119380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398" cy="1193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7FCC4" id="Rectangle 3" o:spid="_x0000_s1026" style="position:absolute;margin-left:547.95pt;margin-top:-81pt;width:599.15pt;height:94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" fillcolor="#002677 [3204]" stroked="f" strokeweight="1pt">
                <w10:wrap anchorx="page"/>
              </v:rect>
            </w:pict>
          </mc:Fallback>
        </mc:AlternateContent>
      </w:r>
      <w:r w:rsidR="0004511D">
        <w:t xml:space="preserve">Think </w:t>
      </w:r>
      <w:proofErr w:type="gramStart"/>
      <w:r w:rsidR="0004511D">
        <w:t>so</w:t>
      </w:r>
      <w:proofErr w:type="gramEnd"/>
    </w:p>
    <w:p w14:paraId="024EAF04" w14:textId="075A41D5" w:rsidR="0016701E" w:rsidRPr="006E5ABA" w:rsidRDefault="006E3FB3" w:rsidP="006E5A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284" w:right="-177"/>
        <w:rPr>
          <w:rStyle w:val="ui-provider"/>
          <w:b/>
          <w:bCs/>
        </w:rPr>
      </w:pPr>
      <w:r w:rsidRPr="006E5ABA">
        <w:rPr>
          <w:rStyle w:val="ui-provider"/>
          <w:b/>
          <w:bCs/>
        </w:rPr>
        <w:t>Please note the</w:t>
      </w:r>
      <w:r w:rsidRPr="006752D2">
        <w:rPr>
          <w:color w:val="0000FF"/>
          <w:u w:val="single"/>
        </w:rPr>
        <w:t xml:space="preserve"> </w:t>
      </w:r>
      <w:hyperlink r:id="rId10" w:history="1">
        <w:r w:rsidR="00F17A00" w:rsidRPr="006752D2">
          <w:rPr>
            <w:color w:val="0000FF"/>
            <w:u w:val="single"/>
          </w:rPr>
          <w:t xml:space="preserve">webinar </w:t>
        </w:r>
        <w:r w:rsidRPr="006752D2">
          <w:rPr>
            <w:color w:val="0000FF"/>
            <w:u w:val="single"/>
          </w:rPr>
          <w:t>recording</w:t>
        </w:r>
      </w:hyperlink>
      <w:r w:rsidRPr="006E5ABA">
        <w:rPr>
          <w:rStyle w:val="ui-provider"/>
          <w:b/>
          <w:bCs/>
        </w:rPr>
        <w:t xml:space="preserve"> and</w:t>
      </w:r>
      <w:r w:rsidR="00F17A00" w:rsidRPr="006E5ABA">
        <w:rPr>
          <w:rStyle w:val="ui-provider"/>
          <w:b/>
          <w:bCs/>
        </w:rPr>
        <w:t xml:space="preserve"> </w:t>
      </w:r>
      <w:hyperlink r:id="rId11" w:history="1">
        <w:r w:rsidR="00357670" w:rsidRPr="006752D2">
          <w:rPr>
            <w:color w:val="0000FF"/>
            <w:u w:val="single"/>
          </w:rPr>
          <w:t>PowerPoint slides</w:t>
        </w:r>
      </w:hyperlink>
      <w:r w:rsidR="00357670" w:rsidRPr="006E5ABA">
        <w:rPr>
          <w:rStyle w:val="ui-provider"/>
          <w:b/>
          <w:bCs/>
        </w:rPr>
        <w:t xml:space="preserve"> </w:t>
      </w:r>
      <w:r w:rsidRPr="006E5ABA">
        <w:rPr>
          <w:rStyle w:val="ui-provider"/>
          <w:b/>
          <w:bCs/>
        </w:rPr>
        <w:t xml:space="preserve">have been published on the Commissioning Website. </w:t>
      </w:r>
    </w:p>
    <w:p w14:paraId="33A431C7" w14:textId="7DB3C498" w:rsidR="00942EF7" w:rsidRPr="00162707" w:rsidRDefault="00694E8B" w:rsidP="00162707">
      <w:pPr>
        <w:pStyle w:val="ListParagraph"/>
        <w:numPr>
          <w:ilvl w:val="0"/>
          <w:numId w:val="5"/>
        </w:numPr>
        <w:spacing w:after="160" w:line="259" w:lineRule="auto"/>
        <w:rPr>
          <w:rStyle w:val="ui-provider"/>
          <w:b/>
          <w:color w:val="323232" w:themeColor="text1"/>
        </w:rPr>
      </w:pPr>
      <w:r w:rsidRPr="00162707">
        <w:rPr>
          <w:rStyle w:val="ui-provider"/>
          <w:b/>
          <w:color w:val="323232" w:themeColor="text1"/>
        </w:rPr>
        <w:t xml:space="preserve"> </w:t>
      </w:r>
      <w:r w:rsidR="00E94295">
        <w:rPr>
          <w:rStyle w:val="ui-provider"/>
          <w:b/>
          <w:color w:val="323232" w:themeColor="text1"/>
        </w:rPr>
        <w:t xml:space="preserve">Will </w:t>
      </w:r>
      <w:r w:rsidR="00942EF7" w:rsidRPr="00162707">
        <w:rPr>
          <w:rStyle w:val="ui-provider"/>
          <w:b/>
          <w:color w:val="323232" w:themeColor="text1"/>
        </w:rPr>
        <w:t>the Primary Health Services for Young People grant round be open in December over the Christmas and New Year’s period?</w:t>
      </w:r>
    </w:p>
    <w:p w14:paraId="61BA68CB" w14:textId="7489F8A5" w:rsidR="00942EF7" w:rsidRDefault="00942EF7" w:rsidP="00942EF7">
      <w:pPr>
        <w:pStyle w:val="ListParagraph"/>
        <w:numPr>
          <w:ilvl w:val="0"/>
          <w:numId w:val="20"/>
        </w:numPr>
        <w:spacing w:after="160" w:line="259" w:lineRule="auto"/>
        <w:rPr>
          <w:rStyle w:val="ui-provider"/>
        </w:rPr>
      </w:pPr>
      <w:r>
        <w:rPr>
          <w:rStyle w:val="ui-provider"/>
        </w:rPr>
        <w:t xml:space="preserve">The Primary Health Services for Young People </w:t>
      </w:r>
      <w:r w:rsidR="00DE38BC">
        <w:rPr>
          <w:rStyle w:val="ui-provider"/>
        </w:rPr>
        <w:t>(</w:t>
      </w:r>
      <w:r w:rsidRPr="00942EF7">
        <w:t>PHSYP</w:t>
      </w:r>
      <w:r w:rsidR="00DE38BC">
        <w:t>)</w:t>
      </w:r>
      <w:r w:rsidRPr="00942EF7">
        <w:t xml:space="preserve"> grant opportunity </w:t>
      </w:r>
      <w:r w:rsidR="005073B3">
        <w:t xml:space="preserve">will open </w:t>
      </w:r>
      <w:r w:rsidRPr="00942EF7">
        <w:t>in mid-December</w:t>
      </w:r>
      <w:r w:rsidR="008B2B72">
        <w:t xml:space="preserve"> 2023</w:t>
      </w:r>
      <w:r w:rsidRPr="00942EF7">
        <w:t xml:space="preserve"> and will remain open until </w:t>
      </w:r>
      <w:r w:rsidR="00AE4924">
        <w:t xml:space="preserve">end of </w:t>
      </w:r>
      <w:r w:rsidRPr="00942EF7">
        <w:t>February 2024</w:t>
      </w:r>
      <w:r>
        <w:t xml:space="preserve"> </w:t>
      </w:r>
      <w:r>
        <w:rPr>
          <w:rStyle w:val="ui-provider"/>
        </w:rPr>
        <w:t xml:space="preserve">to ensure there is sufficient time for potential </w:t>
      </w:r>
      <w:r w:rsidR="00F17A00">
        <w:rPr>
          <w:rStyle w:val="ui-provider"/>
        </w:rPr>
        <w:t>respondents</w:t>
      </w:r>
      <w:r>
        <w:rPr>
          <w:rStyle w:val="ui-provider"/>
        </w:rPr>
        <w:t xml:space="preserve"> to apply. </w:t>
      </w:r>
    </w:p>
    <w:p w14:paraId="1A1FA23F" w14:textId="0AE5C4B3" w:rsidR="00942EF7" w:rsidRDefault="00942EF7" w:rsidP="00942EF7">
      <w:pPr>
        <w:pStyle w:val="ListParagraph"/>
        <w:numPr>
          <w:ilvl w:val="0"/>
          <w:numId w:val="20"/>
        </w:numPr>
        <w:spacing w:after="160" w:line="259" w:lineRule="auto"/>
      </w:pPr>
      <w:r w:rsidRPr="00942EF7">
        <w:t xml:space="preserve">The Primary Health Services for Young People </w:t>
      </w:r>
      <w:hyperlink r:id="rId12" w:history="1">
        <w:r w:rsidRPr="006752D2">
          <w:rPr>
            <w:color w:val="0000FF"/>
            <w:u w:val="single"/>
          </w:rPr>
          <w:t>Strategic Investment Plan</w:t>
        </w:r>
      </w:hyperlink>
      <w:r w:rsidRPr="00942EF7">
        <w:t xml:space="preserve"> is available on the PHSYP Sectors in Progress page on the ACT Commissioning website.</w:t>
      </w:r>
    </w:p>
    <w:p w14:paraId="3E81C17E" w14:textId="6C14D4D7" w:rsidR="00DE38BC" w:rsidRDefault="00942EF7" w:rsidP="005073B3">
      <w:pPr>
        <w:pStyle w:val="ListParagraph"/>
        <w:numPr>
          <w:ilvl w:val="0"/>
          <w:numId w:val="20"/>
        </w:numPr>
        <w:spacing w:after="160" w:line="259" w:lineRule="auto"/>
      </w:pPr>
      <w:r w:rsidRPr="00942EF7">
        <w:t xml:space="preserve">Grant Requirements documentation </w:t>
      </w:r>
      <w:r w:rsidR="00E94295">
        <w:t>is</w:t>
      </w:r>
      <w:r w:rsidR="00E94295" w:rsidRPr="00942EF7">
        <w:t xml:space="preserve"> </w:t>
      </w:r>
      <w:r w:rsidRPr="00942EF7">
        <w:t>being finalised to support prospective respondents to develop their grant applications</w:t>
      </w:r>
      <w:r w:rsidR="005073B3">
        <w:t xml:space="preserve"> and t</w:t>
      </w:r>
      <w:r w:rsidR="00DE38BC" w:rsidRPr="00DE38BC">
        <w:t xml:space="preserve">he grant opportunity </w:t>
      </w:r>
      <w:r w:rsidR="005073B3">
        <w:t xml:space="preserve">will </w:t>
      </w:r>
      <w:r w:rsidR="00DE38BC" w:rsidRPr="00DE38BC">
        <w:t xml:space="preserve">being facilitated via the </w:t>
      </w:r>
      <w:proofErr w:type="spellStart"/>
      <w:r w:rsidR="00DE38BC" w:rsidRPr="00DE38BC">
        <w:t>SmartyGrants</w:t>
      </w:r>
      <w:proofErr w:type="spellEnd"/>
      <w:r w:rsidR="00DE38BC" w:rsidRPr="00DE38BC">
        <w:t xml:space="preserve"> platform</w:t>
      </w:r>
      <w:r w:rsidR="00F17A00">
        <w:t>.</w:t>
      </w:r>
    </w:p>
    <w:p w14:paraId="1F4D014E" w14:textId="412050FD" w:rsidR="00942EF7" w:rsidRDefault="00DE38BC" w:rsidP="00DE38BC">
      <w:pPr>
        <w:pStyle w:val="ListParagraph"/>
        <w:numPr>
          <w:ilvl w:val="0"/>
          <w:numId w:val="20"/>
        </w:numPr>
        <w:spacing w:after="160" w:line="259" w:lineRule="auto"/>
      </w:pPr>
      <w:r>
        <w:t xml:space="preserve">For further information please access the </w:t>
      </w:r>
      <w:hyperlink r:id="rId13" w:history="1">
        <w:r w:rsidRPr="006752D2">
          <w:rPr>
            <w:color w:val="0000FF"/>
            <w:u w:val="single"/>
          </w:rPr>
          <w:t>PHYSP sub sectors in progress webpage</w:t>
        </w:r>
      </w:hyperlink>
      <w:r>
        <w:t xml:space="preserve"> on the ACT Commissioning website. </w:t>
      </w:r>
    </w:p>
    <w:p w14:paraId="257A408F" w14:textId="77777777" w:rsidR="00653F8F" w:rsidRPr="00942EF7" w:rsidRDefault="00653F8F" w:rsidP="00653F8F">
      <w:pPr>
        <w:pStyle w:val="ListParagraph"/>
        <w:spacing w:after="160" w:line="259" w:lineRule="auto"/>
      </w:pPr>
    </w:p>
    <w:p w14:paraId="7875D924" w14:textId="0FCFC9DD" w:rsidR="00AE4924" w:rsidRPr="000678A8" w:rsidRDefault="00F17A00" w:rsidP="00A734B8">
      <w:pPr>
        <w:pStyle w:val="ListParagraph"/>
        <w:numPr>
          <w:ilvl w:val="0"/>
          <w:numId w:val="5"/>
        </w:numPr>
        <w:spacing w:after="160" w:line="259" w:lineRule="auto"/>
        <w:rPr>
          <w:rStyle w:val="ui-provider"/>
          <w:b/>
          <w:color w:val="323232" w:themeColor="text1"/>
        </w:rPr>
      </w:pPr>
      <w:r w:rsidRPr="00162707">
        <w:rPr>
          <w:rStyle w:val="ui-provider"/>
          <w:b/>
          <w:color w:val="323232" w:themeColor="text1"/>
        </w:rPr>
        <w:t>Was</w:t>
      </w:r>
      <w:r w:rsidR="00DE38BC" w:rsidRPr="00162707">
        <w:rPr>
          <w:rStyle w:val="ui-provider"/>
          <w:b/>
          <w:color w:val="323232" w:themeColor="text1"/>
        </w:rPr>
        <w:t xml:space="preserve"> sector sustainability </w:t>
      </w:r>
      <w:r w:rsidRPr="00162707">
        <w:rPr>
          <w:rStyle w:val="ui-provider"/>
          <w:b/>
          <w:color w:val="323232" w:themeColor="text1"/>
        </w:rPr>
        <w:t xml:space="preserve">a </w:t>
      </w:r>
      <w:r w:rsidR="00A734B8" w:rsidRPr="00162707">
        <w:rPr>
          <w:rStyle w:val="ui-provider"/>
          <w:b/>
          <w:color w:val="323232" w:themeColor="text1"/>
        </w:rPr>
        <w:t>consideration</w:t>
      </w:r>
      <w:r w:rsidR="00DE38BC" w:rsidRPr="00162707">
        <w:rPr>
          <w:rStyle w:val="ui-provider"/>
          <w:b/>
          <w:color w:val="323232" w:themeColor="text1"/>
        </w:rPr>
        <w:t xml:space="preserve"> </w:t>
      </w:r>
      <w:r w:rsidR="00A734B8" w:rsidRPr="00162707">
        <w:rPr>
          <w:rStyle w:val="ui-provider"/>
          <w:b/>
          <w:color w:val="323232" w:themeColor="text1"/>
        </w:rPr>
        <w:t>for the Refreshed Commissioning Approach?</w:t>
      </w:r>
      <w:r w:rsidR="00A734B8" w:rsidRPr="000678A8">
        <w:rPr>
          <w:rStyle w:val="ui-provider"/>
          <w:b/>
          <w:color w:val="323232" w:themeColor="text1"/>
        </w:rPr>
        <w:t xml:space="preserve"> </w:t>
      </w:r>
    </w:p>
    <w:p w14:paraId="5A9E0F7E" w14:textId="6F110DF8" w:rsidR="005073B3" w:rsidRPr="000678A8" w:rsidRDefault="005073B3">
      <w:pPr>
        <w:pStyle w:val="ListParagraph"/>
        <w:numPr>
          <w:ilvl w:val="0"/>
          <w:numId w:val="23"/>
        </w:numPr>
        <w:spacing w:after="160" w:line="259" w:lineRule="auto"/>
        <w:rPr>
          <w:rStyle w:val="ui-provider"/>
          <w:bCs/>
          <w:color w:val="145EFF" w:themeColor="accent1" w:themeTint="99"/>
        </w:rPr>
      </w:pPr>
      <w:r>
        <w:rPr>
          <w:rStyle w:val="ui-provider"/>
        </w:rPr>
        <w:t xml:space="preserve">Yes, sector sustainability was one of </w:t>
      </w:r>
      <w:r w:rsidR="00E94295">
        <w:rPr>
          <w:rStyle w:val="ui-provider"/>
        </w:rPr>
        <w:t>the</w:t>
      </w:r>
      <w:r>
        <w:rPr>
          <w:rStyle w:val="ui-provider"/>
        </w:rPr>
        <w:t xml:space="preserve"> factors which informed the Refreshed Approach to Commissioning.</w:t>
      </w:r>
    </w:p>
    <w:p w14:paraId="4A239264" w14:textId="2166BCA7" w:rsidR="005073B3" w:rsidRPr="000678A8" w:rsidRDefault="005073B3" w:rsidP="005073B3">
      <w:pPr>
        <w:pStyle w:val="ListParagraph"/>
        <w:numPr>
          <w:ilvl w:val="0"/>
          <w:numId w:val="23"/>
        </w:numPr>
        <w:spacing w:after="160" w:line="259" w:lineRule="auto"/>
        <w:rPr>
          <w:bCs/>
          <w:color w:val="145EFF" w:themeColor="accent1" w:themeTint="99"/>
        </w:rPr>
      </w:pPr>
      <w:r w:rsidRPr="00081E51">
        <w:rPr>
          <w:rStyle w:val="ui-provider"/>
        </w:rPr>
        <w:t xml:space="preserve">ACT Health’s intention </w:t>
      </w:r>
      <w:r>
        <w:rPr>
          <w:rStyle w:val="ui-provider"/>
        </w:rPr>
        <w:t xml:space="preserve">is </w:t>
      </w:r>
      <w:r w:rsidRPr="00081E51">
        <w:rPr>
          <w:rStyle w:val="ui-provider"/>
        </w:rPr>
        <w:t xml:space="preserve">to </w:t>
      </w:r>
      <w:r>
        <w:rPr>
          <w:rStyle w:val="ui-provider"/>
        </w:rPr>
        <w:t xml:space="preserve">enable </w:t>
      </w:r>
      <w:r w:rsidRPr="00081E51">
        <w:rPr>
          <w:rStyle w:val="ui-provider"/>
        </w:rPr>
        <w:t xml:space="preserve">sector sustainability whilst collaborating with sector partners to </w:t>
      </w:r>
      <w:r>
        <w:rPr>
          <w:rStyle w:val="ui-provider"/>
        </w:rPr>
        <w:t xml:space="preserve">build commissioning capability, develop a Needs Assessment, </w:t>
      </w:r>
      <w:r w:rsidR="00E94295">
        <w:rPr>
          <w:rStyle w:val="ui-provider"/>
        </w:rPr>
        <w:t xml:space="preserve">and </w:t>
      </w:r>
      <w:r>
        <w:rPr>
          <w:rStyle w:val="ui-provider"/>
        </w:rPr>
        <w:t>explore opportunities for additional sector funding and short-term innovation.</w:t>
      </w:r>
    </w:p>
    <w:p w14:paraId="0259074F" w14:textId="7289140E" w:rsidR="00A734B8" w:rsidRPr="005073B3" w:rsidRDefault="00A734B8" w:rsidP="000678A8">
      <w:pPr>
        <w:pStyle w:val="ListParagraph"/>
        <w:numPr>
          <w:ilvl w:val="0"/>
          <w:numId w:val="23"/>
        </w:numPr>
        <w:spacing w:after="160" w:line="259" w:lineRule="auto"/>
        <w:rPr>
          <w:bCs/>
          <w:color w:val="145EFF" w:themeColor="accent1" w:themeTint="99"/>
        </w:rPr>
      </w:pPr>
      <w:r>
        <w:t xml:space="preserve">For further information please </w:t>
      </w:r>
      <w:r w:rsidR="005073B3">
        <w:t xml:space="preserve">refer to </w:t>
      </w:r>
      <w:r>
        <w:t xml:space="preserve">the </w:t>
      </w:r>
      <w:hyperlink r:id="rId14" w:history="1">
        <w:r w:rsidRPr="006752D2">
          <w:rPr>
            <w:color w:val="0000FF"/>
            <w:u w:val="single"/>
          </w:rPr>
          <w:t>ACT Health refreshed Commissioning Approach</w:t>
        </w:r>
      </w:hyperlink>
      <w:r w:rsidR="005073B3">
        <w:t>.</w:t>
      </w:r>
      <w:r w:rsidR="00374F42">
        <w:br/>
      </w:r>
    </w:p>
    <w:p w14:paraId="623A156E" w14:textId="7C51E0F8" w:rsidR="005073B3" w:rsidRDefault="00374F42" w:rsidP="005073B3">
      <w:pPr>
        <w:spacing w:after="160" w:line="259" w:lineRule="auto"/>
        <w:rPr>
          <w:rStyle w:val="ui-provider"/>
        </w:rPr>
      </w:pPr>
      <w:r w:rsidRPr="005073B3">
        <w:rPr>
          <w:rStyle w:val="ui-provider"/>
          <w:b/>
          <w:color w:val="323232" w:themeColor="text1"/>
        </w:rPr>
        <w:t xml:space="preserve">Will the Refreshed approach rolled out across the </w:t>
      </w:r>
      <w:r w:rsidR="008B2B72" w:rsidRPr="005073B3">
        <w:rPr>
          <w:rStyle w:val="ui-provider"/>
          <w:b/>
          <w:color w:val="323232" w:themeColor="text1"/>
        </w:rPr>
        <w:t>Community Services Directorate (</w:t>
      </w:r>
      <w:r w:rsidRPr="005073B3">
        <w:rPr>
          <w:rStyle w:val="ui-provider"/>
          <w:b/>
          <w:color w:val="323232" w:themeColor="text1"/>
        </w:rPr>
        <w:t>CSD</w:t>
      </w:r>
      <w:r w:rsidR="008B2B72" w:rsidRPr="005073B3">
        <w:rPr>
          <w:rStyle w:val="ui-provider"/>
          <w:b/>
          <w:color w:val="323232" w:themeColor="text1"/>
        </w:rPr>
        <w:t>)</w:t>
      </w:r>
      <w:r w:rsidRPr="005073B3">
        <w:rPr>
          <w:rStyle w:val="ui-provider"/>
          <w:b/>
          <w:color w:val="323232" w:themeColor="text1"/>
        </w:rPr>
        <w:t xml:space="preserve"> as well?</w:t>
      </w:r>
    </w:p>
    <w:p w14:paraId="00AD9E45" w14:textId="3EC335BF" w:rsidR="005073B3" w:rsidRPr="005073B3" w:rsidRDefault="00374F42" w:rsidP="000678A8">
      <w:pPr>
        <w:pStyle w:val="ListParagraph"/>
        <w:numPr>
          <w:ilvl w:val="0"/>
          <w:numId w:val="25"/>
        </w:numPr>
        <w:spacing w:after="160" w:line="259" w:lineRule="auto"/>
        <w:rPr>
          <w:rStyle w:val="ui-provider"/>
        </w:rPr>
      </w:pPr>
      <w:r>
        <w:rPr>
          <w:rStyle w:val="ui-provider"/>
        </w:rPr>
        <w:t xml:space="preserve">At this stage the </w:t>
      </w:r>
      <w:r w:rsidR="005073B3">
        <w:rPr>
          <w:rStyle w:val="ui-provider"/>
        </w:rPr>
        <w:t>R</w:t>
      </w:r>
      <w:r>
        <w:rPr>
          <w:rStyle w:val="ui-provider"/>
        </w:rPr>
        <w:t xml:space="preserve">efreshed </w:t>
      </w:r>
      <w:r w:rsidR="005073B3">
        <w:rPr>
          <w:rStyle w:val="ui-provider"/>
        </w:rPr>
        <w:t>A</w:t>
      </w:r>
      <w:r>
        <w:rPr>
          <w:rStyle w:val="ui-provider"/>
        </w:rPr>
        <w:t xml:space="preserve">pproach, and subsequent restreaming </w:t>
      </w:r>
      <w:r w:rsidR="0004511D">
        <w:rPr>
          <w:rStyle w:val="ui-provider"/>
        </w:rPr>
        <w:t xml:space="preserve">of subsectors </w:t>
      </w:r>
      <w:r w:rsidR="005073B3">
        <w:rPr>
          <w:rStyle w:val="ui-provider"/>
        </w:rPr>
        <w:t>into the Intensive Commissioning, Flexible Alignment and Supported Capability streams</w:t>
      </w:r>
      <w:r w:rsidR="00E94295">
        <w:rPr>
          <w:rStyle w:val="ui-provider"/>
        </w:rPr>
        <w:t>,</w:t>
      </w:r>
      <w:r w:rsidR="005073B3">
        <w:rPr>
          <w:rStyle w:val="ui-provider"/>
        </w:rPr>
        <w:t xml:space="preserve"> </w:t>
      </w:r>
      <w:r>
        <w:rPr>
          <w:rStyle w:val="ui-provider"/>
        </w:rPr>
        <w:t>is just being rolled out across ACT</w:t>
      </w:r>
      <w:r w:rsidR="008B2B72">
        <w:rPr>
          <w:rStyle w:val="ui-provider"/>
        </w:rPr>
        <w:t xml:space="preserve"> </w:t>
      </w:r>
      <w:r>
        <w:rPr>
          <w:rStyle w:val="ui-provider"/>
        </w:rPr>
        <w:t>H</w:t>
      </w:r>
      <w:r w:rsidR="008B2B72">
        <w:rPr>
          <w:rStyle w:val="ui-provider"/>
        </w:rPr>
        <w:t>ealth</w:t>
      </w:r>
      <w:r w:rsidR="0004511D">
        <w:rPr>
          <w:rStyle w:val="ui-provider"/>
        </w:rPr>
        <w:t xml:space="preserve">. </w:t>
      </w:r>
    </w:p>
    <w:p w14:paraId="6DBB815D" w14:textId="61F1A911" w:rsidR="00A734B8" w:rsidRPr="000678A8" w:rsidRDefault="0004511D" w:rsidP="000678A8">
      <w:pPr>
        <w:pStyle w:val="ListParagraph"/>
        <w:numPr>
          <w:ilvl w:val="0"/>
          <w:numId w:val="23"/>
        </w:numPr>
        <w:spacing w:after="160" w:line="259" w:lineRule="auto"/>
        <w:rPr>
          <w:rStyle w:val="ui-provider"/>
        </w:rPr>
      </w:pPr>
      <w:r>
        <w:rPr>
          <w:rStyle w:val="ui-provider"/>
        </w:rPr>
        <w:t>ACTHD</w:t>
      </w:r>
      <w:r w:rsidR="00374F42">
        <w:rPr>
          <w:rStyle w:val="ui-provider"/>
        </w:rPr>
        <w:t xml:space="preserve"> and CSD </w:t>
      </w:r>
      <w:r w:rsidR="008B2B72">
        <w:rPr>
          <w:rStyle w:val="ui-provider"/>
        </w:rPr>
        <w:t xml:space="preserve">will continue to </w:t>
      </w:r>
      <w:r w:rsidR="00374F42">
        <w:rPr>
          <w:rStyle w:val="ui-provider"/>
        </w:rPr>
        <w:t xml:space="preserve">work closely to integrate lessons learned, align commissioning activities and approaches, and develop strategic thinking around the future of commissioning across </w:t>
      </w:r>
      <w:r w:rsidR="00F17A00">
        <w:rPr>
          <w:rStyle w:val="ui-provider"/>
        </w:rPr>
        <w:t xml:space="preserve">the </w:t>
      </w:r>
      <w:r>
        <w:rPr>
          <w:rStyle w:val="ui-provider"/>
        </w:rPr>
        <w:t xml:space="preserve">whole of </w:t>
      </w:r>
      <w:r w:rsidR="00374F42">
        <w:rPr>
          <w:rStyle w:val="ui-provider"/>
        </w:rPr>
        <w:t>ACT Government.</w:t>
      </w:r>
    </w:p>
    <w:p w14:paraId="307DB68E" w14:textId="77777777" w:rsidR="00653F8F" w:rsidRPr="00653F8F" w:rsidRDefault="00653F8F" w:rsidP="00653F8F">
      <w:pPr>
        <w:pStyle w:val="ListParagraph"/>
        <w:spacing w:after="160" w:line="259" w:lineRule="auto"/>
        <w:ind w:left="360"/>
        <w:rPr>
          <w:rStyle w:val="ui-provider"/>
          <w:bCs/>
          <w:color w:val="145EFF" w:themeColor="accent1" w:themeTint="99"/>
        </w:rPr>
      </w:pPr>
    </w:p>
    <w:p w14:paraId="5F220A02" w14:textId="5BED704C" w:rsidR="005073B3" w:rsidRDefault="00C110CA" w:rsidP="005073B3">
      <w:pPr>
        <w:spacing w:after="160" w:line="259" w:lineRule="auto"/>
        <w:rPr>
          <w:rStyle w:val="ui-provider"/>
        </w:rPr>
      </w:pPr>
      <w:r w:rsidRPr="005073B3">
        <w:rPr>
          <w:rStyle w:val="ui-provider"/>
          <w:b/>
          <w:color w:val="323232" w:themeColor="text1"/>
        </w:rPr>
        <w:t xml:space="preserve">In terms of </w:t>
      </w:r>
      <w:r w:rsidR="00E94295">
        <w:rPr>
          <w:rStyle w:val="ui-provider"/>
          <w:b/>
          <w:color w:val="323232" w:themeColor="text1"/>
        </w:rPr>
        <w:t>t</w:t>
      </w:r>
      <w:r w:rsidR="00E94295" w:rsidRPr="005073B3">
        <w:rPr>
          <w:rStyle w:val="ui-provider"/>
          <w:b/>
          <w:color w:val="323232" w:themeColor="text1"/>
        </w:rPr>
        <w:t>ransitions</w:t>
      </w:r>
      <w:r w:rsidR="00E94295">
        <w:rPr>
          <w:rStyle w:val="ui-provider"/>
          <w:b/>
          <w:color w:val="323232" w:themeColor="text1"/>
        </w:rPr>
        <w:t>,</w:t>
      </w:r>
      <w:r w:rsidR="00E94295" w:rsidRPr="005073B3">
        <w:rPr>
          <w:rStyle w:val="ui-provider"/>
          <w:b/>
          <w:color w:val="323232" w:themeColor="text1"/>
        </w:rPr>
        <w:t xml:space="preserve"> </w:t>
      </w:r>
      <w:r w:rsidR="00E94295">
        <w:rPr>
          <w:rStyle w:val="ui-provider"/>
          <w:b/>
          <w:color w:val="323232" w:themeColor="text1"/>
        </w:rPr>
        <w:t>w</w:t>
      </w:r>
      <w:r w:rsidR="00E94295" w:rsidRPr="005073B3">
        <w:rPr>
          <w:rStyle w:val="ui-provider"/>
          <w:b/>
          <w:color w:val="323232" w:themeColor="text1"/>
        </w:rPr>
        <w:t xml:space="preserve">ill </w:t>
      </w:r>
      <w:r w:rsidRPr="005073B3">
        <w:rPr>
          <w:rStyle w:val="ui-provider"/>
          <w:b/>
          <w:color w:val="323232" w:themeColor="text1"/>
        </w:rPr>
        <w:t>there be an overlap between the outgoing and the incoming provider?</w:t>
      </w:r>
      <w:r w:rsidRPr="005073B3">
        <w:rPr>
          <w:rStyle w:val="ui-provider"/>
          <w:bCs/>
          <w:color w:val="145EFF" w:themeColor="accent1" w:themeTint="99"/>
        </w:rPr>
        <w:t xml:space="preserve"> </w:t>
      </w:r>
    </w:p>
    <w:p w14:paraId="01F8871F" w14:textId="3A6CC00C" w:rsidR="009C6B31" w:rsidRPr="00362831" w:rsidRDefault="009C6B31" w:rsidP="00C778DF">
      <w:pPr>
        <w:pStyle w:val="ListParagraph"/>
        <w:numPr>
          <w:ilvl w:val="0"/>
          <w:numId w:val="23"/>
        </w:numPr>
        <w:spacing w:after="160" w:line="259" w:lineRule="auto"/>
        <w:rPr>
          <w:rStyle w:val="ui-provider"/>
        </w:rPr>
      </w:pPr>
      <w:r>
        <w:rPr>
          <w:rStyle w:val="ui-provider"/>
        </w:rPr>
        <w:t>Each transition arrangement will differ in scope and com</w:t>
      </w:r>
      <w:r w:rsidRPr="006E0774">
        <w:rPr>
          <w:rStyle w:val="ui-provider"/>
        </w:rPr>
        <w:t xml:space="preserve">plexity and </w:t>
      </w:r>
      <w:r w:rsidRPr="000678A8">
        <w:rPr>
          <w:rStyle w:val="ui-provider"/>
        </w:rPr>
        <w:t xml:space="preserve">in some </w:t>
      </w:r>
      <w:r w:rsidR="00C778DF" w:rsidRPr="000678A8">
        <w:rPr>
          <w:rStyle w:val="ui-provider"/>
        </w:rPr>
        <w:t>cases,</w:t>
      </w:r>
      <w:r w:rsidRPr="006E0774">
        <w:rPr>
          <w:rStyle w:val="ui-provider"/>
        </w:rPr>
        <w:t xml:space="preserve"> there</w:t>
      </w:r>
      <w:r>
        <w:rPr>
          <w:rStyle w:val="ui-provider"/>
        </w:rPr>
        <w:t xml:space="preserve"> will be an overlap of services between the outgoing and incoming provider. </w:t>
      </w:r>
      <w:r w:rsidR="00A1598A">
        <w:rPr>
          <w:rStyle w:val="ui-provider"/>
        </w:rPr>
        <w:t>T</w:t>
      </w:r>
      <w:r w:rsidR="00C110CA">
        <w:rPr>
          <w:rStyle w:val="ui-provider"/>
        </w:rPr>
        <w:t xml:space="preserve">he </w:t>
      </w:r>
      <w:r w:rsidR="00E94295">
        <w:rPr>
          <w:rStyle w:val="ui-provider"/>
        </w:rPr>
        <w:t>t</w:t>
      </w:r>
      <w:r w:rsidR="00C110CA">
        <w:rPr>
          <w:rStyle w:val="ui-provider"/>
        </w:rPr>
        <w:t>ransitions model allows for an overlap in service delivery between outgoing and incoming providers</w:t>
      </w:r>
      <w:r w:rsidR="0004511D">
        <w:rPr>
          <w:rStyle w:val="ui-provider"/>
        </w:rPr>
        <w:t>,</w:t>
      </w:r>
      <w:r>
        <w:rPr>
          <w:rStyle w:val="ui-provider"/>
        </w:rPr>
        <w:t xml:space="preserve"> and </w:t>
      </w:r>
      <w:r w:rsidR="00C110CA">
        <w:rPr>
          <w:rStyle w:val="ui-provider"/>
        </w:rPr>
        <w:t xml:space="preserve">where </w:t>
      </w:r>
      <w:r>
        <w:rPr>
          <w:rStyle w:val="ui-provider"/>
        </w:rPr>
        <w:t>there is overlap in service delivery, funding for incoming providers will be adjusted to reflect the service delivery intensity</w:t>
      </w:r>
      <w:r w:rsidR="0004511D">
        <w:rPr>
          <w:rStyle w:val="ui-provider"/>
        </w:rPr>
        <w:t xml:space="preserve">, noting that there will be a gradual ramping up of service delivery over the first year of </w:t>
      </w:r>
      <w:r w:rsidR="005073B3">
        <w:rPr>
          <w:rStyle w:val="ui-provider"/>
        </w:rPr>
        <w:t>a</w:t>
      </w:r>
      <w:r w:rsidR="0004511D">
        <w:rPr>
          <w:rStyle w:val="ui-provider"/>
        </w:rPr>
        <w:t xml:space="preserve"> new agreement</w:t>
      </w:r>
      <w:r>
        <w:rPr>
          <w:rStyle w:val="ui-provider"/>
        </w:rPr>
        <w:t>.</w:t>
      </w:r>
      <w:r w:rsidR="00C778DF">
        <w:rPr>
          <w:rStyle w:val="ui-provider"/>
        </w:rPr>
        <w:br/>
      </w:r>
    </w:p>
    <w:p w14:paraId="61C6697E" w14:textId="0A18E122" w:rsidR="0004511D" w:rsidRDefault="0004511D" w:rsidP="000678A8">
      <w:pPr>
        <w:pStyle w:val="ListParagraph"/>
        <w:numPr>
          <w:ilvl w:val="0"/>
          <w:numId w:val="23"/>
        </w:numPr>
        <w:spacing w:after="160" w:line="259" w:lineRule="auto"/>
        <w:rPr>
          <w:rStyle w:val="ui-provider"/>
        </w:rPr>
      </w:pPr>
      <w:r w:rsidRPr="00A1598A">
        <w:rPr>
          <w:rStyle w:val="ui-provider"/>
        </w:rPr>
        <w:t xml:space="preserve">The </w:t>
      </w:r>
      <w:r>
        <w:rPr>
          <w:rStyle w:val="ui-provider"/>
        </w:rPr>
        <w:t>standard ACT</w:t>
      </w:r>
      <w:r w:rsidR="00E94295">
        <w:rPr>
          <w:rStyle w:val="ui-provider"/>
        </w:rPr>
        <w:t xml:space="preserve"> Health</w:t>
      </w:r>
      <w:r>
        <w:rPr>
          <w:rStyle w:val="ui-provider"/>
        </w:rPr>
        <w:t xml:space="preserve"> </w:t>
      </w:r>
      <w:r w:rsidRPr="00A1598A">
        <w:rPr>
          <w:rStyle w:val="ui-provider"/>
        </w:rPr>
        <w:t xml:space="preserve">transition period is 3 months, </w:t>
      </w:r>
      <w:r>
        <w:rPr>
          <w:rStyle w:val="ui-provider"/>
        </w:rPr>
        <w:t xml:space="preserve">and the transition period </w:t>
      </w:r>
      <w:r w:rsidRPr="00A1598A">
        <w:rPr>
          <w:rStyle w:val="ui-provider"/>
        </w:rPr>
        <w:t xml:space="preserve">is triggered </w:t>
      </w:r>
      <w:r w:rsidR="00E94295">
        <w:rPr>
          <w:rStyle w:val="ui-provider"/>
        </w:rPr>
        <w:t xml:space="preserve">when </w:t>
      </w:r>
      <w:r>
        <w:rPr>
          <w:rStyle w:val="ui-provider"/>
        </w:rPr>
        <w:t>N</w:t>
      </w:r>
      <w:r w:rsidRPr="00A1598A">
        <w:rPr>
          <w:rStyle w:val="ui-provider"/>
        </w:rPr>
        <w:t>on-</w:t>
      </w:r>
      <w:r>
        <w:rPr>
          <w:rStyle w:val="ui-provider"/>
        </w:rPr>
        <w:t>P</w:t>
      </w:r>
      <w:r w:rsidRPr="00A1598A">
        <w:rPr>
          <w:rStyle w:val="ui-provider"/>
        </w:rPr>
        <w:t xml:space="preserve">referred </w:t>
      </w:r>
      <w:r>
        <w:rPr>
          <w:rStyle w:val="ui-provider"/>
        </w:rPr>
        <w:t>R</w:t>
      </w:r>
      <w:r w:rsidRPr="00A1598A">
        <w:rPr>
          <w:rStyle w:val="ui-provider"/>
        </w:rPr>
        <w:t>espondents</w:t>
      </w:r>
      <w:r w:rsidR="00E94295">
        <w:rPr>
          <w:rStyle w:val="ui-provider"/>
        </w:rPr>
        <w:t xml:space="preserve"> are notified</w:t>
      </w:r>
      <w:r w:rsidRPr="00A1598A">
        <w:rPr>
          <w:rStyle w:val="ui-provider"/>
        </w:rPr>
        <w:t>. If it is determined that a transition period is too short for a particular sector, and there are evidenced risks to community wellbeing</w:t>
      </w:r>
      <w:r>
        <w:rPr>
          <w:rStyle w:val="ui-provider"/>
        </w:rPr>
        <w:t xml:space="preserve"> as a result,</w:t>
      </w:r>
      <w:r w:rsidRPr="00A1598A">
        <w:rPr>
          <w:rStyle w:val="ui-provider"/>
        </w:rPr>
        <w:t xml:space="preserve"> an extension to the transition period may be pursued on a case-by-case basis. </w:t>
      </w:r>
      <w:r>
        <w:rPr>
          <w:rStyle w:val="ui-provider"/>
        </w:rPr>
        <w:t>It is important to note that t</w:t>
      </w:r>
      <w:r w:rsidRPr="00A1598A">
        <w:rPr>
          <w:rStyle w:val="ui-provider"/>
        </w:rPr>
        <w:t xml:space="preserve">hese </w:t>
      </w:r>
      <w:r w:rsidRPr="00A1598A">
        <w:rPr>
          <w:rStyle w:val="ui-provider"/>
        </w:rPr>
        <w:lastRenderedPageBreak/>
        <w:t>decisions are subject to delegate agreement. </w:t>
      </w:r>
      <w:r>
        <w:rPr>
          <w:rStyle w:val="ui-provider"/>
        </w:rPr>
        <w:br/>
      </w:r>
    </w:p>
    <w:p w14:paraId="5786E1B5" w14:textId="7910576F" w:rsidR="009C6B31" w:rsidRDefault="0004511D" w:rsidP="00C778DF">
      <w:pPr>
        <w:pStyle w:val="ListParagraph"/>
        <w:numPr>
          <w:ilvl w:val="0"/>
          <w:numId w:val="23"/>
        </w:numPr>
        <w:spacing w:after="160" w:line="259" w:lineRule="auto"/>
        <w:rPr>
          <w:rStyle w:val="ui-provider"/>
        </w:rPr>
      </w:pPr>
      <w:r>
        <w:rPr>
          <w:rStyle w:val="ui-provider"/>
        </w:rPr>
        <w:t xml:space="preserve">In any case, </w:t>
      </w:r>
      <w:r w:rsidR="00E94295">
        <w:rPr>
          <w:rStyle w:val="ui-provider"/>
        </w:rPr>
        <w:t xml:space="preserve">ACT Health </w:t>
      </w:r>
      <w:r w:rsidR="009C6B31" w:rsidRPr="00362831">
        <w:rPr>
          <w:rStyle w:val="ui-provider"/>
        </w:rPr>
        <w:t xml:space="preserve">will engage </w:t>
      </w:r>
      <w:r>
        <w:rPr>
          <w:rStyle w:val="ui-provider"/>
        </w:rPr>
        <w:t xml:space="preserve">with all transitioning providers regularly and will </w:t>
      </w:r>
      <w:r w:rsidR="00362831">
        <w:rPr>
          <w:rStyle w:val="ui-provider"/>
        </w:rPr>
        <w:t xml:space="preserve">provide </w:t>
      </w:r>
      <w:r>
        <w:rPr>
          <w:rStyle w:val="ui-provider"/>
        </w:rPr>
        <w:t xml:space="preserve">information, </w:t>
      </w:r>
      <w:proofErr w:type="gramStart"/>
      <w:r>
        <w:rPr>
          <w:rStyle w:val="ui-provider"/>
        </w:rPr>
        <w:t>support</w:t>
      </w:r>
      <w:proofErr w:type="gramEnd"/>
      <w:r>
        <w:rPr>
          <w:rStyle w:val="ui-provider"/>
        </w:rPr>
        <w:t xml:space="preserve"> and </w:t>
      </w:r>
      <w:r w:rsidR="00362831">
        <w:rPr>
          <w:rStyle w:val="ui-provider"/>
        </w:rPr>
        <w:t xml:space="preserve">guidance </w:t>
      </w:r>
      <w:r>
        <w:rPr>
          <w:rStyle w:val="ui-provider"/>
        </w:rPr>
        <w:t>to ensure a smooth transition of service within and between providers.</w:t>
      </w:r>
      <w:r w:rsidR="00C778DF">
        <w:rPr>
          <w:rStyle w:val="ui-provider"/>
        </w:rPr>
        <w:br/>
      </w:r>
    </w:p>
    <w:p w14:paraId="1FC156D2" w14:textId="66EF9E43" w:rsidR="0004511D" w:rsidRDefault="00357670" w:rsidP="000678A8">
      <w:pPr>
        <w:pStyle w:val="ListParagraph"/>
        <w:numPr>
          <w:ilvl w:val="0"/>
          <w:numId w:val="23"/>
        </w:numPr>
        <w:spacing w:after="160" w:line="259" w:lineRule="auto"/>
        <w:rPr>
          <w:rStyle w:val="ui-provider"/>
        </w:rPr>
      </w:pPr>
      <w:r>
        <w:rPr>
          <w:rStyle w:val="ui-provider"/>
        </w:rPr>
        <w:t xml:space="preserve">For further information on </w:t>
      </w:r>
      <w:r w:rsidR="00E94295">
        <w:rPr>
          <w:rStyle w:val="ui-provider"/>
        </w:rPr>
        <w:t>t</w:t>
      </w:r>
      <w:r>
        <w:rPr>
          <w:rStyle w:val="ui-provider"/>
        </w:rPr>
        <w:t>ransitions</w:t>
      </w:r>
      <w:r w:rsidR="00E94295">
        <w:rPr>
          <w:rStyle w:val="ui-provider"/>
        </w:rPr>
        <w:t>,</w:t>
      </w:r>
      <w:r>
        <w:rPr>
          <w:rStyle w:val="ui-provider"/>
        </w:rPr>
        <w:t xml:space="preserve"> please </w:t>
      </w:r>
      <w:r w:rsidR="0004511D">
        <w:rPr>
          <w:rStyle w:val="ui-provider"/>
        </w:rPr>
        <w:t xml:space="preserve">visit the </w:t>
      </w:r>
      <w:hyperlink r:id="rId15" w:history="1">
        <w:r w:rsidR="0004511D">
          <w:rPr>
            <w:color w:val="0000FF"/>
            <w:u w:val="single"/>
          </w:rPr>
          <w:t>Draft Human Service System Transition Framework</w:t>
        </w:r>
      </w:hyperlink>
      <w:r w:rsidR="0004511D">
        <w:t xml:space="preserve"> and </w:t>
      </w:r>
      <w:r>
        <w:rPr>
          <w:rStyle w:val="ui-provider"/>
        </w:rPr>
        <w:t xml:space="preserve">the </w:t>
      </w:r>
      <w:hyperlink r:id="rId16" w:history="1">
        <w:r w:rsidR="0004511D" w:rsidRPr="006752D2">
          <w:rPr>
            <w:color w:val="0000FF"/>
            <w:u w:val="single"/>
          </w:rPr>
          <w:t>ACTHD Transitions Implementation Model</w:t>
        </w:r>
      </w:hyperlink>
      <w:r w:rsidR="00C778DF" w:rsidRPr="006752D2">
        <w:rPr>
          <w:color w:val="0000FF"/>
          <w:u w:val="single"/>
        </w:rPr>
        <w:t>.</w:t>
      </w:r>
    </w:p>
    <w:p w14:paraId="3E03B5A8" w14:textId="228A23CB" w:rsidR="00C110CA" w:rsidRPr="009C6B31" w:rsidRDefault="00C110CA" w:rsidP="009C6B31">
      <w:pPr>
        <w:pStyle w:val="ListParagraph"/>
        <w:spacing w:after="160" w:line="259" w:lineRule="auto"/>
        <w:ind w:left="360"/>
        <w:rPr>
          <w:rStyle w:val="ui-provider"/>
          <w:bCs/>
          <w:color w:val="145EFF" w:themeColor="accent1" w:themeTint="99"/>
        </w:rPr>
      </w:pPr>
    </w:p>
    <w:p w14:paraId="11103B31" w14:textId="2A9C112F" w:rsidR="005073B3" w:rsidRDefault="00374F42" w:rsidP="005073B3">
      <w:pPr>
        <w:spacing w:after="160" w:line="259" w:lineRule="auto"/>
      </w:pPr>
      <w:r w:rsidRPr="005073B3">
        <w:rPr>
          <w:rStyle w:val="ui-provider"/>
          <w:b/>
          <w:color w:val="323232" w:themeColor="text1"/>
        </w:rPr>
        <w:t>How does the ACT Health Transitions model fit with the</w:t>
      </w:r>
      <w:r w:rsidRPr="005073B3">
        <w:rPr>
          <w:rStyle w:val="ui-provider"/>
          <w:b/>
          <w:color w:val="145EFF" w:themeColor="accent1" w:themeTint="99"/>
        </w:rPr>
        <w:t xml:space="preserve"> </w:t>
      </w:r>
      <w:hyperlink r:id="rId17" w:history="1">
        <w:r w:rsidR="0004511D" w:rsidRPr="006752D2">
          <w:rPr>
            <w:color w:val="0000FF"/>
            <w:u w:val="single"/>
          </w:rPr>
          <w:t>Draft Human Service Transition Framework</w:t>
        </w:r>
      </w:hyperlink>
      <w:r w:rsidRPr="005073B3">
        <w:rPr>
          <w:rStyle w:val="ui-provider"/>
          <w:b/>
          <w:color w:val="323232" w:themeColor="text1"/>
        </w:rPr>
        <w:t>?</w:t>
      </w:r>
    </w:p>
    <w:p w14:paraId="471E41D7" w14:textId="6C1BCEE4" w:rsidR="00362831" w:rsidRPr="00C778DF" w:rsidRDefault="00362831" w:rsidP="00C778DF">
      <w:pPr>
        <w:pStyle w:val="ListParagraph"/>
        <w:numPr>
          <w:ilvl w:val="0"/>
          <w:numId w:val="27"/>
        </w:numPr>
        <w:spacing w:after="160" w:line="259" w:lineRule="auto"/>
        <w:rPr>
          <w:bCs/>
          <w:color w:val="145EFF" w:themeColor="accent1" w:themeTint="99"/>
        </w:rPr>
      </w:pPr>
      <w:r>
        <w:t xml:space="preserve">The Human Service System Transition Framework </w:t>
      </w:r>
      <w:r w:rsidR="00A6554C">
        <w:t>provide</w:t>
      </w:r>
      <w:r w:rsidR="00E94295">
        <w:t>s</w:t>
      </w:r>
      <w:r w:rsidR="00A6554C">
        <w:t xml:space="preserve"> the </w:t>
      </w:r>
      <w:r w:rsidR="0004511D">
        <w:t xml:space="preserve">structure </w:t>
      </w:r>
      <w:r w:rsidR="00A6554C">
        <w:t xml:space="preserve">for a </w:t>
      </w:r>
      <w:r>
        <w:t xml:space="preserve">whole of government approach </w:t>
      </w:r>
      <w:r w:rsidR="00A6554C">
        <w:t xml:space="preserve">to transitions. </w:t>
      </w:r>
      <w:r w:rsidR="0004511D">
        <w:t>The Framework underpins transition decision-making, planning and capability resources as well as transition processes across the ACT Government and the sector.</w:t>
      </w:r>
    </w:p>
    <w:p w14:paraId="126150FD" w14:textId="77777777" w:rsidR="00C778DF" w:rsidRPr="00C778DF" w:rsidRDefault="00C778DF" w:rsidP="00C778DF">
      <w:pPr>
        <w:pStyle w:val="ListParagraph"/>
        <w:spacing w:after="160" w:line="259" w:lineRule="auto"/>
        <w:rPr>
          <w:bCs/>
          <w:color w:val="145EFF" w:themeColor="accent1" w:themeTint="99"/>
        </w:rPr>
      </w:pPr>
    </w:p>
    <w:p w14:paraId="23C64C72" w14:textId="4D23B89D" w:rsidR="005F4B2E" w:rsidRDefault="0004511D" w:rsidP="000678A8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The </w:t>
      </w:r>
      <w:r w:rsidR="005F4B2E">
        <w:t>ACT</w:t>
      </w:r>
      <w:r w:rsidR="00E94295">
        <w:t xml:space="preserve"> Health</w:t>
      </w:r>
      <w:r w:rsidR="005F4B2E">
        <w:t xml:space="preserve"> Transitions Implementation Model is part of the transition ‘Process’ (element 2 under the Framework). It is important to note that whil</w:t>
      </w:r>
      <w:r w:rsidR="00E94295">
        <w:t>e</w:t>
      </w:r>
      <w:r w:rsidR="005F4B2E">
        <w:t xml:space="preserve"> the Framework and Policy (element 1 under the Framework) reflect whole-of-government approaches and understandings, the ‘Process’ will differ across commissioning Directorates to reflect unique requirements and operating environments.</w:t>
      </w:r>
    </w:p>
    <w:p w14:paraId="3CF975BD" w14:textId="77777777" w:rsidR="005F4B2E" w:rsidRDefault="005F4B2E" w:rsidP="00362831">
      <w:pPr>
        <w:pStyle w:val="ListParagraph"/>
        <w:spacing w:after="160" w:line="259" w:lineRule="auto"/>
        <w:ind w:left="360"/>
      </w:pPr>
    </w:p>
    <w:p w14:paraId="380DF40B" w14:textId="15C7F834" w:rsidR="005F4B2E" w:rsidRDefault="005F4B2E" w:rsidP="000678A8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The </w:t>
      </w:r>
      <w:r w:rsidR="00362831">
        <w:t>ACT</w:t>
      </w:r>
      <w:r w:rsidR="00E94295">
        <w:t xml:space="preserve"> Health </w:t>
      </w:r>
      <w:r>
        <w:t xml:space="preserve">Transitions Implementation Model was developed following feedback from </w:t>
      </w:r>
      <w:r w:rsidR="00362831">
        <w:t xml:space="preserve">health sector partners </w:t>
      </w:r>
      <w:r>
        <w:t>that government needed to take a more practical approach to transitions. Sector partners identified that the practical approach needed to be developed and communicated upfront, before transitions commence</w:t>
      </w:r>
      <w:r w:rsidR="00E94295">
        <w:t>,</w:t>
      </w:r>
      <w:r>
        <w:t xml:space="preserve"> so that sector partners knew what was expected of them, </w:t>
      </w:r>
      <w:r w:rsidR="00D73EEF">
        <w:t>particularly</w:t>
      </w:r>
      <w:r>
        <w:t xml:space="preserve"> i</w:t>
      </w:r>
      <w:r w:rsidR="00D73EEF">
        <w:t>f they would be transitioning out of service delivery.</w:t>
      </w:r>
    </w:p>
    <w:p w14:paraId="214259AD" w14:textId="2FE0D417" w:rsidR="00A6554C" w:rsidRDefault="00D73EEF" w:rsidP="000678A8">
      <w:pPr>
        <w:pStyle w:val="NormalWeb"/>
        <w:numPr>
          <w:ilvl w:val="0"/>
          <w:numId w:val="26"/>
        </w:numPr>
        <w:rPr>
          <w:rFonts w:ascii="Calibri" w:eastAsia="Calibri" w:hAnsi="Calibri"/>
          <w:sz w:val="22"/>
          <w:szCs w:val="22"/>
          <w:lang w:eastAsia="en-US"/>
        </w:rPr>
      </w:pPr>
      <w:r w:rsidRPr="002A44ED">
        <w:rPr>
          <w:rFonts w:ascii="Calibri" w:eastAsia="Calibri" w:hAnsi="Calibri"/>
          <w:sz w:val="22"/>
          <w:szCs w:val="22"/>
          <w:lang w:eastAsia="en-US"/>
        </w:rPr>
        <w:t xml:space="preserve">In addition to the </w:t>
      </w:r>
      <w:r w:rsidR="00A6554C">
        <w:rPr>
          <w:rFonts w:ascii="Calibri" w:eastAsia="Calibri" w:hAnsi="Calibri"/>
          <w:sz w:val="22"/>
          <w:szCs w:val="22"/>
          <w:lang w:eastAsia="en-US"/>
        </w:rPr>
        <w:t xml:space="preserve">Transitions </w:t>
      </w:r>
      <w:r>
        <w:rPr>
          <w:rFonts w:ascii="Calibri" w:eastAsia="Calibri" w:hAnsi="Calibri"/>
          <w:sz w:val="22"/>
          <w:szCs w:val="22"/>
          <w:lang w:eastAsia="en-US"/>
        </w:rPr>
        <w:t>Implementation M</w:t>
      </w:r>
      <w:r w:rsidR="00A6554C">
        <w:rPr>
          <w:rFonts w:ascii="Calibri" w:eastAsia="Calibri" w:hAnsi="Calibri"/>
          <w:sz w:val="22"/>
          <w:szCs w:val="22"/>
          <w:lang w:eastAsia="en-US"/>
        </w:rPr>
        <w:t>odel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485DFE">
        <w:rPr>
          <w:rFonts w:ascii="Calibri" w:eastAsia="Calibri" w:hAnsi="Calibri"/>
          <w:sz w:val="22"/>
          <w:szCs w:val="22"/>
          <w:lang w:eastAsia="en-US"/>
        </w:rPr>
        <w:t xml:space="preserve">ACT Health </w:t>
      </w:r>
      <w:r>
        <w:rPr>
          <w:rFonts w:ascii="Calibri" w:eastAsia="Calibri" w:hAnsi="Calibri"/>
          <w:sz w:val="22"/>
          <w:szCs w:val="22"/>
          <w:lang w:eastAsia="en-US"/>
        </w:rPr>
        <w:t>is working with CSD</w:t>
      </w:r>
      <w:r w:rsidR="00A6554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and ACT Council of Social Service (ACTCOSS) to develop tools and templates (including a Transition Planning template and transitions checklists) to support both government and sector partners </w:t>
      </w:r>
      <w:r w:rsidR="004E5914">
        <w:rPr>
          <w:rFonts w:ascii="Calibri" w:eastAsia="Calibri" w:hAnsi="Calibri"/>
          <w:sz w:val="22"/>
          <w:szCs w:val="22"/>
          <w:lang w:eastAsia="en-US"/>
        </w:rPr>
        <w:t xml:space="preserve">to </w:t>
      </w:r>
      <w:r>
        <w:rPr>
          <w:rFonts w:ascii="Calibri" w:eastAsia="Calibri" w:hAnsi="Calibri"/>
          <w:sz w:val="22"/>
          <w:szCs w:val="22"/>
          <w:lang w:eastAsia="en-US"/>
        </w:rPr>
        <w:t>successful</w:t>
      </w:r>
      <w:r w:rsidR="004E5914">
        <w:rPr>
          <w:rFonts w:ascii="Calibri" w:eastAsia="Calibri" w:hAnsi="Calibri"/>
          <w:sz w:val="22"/>
          <w:szCs w:val="22"/>
          <w:lang w:eastAsia="en-US"/>
        </w:rPr>
        <w:t>ly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navigate transitions of service.</w:t>
      </w:r>
    </w:p>
    <w:p w14:paraId="79531906" w14:textId="77777777" w:rsidR="004204FD" w:rsidRDefault="00653F8F" w:rsidP="004204FD">
      <w:pPr>
        <w:pStyle w:val="ListParagraph"/>
        <w:numPr>
          <w:ilvl w:val="0"/>
          <w:numId w:val="5"/>
        </w:numPr>
        <w:spacing w:after="160" w:line="259" w:lineRule="auto"/>
      </w:pPr>
      <w:r w:rsidRPr="00162707">
        <w:rPr>
          <w:rStyle w:val="ui-provider"/>
          <w:b/>
          <w:color w:val="323232" w:themeColor="text1"/>
        </w:rPr>
        <w:t xml:space="preserve">Please consider clients who do not have access to social media or emails and do not trust government </w:t>
      </w:r>
      <w:r w:rsidR="00D912C4" w:rsidRPr="00162707">
        <w:rPr>
          <w:rStyle w:val="ui-provider"/>
          <w:b/>
          <w:color w:val="323232" w:themeColor="text1"/>
        </w:rPr>
        <w:t>as</w:t>
      </w:r>
      <w:r w:rsidR="003210F7" w:rsidRPr="00162707">
        <w:rPr>
          <w:rStyle w:val="ui-provider"/>
          <w:b/>
          <w:color w:val="323232" w:themeColor="text1"/>
        </w:rPr>
        <w:t xml:space="preserve"> a significant cohort that would require a more individualised approach</w:t>
      </w:r>
      <w:r w:rsidR="00D912C4" w:rsidRPr="00162707">
        <w:rPr>
          <w:rStyle w:val="ui-provider"/>
          <w:b/>
          <w:color w:val="323232" w:themeColor="text1"/>
        </w:rPr>
        <w:t xml:space="preserve"> to the</w:t>
      </w:r>
      <w:r w:rsidR="003210F7" w:rsidRPr="00162707">
        <w:rPr>
          <w:rStyle w:val="ui-provider"/>
          <w:b/>
          <w:color w:val="323232" w:themeColor="text1"/>
        </w:rPr>
        <w:t xml:space="preserve"> </w:t>
      </w:r>
      <w:r w:rsidR="00162707" w:rsidRPr="00162707">
        <w:rPr>
          <w:rStyle w:val="ui-provider"/>
          <w:b/>
          <w:color w:val="323232" w:themeColor="text1"/>
        </w:rPr>
        <w:t>High-Risk</w:t>
      </w:r>
      <w:r w:rsidRPr="00162707">
        <w:rPr>
          <w:rStyle w:val="ui-provider"/>
          <w:b/>
          <w:color w:val="323232" w:themeColor="text1"/>
        </w:rPr>
        <w:t xml:space="preserve"> Weather Season 2023-24 – Planning and Preparedness</w:t>
      </w:r>
      <w:r w:rsidR="003210F7" w:rsidRPr="00162707">
        <w:rPr>
          <w:rStyle w:val="ui-provider"/>
          <w:b/>
          <w:color w:val="323232" w:themeColor="text1"/>
        </w:rPr>
        <w:t>.</w:t>
      </w:r>
      <w:r w:rsidR="003210F7" w:rsidRPr="003210F7">
        <w:rPr>
          <w:rStyle w:val="ui-provider"/>
          <w:bCs/>
          <w:color w:val="145EFF" w:themeColor="accent1" w:themeTint="99"/>
        </w:rPr>
        <w:t xml:space="preserve"> </w:t>
      </w:r>
      <w:r w:rsidR="003210F7">
        <w:rPr>
          <w:rStyle w:val="ui-provider"/>
          <w:bCs/>
          <w:color w:val="145EFF" w:themeColor="accent1" w:themeTint="99"/>
        </w:rPr>
        <w:br/>
      </w:r>
    </w:p>
    <w:p w14:paraId="2BBF39C7" w14:textId="0B3EE4DA" w:rsidR="00A22363" w:rsidRDefault="00A82567" w:rsidP="00A82567">
      <w:pPr>
        <w:pStyle w:val="ListParagraph"/>
        <w:spacing w:after="160" w:line="259" w:lineRule="auto"/>
        <w:ind w:left="360"/>
      </w:pPr>
      <w:r>
        <w:t xml:space="preserve">ACTHD is committed to working with our </w:t>
      </w:r>
      <w:r w:rsidR="005073B3">
        <w:t xml:space="preserve">government and community </w:t>
      </w:r>
      <w:r>
        <w:t xml:space="preserve">sector partners to ensure we can </w:t>
      </w:r>
      <w:r w:rsidR="004204FD">
        <w:t>reach as many clients as possible</w:t>
      </w:r>
      <w:r>
        <w:t xml:space="preserve"> to communicate vital information in the event of an emergency. Whil</w:t>
      </w:r>
      <w:r w:rsidR="004E5914">
        <w:t>e</w:t>
      </w:r>
      <w:r>
        <w:t xml:space="preserve"> emails and </w:t>
      </w:r>
      <w:r w:rsidR="004204FD">
        <w:t>social media are</w:t>
      </w:r>
      <w:r>
        <w:t xml:space="preserve"> commonly utilised communication mechanisms</w:t>
      </w:r>
      <w:r w:rsidR="00A22363">
        <w:t xml:space="preserve"> to reach large cohorts in a timely manner</w:t>
      </w:r>
      <w:r>
        <w:t xml:space="preserve">, the Directorate </w:t>
      </w:r>
      <w:r w:rsidR="00303A68">
        <w:t xml:space="preserve">will </w:t>
      </w:r>
      <w:r w:rsidR="004E5914">
        <w:t xml:space="preserve">use </w:t>
      </w:r>
      <w:r w:rsidR="005073B3">
        <w:t xml:space="preserve">all available options </w:t>
      </w:r>
      <w:r>
        <w:t xml:space="preserve">to maximise reach of </w:t>
      </w:r>
      <w:r w:rsidR="005073B3">
        <w:t xml:space="preserve">important </w:t>
      </w:r>
      <w:r>
        <w:t>community messaging:</w:t>
      </w:r>
    </w:p>
    <w:p w14:paraId="464A2AEE" w14:textId="77777777" w:rsidR="00303A68" w:rsidRDefault="00303A68" w:rsidP="004204FD">
      <w:pPr>
        <w:pStyle w:val="ListParagraph"/>
        <w:spacing w:after="160" w:line="259" w:lineRule="auto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11"/>
        <w:gridCol w:w="4865"/>
      </w:tblGrid>
      <w:tr w:rsidR="00A22363" w14:paraId="12DA0747" w14:textId="77777777" w:rsidTr="002C0F16">
        <w:tc>
          <w:tcPr>
            <w:tcW w:w="4511" w:type="dxa"/>
            <w:shd w:val="clear" w:color="auto" w:fill="C6D9F1" w:themeFill="text2" w:themeFillTint="33"/>
            <w:vAlign w:val="center"/>
          </w:tcPr>
          <w:p w14:paraId="0D9D0CBA" w14:textId="7D077301" w:rsidR="00303A68" w:rsidRPr="000678A8" w:rsidRDefault="00303A68" w:rsidP="002C0F16">
            <w:pPr>
              <w:pStyle w:val="ListParagraph"/>
              <w:spacing w:after="160" w:line="259" w:lineRule="auto"/>
              <w:ind w:left="0"/>
              <w:jc w:val="center"/>
              <w:rPr>
                <w:b/>
                <w:bCs/>
              </w:rPr>
            </w:pPr>
            <w:r w:rsidRPr="000678A8">
              <w:rPr>
                <w:b/>
                <w:bCs/>
              </w:rPr>
              <w:t>Communication channels</w:t>
            </w:r>
          </w:p>
        </w:tc>
        <w:tc>
          <w:tcPr>
            <w:tcW w:w="4865" w:type="dxa"/>
            <w:shd w:val="clear" w:color="auto" w:fill="C6D9F1" w:themeFill="text2" w:themeFillTint="33"/>
            <w:vAlign w:val="center"/>
          </w:tcPr>
          <w:p w14:paraId="5CFDE228" w14:textId="1FDD5F92" w:rsidR="00303A68" w:rsidRPr="000678A8" w:rsidRDefault="00303A68" w:rsidP="002C0F16">
            <w:pPr>
              <w:pStyle w:val="ListParagraph"/>
              <w:spacing w:after="160" w:line="259" w:lineRule="auto"/>
              <w:ind w:left="0"/>
              <w:jc w:val="center"/>
              <w:rPr>
                <w:b/>
                <w:bCs/>
              </w:rPr>
            </w:pPr>
            <w:r w:rsidRPr="000678A8">
              <w:rPr>
                <w:b/>
                <w:bCs/>
              </w:rPr>
              <w:t>Individuals and groups</w:t>
            </w:r>
          </w:p>
        </w:tc>
      </w:tr>
      <w:tr w:rsidR="00A22363" w14:paraId="4A419807" w14:textId="77777777" w:rsidTr="002C0F16">
        <w:tc>
          <w:tcPr>
            <w:tcW w:w="4511" w:type="dxa"/>
            <w:vAlign w:val="center"/>
          </w:tcPr>
          <w:p w14:paraId="5155F41A" w14:textId="0A406F16" w:rsidR="00303A68" w:rsidRDefault="00303A68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Mainstream media</w:t>
            </w:r>
          </w:p>
        </w:tc>
        <w:tc>
          <w:tcPr>
            <w:tcW w:w="4865" w:type="dxa"/>
            <w:vAlign w:val="center"/>
          </w:tcPr>
          <w:p w14:paraId="698263F5" w14:textId="6721705A" w:rsidR="00303A68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Peak Organisations</w:t>
            </w:r>
          </w:p>
        </w:tc>
      </w:tr>
      <w:tr w:rsidR="00A22363" w14:paraId="5B014E9D" w14:textId="77777777" w:rsidTr="002C0F16">
        <w:tc>
          <w:tcPr>
            <w:tcW w:w="4511" w:type="dxa"/>
            <w:vAlign w:val="center"/>
          </w:tcPr>
          <w:p w14:paraId="51721F35" w14:textId="0CA16EFC" w:rsidR="00303A68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ACT Government Websites (including ACT Health, Our Canberra etc)</w:t>
            </w:r>
          </w:p>
        </w:tc>
        <w:tc>
          <w:tcPr>
            <w:tcW w:w="4865" w:type="dxa"/>
            <w:vAlign w:val="center"/>
          </w:tcPr>
          <w:p w14:paraId="222405DA" w14:textId="282B62C2" w:rsidR="00A22363" w:rsidRPr="00A22363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Consumer representatives</w:t>
            </w:r>
          </w:p>
        </w:tc>
      </w:tr>
      <w:tr w:rsidR="00A22363" w14:paraId="3752EDB4" w14:textId="77777777" w:rsidTr="002C0F16">
        <w:tc>
          <w:tcPr>
            <w:tcW w:w="4511" w:type="dxa"/>
            <w:vAlign w:val="center"/>
          </w:tcPr>
          <w:p w14:paraId="5C31D5BE" w14:textId="0FEB4E3E" w:rsidR="00303A68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lastRenderedPageBreak/>
              <w:t>Community Radio</w:t>
            </w:r>
          </w:p>
        </w:tc>
        <w:tc>
          <w:tcPr>
            <w:tcW w:w="4865" w:type="dxa"/>
            <w:vAlign w:val="center"/>
          </w:tcPr>
          <w:p w14:paraId="7EE1CBC3" w14:textId="3D97A2A8" w:rsidR="00303A68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Community leaders and champions</w:t>
            </w:r>
          </w:p>
        </w:tc>
      </w:tr>
      <w:tr w:rsidR="00A22363" w14:paraId="22B2D7E0" w14:textId="77777777" w:rsidTr="002C0F16">
        <w:tc>
          <w:tcPr>
            <w:tcW w:w="4511" w:type="dxa"/>
            <w:vAlign w:val="center"/>
          </w:tcPr>
          <w:p w14:paraId="3AB5CBF6" w14:textId="12CE8860" w:rsidR="00A22363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Campaign advertising (fixed site and social media)</w:t>
            </w:r>
          </w:p>
        </w:tc>
        <w:tc>
          <w:tcPr>
            <w:tcW w:w="4865" w:type="dxa"/>
            <w:vAlign w:val="center"/>
          </w:tcPr>
          <w:p w14:paraId="6B5E7B73" w14:textId="6B52F429" w:rsidR="00A22363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Non-Government Organisations</w:t>
            </w:r>
          </w:p>
        </w:tc>
      </w:tr>
      <w:tr w:rsidR="00A22363" w14:paraId="2816A672" w14:textId="77777777" w:rsidTr="002C0F16">
        <w:tc>
          <w:tcPr>
            <w:tcW w:w="4511" w:type="dxa"/>
            <w:vAlign w:val="center"/>
          </w:tcPr>
          <w:p w14:paraId="189663A2" w14:textId="4F6AF63D" w:rsidR="00A22363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  <w:r>
              <w:t>Posters and billboards</w:t>
            </w:r>
          </w:p>
        </w:tc>
        <w:tc>
          <w:tcPr>
            <w:tcW w:w="4865" w:type="dxa"/>
            <w:vAlign w:val="center"/>
          </w:tcPr>
          <w:p w14:paraId="5C78F9DE" w14:textId="77777777" w:rsidR="00A22363" w:rsidRDefault="00A22363" w:rsidP="002C0F16">
            <w:pPr>
              <w:pStyle w:val="ListParagraph"/>
              <w:spacing w:after="160" w:line="259" w:lineRule="auto"/>
              <w:ind w:left="0"/>
              <w:jc w:val="center"/>
            </w:pPr>
          </w:p>
        </w:tc>
      </w:tr>
    </w:tbl>
    <w:p w14:paraId="18339D42" w14:textId="77777777" w:rsidR="004204FD" w:rsidRDefault="004204FD" w:rsidP="000678A8">
      <w:pPr>
        <w:pStyle w:val="ListParagraph"/>
        <w:spacing w:after="160" w:line="259" w:lineRule="auto"/>
        <w:ind w:left="360"/>
        <w:sectPr w:rsidR="004204FD" w:rsidSect="00F1475D">
          <w:footerReference w:type="default" r:id="rId18"/>
          <w:footerReference w:type="first" r:id="rId19"/>
          <w:pgSz w:w="11906" w:h="16838"/>
          <w:pgMar w:top="1440" w:right="1080" w:bottom="1440" w:left="1080" w:header="0" w:footer="318" w:gutter="0"/>
          <w:cols w:space="708"/>
          <w:docGrid w:linePitch="360"/>
        </w:sectPr>
      </w:pPr>
    </w:p>
    <w:p w14:paraId="5A8F5C93" w14:textId="10E52BAD" w:rsidR="00A22363" w:rsidRDefault="00A22363" w:rsidP="000678A8">
      <w:pPr>
        <w:pStyle w:val="ListParagraph"/>
        <w:numPr>
          <w:ilvl w:val="0"/>
          <w:numId w:val="28"/>
        </w:numPr>
        <w:spacing w:after="160" w:line="259" w:lineRule="auto"/>
      </w:pPr>
      <w:r>
        <w:t>Often, ACTHD will partner with other government agencies including</w:t>
      </w:r>
      <w:r w:rsidR="00631D68">
        <w:t xml:space="preserve"> the</w:t>
      </w:r>
      <w:r>
        <w:t xml:space="preserve"> ACT Emergency Services Agency</w:t>
      </w:r>
      <w:r w:rsidR="00BB5A19">
        <w:t>,</w:t>
      </w:r>
      <w:r>
        <w:t xml:space="preserve"> ACT </w:t>
      </w:r>
      <w:r w:rsidR="00BB5A19">
        <w:t xml:space="preserve">Policing </w:t>
      </w:r>
      <w:r>
        <w:t xml:space="preserve">and </w:t>
      </w:r>
      <w:r w:rsidR="00BB5A19">
        <w:t xml:space="preserve">ACT </w:t>
      </w:r>
      <w:r>
        <w:t>Ambulance Service</w:t>
      </w:r>
      <w:r w:rsidR="00E10440">
        <w:t xml:space="preserve"> as well as trusted non-government organisations</w:t>
      </w:r>
      <w:r>
        <w:t xml:space="preserve"> to deliver information </w:t>
      </w:r>
      <w:r w:rsidR="00E10440">
        <w:t xml:space="preserve">in person at community locations frequented by marginalised and vulnerable populations. </w:t>
      </w:r>
      <w:r w:rsidR="00BB5A19">
        <w:t>At o</w:t>
      </w:r>
      <w:r w:rsidR="00E10440">
        <w:t xml:space="preserve">ther times we’ll take a </w:t>
      </w:r>
      <w:r>
        <w:t>door-to-door</w:t>
      </w:r>
      <w:r w:rsidR="00E10440">
        <w:t xml:space="preserve"> approach to deliver critical information if </w:t>
      </w:r>
      <w:proofErr w:type="gramStart"/>
      <w:r w:rsidR="00E10440">
        <w:t>particular communities</w:t>
      </w:r>
      <w:proofErr w:type="gramEnd"/>
      <w:r w:rsidR="00E10440">
        <w:t xml:space="preserve"> are at risk (e.g., if there is a need to evacuate in the event of a bushfire)</w:t>
      </w:r>
      <w:r>
        <w:t>.</w:t>
      </w:r>
    </w:p>
    <w:p w14:paraId="255915E7" w14:textId="77777777" w:rsidR="00A22363" w:rsidRDefault="00A22363" w:rsidP="003210F7">
      <w:pPr>
        <w:pStyle w:val="ListParagraph"/>
        <w:spacing w:after="160" w:line="259" w:lineRule="auto"/>
        <w:ind w:left="360"/>
      </w:pPr>
    </w:p>
    <w:p w14:paraId="46CA70AA" w14:textId="4B073277" w:rsidR="003210F7" w:rsidRPr="003210F7" w:rsidRDefault="00E10440" w:rsidP="000678A8">
      <w:pPr>
        <w:pStyle w:val="ListParagraph"/>
        <w:numPr>
          <w:ilvl w:val="0"/>
          <w:numId w:val="28"/>
        </w:numPr>
        <w:spacing w:after="160" w:line="259" w:lineRule="auto"/>
      </w:pPr>
      <w:r>
        <w:t>Fortunately, t</w:t>
      </w:r>
      <w:r w:rsidR="003210F7" w:rsidRPr="003210F7">
        <w:t>he 2023-24 Budget provided new funding for an enhanced capability for ACT Health to plan, prepare for and implement effective responses to new and emerging public health threats.</w:t>
      </w:r>
      <w:r w:rsidR="00A82567">
        <w:t xml:space="preserve"> </w:t>
      </w:r>
      <w:r w:rsidR="003210F7" w:rsidRPr="003210F7">
        <w:t>This function comprises</w:t>
      </w:r>
      <w:r w:rsidR="00A82567">
        <w:t>:</w:t>
      </w:r>
    </w:p>
    <w:p w14:paraId="5F510FF5" w14:textId="77777777" w:rsidR="003210F7" w:rsidRPr="003210F7" w:rsidRDefault="003210F7" w:rsidP="000678A8">
      <w:pPr>
        <w:pStyle w:val="ListParagraph"/>
        <w:numPr>
          <w:ilvl w:val="2"/>
          <w:numId w:val="29"/>
        </w:numPr>
        <w:spacing w:after="160" w:line="259" w:lineRule="auto"/>
        <w:rPr>
          <w:rStyle w:val="ui-provider"/>
        </w:rPr>
      </w:pPr>
      <w:r w:rsidRPr="003210F7">
        <w:rPr>
          <w:rStyle w:val="ui-provider"/>
        </w:rPr>
        <w:t>Public Health Response and Capability</w:t>
      </w:r>
    </w:p>
    <w:p w14:paraId="43DE20EA" w14:textId="77777777" w:rsidR="003210F7" w:rsidRPr="003210F7" w:rsidRDefault="003210F7" w:rsidP="000678A8">
      <w:pPr>
        <w:pStyle w:val="ListParagraph"/>
        <w:numPr>
          <w:ilvl w:val="2"/>
          <w:numId w:val="29"/>
        </w:numPr>
        <w:spacing w:after="160" w:line="259" w:lineRule="auto"/>
        <w:rPr>
          <w:rStyle w:val="ui-provider"/>
        </w:rPr>
      </w:pPr>
      <w:r w:rsidRPr="003210F7">
        <w:rPr>
          <w:rStyle w:val="ui-provider"/>
        </w:rPr>
        <w:t>Public Health Risk Communications</w:t>
      </w:r>
    </w:p>
    <w:p w14:paraId="338DF0DC" w14:textId="17D91D0B" w:rsidR="00E10440" w:rsidRDefault="003210F7" w:rsidP="00E10440">
      <w:pPr>
        <w:pStyle w:val="ListParagraph"/>
        <w:numPr>
          <w:ilvl w:val="2"/>
          <w:numId w:val="29"/>
        </w:numPr>
        <w:spacing w:after="160" w:line="259" w:lineRule="auto"/>
        <w:rPr>
          <w:rStyle w:val="ui-provider"/>
        </w:rPr>
      </w:pPr>
      <w:r w:rsidRPr="003210F7">
        <w:rPr>
          <w:rStyle w:val="ui-provider"/>
        </w:rPr>
        <w:t xml:space="preserve">Public Health Epidemiology, Reporting and Data Science </w:t>
      </w:r>
    </w:p>
    <w:p w14:paraId="750E869D" w14:textId="77777777" w:rsidR="00E10440" w:rsidRDefault="00E10440" w:rsidP="000678A8">
      <w:pPr>
        <w:pStyle w:val="ListParagraph"/>
        <w:spacing w:after="160" w:line="259" w:lineRule="auto"/>
        <w:ind w:left="2160"/>
        <w:rPr>
          <w:rStyle w:val="ui-provider"/>
        </w:rPr>
      </w:pPr>
    </w:p>
    <w:p w14:paraId="0B493E38" w14:textId="3D72661E" w:rsidR="00E10440" w:rsidRPr="00063D24" w:rsidRDefault="00BB5A19" w:rsidP="00063D24">
      <w:pPr>
        <w:pStyle w:val="ListParagraph"/>
        <w:numPr>
          <w:ilvl w:val="0"/>
          <w:numId w:val="28"/>
        </w:numPr>
        <w:spacing w:after="160" w:line="259" w:lineRule="auto"/>
      </w:pPr>
      <w:r w:rsidRPr="00063D24">
        <w:t xml:space="preserve">ACT Health </w:t>
      </w:r>
      <w:r w:rsidR="00E10440" w:rsidRPr="00063D24">
        <w:t xml:space="preserve">will keep community sector partners abreast of any </w:t>
      </w:r>
      <w:r w:rsidR="00631D68" w:rsidRPr="00063D24">
        <w:t>developments.</w:t>
      </w:r>
    </w:p>
    <w:p w14:paraId="3E71BFD3" w14:textId="40DC870C" w:rsidR="003210F7" w:rsidRPr="003210F7" w:rsidRDefault="003210F7" w:rsidP="003210F7">
      <w:pPr>
        <w:pStyle w:val="ListParagraph"/>
        <w:spacing w:after="160" w:line="259" w:lineRule="auto"/>
        <w:ind w:left="360"/>
        <w:rPr>
          <w:bCs/>
          <w:color w:val="145EFF" w:themeColor="accent1" w:themeTint="99"/>
        </w:rPr>
      </w:pPr>
    </w:p>
    <w:p w14:paraId="529103A2" w14:textId="430992BF" w:rsidR="00B037F9" w:rsidRPr="00942EF7" w:rsidRDefault="00B037F9" w:rsidP="000652CA">
      <w:pPr>
        <w:spacing w:after="160" w:line="259" w:lineRule="auto"/>
        <w:rPr>
          <w:rStyle w:val="ui-provider"/>
          <w:bCs/>
          <w:highlight w:val="yellow"/>
        </w:rPr>
      </w:pPr>
    </w:p>
    <w:p w14:paraId="6C8B314A" w14:textId="77777777" w:rsidR="003956ED" w:rsidRPr="00297946" w:rsidRDefault="003956ED" w:rsidP="00297946">
      <w:pPr>
        <w:rPr>
          <w:b/>
          <w:bCs/>
        </w:rPr>
      </w:pPr>
    </w:p>
    <w:sectPr w:rsidR="003956ED" w:rsidRPr="00297946" w:rsidSect="004204FD">
      <w:type w:val="continuous"/>
      <w:pgSz w:w="11906" w:h="16838"/>
      <w:pgMar w:top="1440" w:right="1080" w:bottom="1440" w:left="1080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FEE5" w14:textId="77777777" w:rsidR="007855B5" w:rsidRDefault="007855B5" w:rsidP="00225769">
      <w:pPr>
        <w:spacing w:after="0" w:line="240" w:lineRule="auto"/>
      </w:pPr>
      <w:r>
        <w:separator/>
      </w:r>
    </w:p>
  </w:endnote>
  <w:endnote w:type="continuationSeparator" w:id="0">
    <w:p w14:paraId="0BF78CD0" w14:textId="77777777" w:rsidR="007855B5" w:rsidRDefault="007855B5" w:rsidP="0022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846773"/>
      <w:docPartObj>
        <w:docPartGallery w:val="Page Numbers (Bottom of Page)"/>
        <w:docPartUnique/>
      </w:docPartObj>
    </w:sdtPr>
    <w:sdtEndPr>
      <w:rPr>
        <w:b/>
        <w:noProof/>
        <w:color w:val="auto"/>
      </w:rPr>
    </w:sdtEndPr>
    <w:sdtContent>
      <w:p w14:paraId="3BA4CEB2" w14:textId="1805FF62" w:rsidR="008C2682" w:rsidRPr="00154FCE" w:rsidRDefault="00FD505E" w:rsidP="00FD505E">
        <w:pPr>
          <w:pStyle w:val="Footer"/>
          <w:rPr>
            <w:b/>
            <w:color w:val="auto"/>
          </w:rPr>
        </w:pPr>
        <w:r w:rsidRPr="00FD505E">
          <w:rPr>
            <w:b/>
            <w:color w:val="auto"/>
          </w:rPr>
          <w:tab/>
        </w:r>
        <w:r>
          <w:rPr>
            <w:color w:val="auto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8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91417" w14:textId="77777777" w:rsidR="00154FCE" w:rsidRDefault="00154FCE" w:rsidP="00154F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sdt>
    <w:sdtPr>
      <w:id w:val="-1327425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7479" w14:textId="77777777" w:rsidR="00154FCE" w:rsidRDefault="00154FCE" w:rsidP="00154F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40350FB0" w14:textId="77777777" w:rsidR="00154FCE" w:rsidRDefault="0015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46C7" w14:textId="77777777" w:rsidR="007855B5" w:rsidRDefault="007855B5" w:rsidP="00225769">
      <w:pPr>
        <w:spacing w:after="0" w:line="240" w:lineRule="auto"/>
      </w:pPr>
      <w:r>
        <w:separator/>
      </w:r>
    </w:p>
  </w:footnote>
  <w:footnote w:type="continuationSeparator" w:id="0">
    <w:p w14:paraId="3048116C" w14:textId="77777777" w:rsidR="007855B5" w:rsidRDefault="007855B5" w:rsidP="0022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AE0"/>
    <w:multiLevelType w:val="hybridMultilevel"/>
    <w:tmpl w:val="461C3304"/>
    <w:lvl w:ilvl="0" w:tplc="7D8E25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B1347"/>
    <w:multiLevelType w:val="hybridMultilevel"/>
    <w:tmpl w:val="8FF8C598"/>
    <w:lvl w:ilvl="0" w:tplc="FEBAA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DC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2A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E2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E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0F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E0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26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6D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1C67A7"/>
    <w:multiLevelType w:val="hybridMultilevel"/>
    <w:tmpl w:val="4C221A04"/>
    <w:lvl w:ilvl="0" w:tplc="C9A68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color w:val="323232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47D8"/>
    <w:multiLevelType w:val="hybridMultilevel"/>
    <w:tmpl w:val="5C409116"/>
    <w:lvl w:ilvl="0" w:tplc="A1CA5DC2">
      <w:start w:val="1"/>
      <w:numFmt w:val="bullet"/>
      <w:pStyle w:val="Bulletlevel2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A457A8B"/>
    <w:multiLevelType w:val="hybridMultilevel"/>
    <w:tmpl w:val="3D84723A"/>
    <w:lvl w:ilvl="0" w:tplc="509AA410">
      <w:start w:val="6"/>
      <w:numFmt w:val="decimal"/>
      <w:lvlText w:val="%1."/>
      <w:lvlJc w:val="left"/>
      <w:pPr>
        <w:ind w:left="360" w:hanging="360"/>
      </w:pPr>
      <w:rPr>
        <w:rFonts w:hint="default"/>
        <w:color w:val="6294FF" w:themeColor="accent1" w:themeTint="6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10109"/>
    <w:multiLevelType w:val="hybridMultilevel"/>
    <w:tmpl w:val="74241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60FF"/>
    <w:multiLevelType w:val="hybridMultilevel"/>
    <w:tmpl w:val="AC90AF96"/>
    <w:lvl w:ilvl="0" w:tplc="90221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CA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E7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24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E9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CD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E0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8D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E0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5A60DC"/>
    <w:multiLevelType w:val="hybridMultilevel"/>
    <w:tmpl w:val="19CE5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232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3E6B"/>
    <w:multiLevelType w:val="hybridMultilevel"/>
    <w:tmpl w:val="7DCEDAD8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20F418A"/>
    <w:multiLevelType w:val="hybridMultilevel"/>
    <w:tmpl w:val="DC622E2E"/>
    <w:lvl w:ilvl="0" w:tplc="DEF605C2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71180"/>
    <w:multiLevelType w:val="hybridMultilevel"/>
    <w:tmpl w:val="DC1CCE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424D0"/>
    <w:multiLevelType w:val="hybridMultilevel"/>
    <w:tmpl w:val="D814F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D7533E"/>
    <w:multiLevelType w:val="hybridMultilevel"/>
    <w:tmpl w:val="3BE418A0"/>
    <w:lvl w:ilvl="0" w:tplc="088C48D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7A63"/>
    <w:multiLevelType w:val="hybridMultilevel"/>
    <w:tmpl w:val="C4EC0778"/>
    <w:lvl w:ilvl="0" w:tplc="3F144C54">
      <w:start w:val="3"/>
      <w:numFmt w:val="decimal"/>
      <w:lvlText w:val="%1."/>
      <w:lvlJc w:val="left"/>
      <w:pPr>
        <w:ind w:left="360" w:hanging="360"/>
      </w:pPr>
      <w:rPr>
        <w:rFonts w:hint="default"/>
        <w:color w:val="6294FF" w:themeColor="accent1" w:themeTint="6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63997"/>
    <w:multiLevelType w:val="hybridMultilevel"/>
    <w:tmpl w:val="7E920D0A"/>
    <w:lvl w:ilvl="0" w:tplc="186C6DC2">
      <w:start w:val="5"/>
      <w:numFmt w:val="decimal"/>
      <w:lvlText w:val="%1."/>
      <w:lvlJc w:val="left"/>
      <w:pPr>
        <w:ind w:left="360" w:hanging="360"/>
      </w:pPr>
      <w:rPr>
        <w:rFonts w:hint="default"/>
        <w:color w:val="6294FF" w:themeColor="accent1" w:themeTint="6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872B8"/>
    <w:multiLevelType w:val="hybridMultilevel"/>
    <w:tmpl w:val="EA568698"/>
    <w:lvl w:ilvl="0" w:tplc="D4E83EC2">
      <w:start w:val="1"/>
      <w:numFmt w:val="decimal"/>
      <w:pStyle w:val="CS-Paragraphnumbering"/>
      <w:lvlText w:val="%1."/>
      <w:lvlJc w:val="left"/>
      <w:pPr>
        <w:ind w:left="720" w:hanging="360"/>
      </w:pPr>
      <w:rPr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1C91"/>
    <w:multiLevelType w:val="hybridMultilevel"/>
    <w:tmpl w:val="26F85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C3F34"/>
    <w:multiLevelType w:val="hybridMultilevel"/>
    <w:tmpl w:val="CD0851E4"/>
    <w:lvl w:ilvl="0" w:tplc="C9A68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color w:val="323232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D6BD1"/>
    <w:multiLevelType w:val="hybridMultilevel"/>
    <w:tmpl w:val="35487258"/>
    <w:lvl w:ilvl="0" w:tplc="AE2659B0">
      <w:start w:val="8"/>
      <w:numFmt w:val="decimal"/>
      <w:lvlText w:val="%1."/>
      <w:lvlJc w:val="left"/>
      <w:pPr>
        <w:ind w:left="360" w:hanging="360"/>
      </w:pPr>
      <w:rPr>
        <w:rFonts w:hint="default"/>
        <w:color w:val="6294FF" w:themeColor="accent1" w:themeTint="6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925DF"/>
    <w:multiLevelType w:val="hybridMultilevel"/>
    <w:tmpl w:val="170EC4F4"/>
    <w:lvl w:ilvl="0" w:tplc="C9A68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color w:val="323232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40899"/>
    <w:multiLevelType w:val="hybridMultilevel"/>
    <w:tmpl w:val="572C88F8"/>
    <w:lvl w:ilvl="0" w:tplc="E89AFD9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23232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F496B"/>
    <w:multiLevelType w:val="hybridMultilevel"/>
    <w:tmpl w:val="B060EEAE"/>
    <w:lvl w:ilvl="0" w:tplc="5194F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6A7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66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00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DE4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4B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63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A6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0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FA74434"/>
    <w:multiLevelType w:val="hybridMultilevel"/>
    <w:tmpl w:val="08F042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323232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321AF"/>
    <w:multiLevelType w:val="hybridMultilevel"/>
    <w:tmpl w:val="0A6669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F91B2C"/>
    <w:multiLevelType w:val="hybridMultilevel"/>
    <w:tmpl w:val="452ACD7E"/>
    <w:lvl w:ilvl="0" w:tplc="C9A68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color w:val="323232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75B6D"/>
    <w:multiLevelType w:val="hybridMultilevel"/>
    <w:tmpl w:val="7400AC0E"/>
    <w:lvl w:ilvl="0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6" w15:restartNumberingAfterBreak="0">
    <w:nsid w:val="6D9A046D"/>
    <w:multiLevelType w:val="hybridMultilevel"/>
    <w:tmpl w:val="C908AF9E"/>
    <w:lvl w:ilvl="0" w:tplc="61D24538">
      <w:start w:val="4"/>
      <w:numFmt w:val="decimal"/>
      <w:lvlText w:val="%1."/>
      <w:lvlJc w:val="left"/>
      <w:pPr>
        <w:ind w:left="360" w:hanging="360"/>
      </w:pPr>
      <w:rPr>
        <w:rFonts w:hint="default"/>
        <w:color w:val="6294FF" w:themeColor="accent1" w:themeTint="6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203947"/>
    <w:multiLevelType w:val="hybridMultilevel"/>
    <w:tmpl w:val="182E1E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7F7C95"/>
    <w:multiLevelType w:val="hybridMultilevel"/>
    <w:tmpl w:val="8AEC0EE8"/>
    <w:lvl w:ilvl="0" w:tplc="3D123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C4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A7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9C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A8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EA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CC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A29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68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8545931">
    <w:abstractNumId w:val="9"/>
  </w:num>
  <w:num w:numId="2" w16cid:durableId="1766031130">
    <w:abstractNumId w:val="3"/>
  </w:num>
  <w:num w:numId="3" w16cid:durableId="1093822367">
    <w:abstractNumId w:val="12"/>
  </w:num>
  <w:num w:numId="4" w16cid:durableId="1572546059">
    <w:abstractNumId w:val="15"/>
  </w:num>
  <w:num w:numId="5" w16cid:durableId="379865227">
    <w:abstractNumId w:val="20"/>
  </w:num>
  <w:num w:numId="6" w16cid:durableId="2090345673">
    <w:abstractNumId w:val="13"/>
  </w:num>
  <w:num w:numId="7" w16cid:durableId="1170876398">
    <w:abstractNumId w:val="1"/>
  </w:num>
  <w:num w:numId="8" w16cid:durableId="2139100645">
    <w:abstractNumId w:val="21"/>
  </w:num>
  <w:num w:numId="9" w16cid:durableId="186914424">
    <w:abstractNumId w:val="26"/>
  </w:num>
  <w:num w:numId="10" w16cid:durableId="505167614">
    <w:abstractNumId w:val="14"/>
  </w:num>
  <w:num w:numId="11" w16cid:durableId="1719623736">
    <w:abstractNumId w:val="4"/>
  </w:num>
  <w:num w:numId="12" w16cid:durableId="1871605692">
    <w:abstractNumId w:val="18"/>
  </w:num>
  <w:num w:numId="13" w16cid:durableId="1227841909">
    <w:abstractNumId w:val="8"/>
  </w:num>
  <w:num w:numId="14" w16cid:durableId="554581570">
    <w:abstractNumId w:val="25"/>
  </w:num>
  <w:num w:numId="15" w16cid:durableId="1510635532">
    <w:abstractNumId w:val="11"/>
  </w:num>
  <w:num w:numId="16" w16cid:durableId="1380204425">
    <w:abstractNumId w:val="5"/>
  </w:num>
  <w:num w:numId="17" w16cid:durableId="771121402">
    <w:abstractNumId w:val="23"/>
  </w:num>
  <w:num w:numId="18" w16cid:durableId="702050927">
    <w:abstractNumId w:val="0"/>
  </w:num>
  <w:num w:numId="19" w16cid:durableId="1811899515">
    <w:abstractNumId w:val="28"/>
  </w:num>
  <w:num w:numId="20" w16cid:durableId="73482195">
    <w:abstractNumId w:val="16"/>
  </w:num>
  <w:num w:numId="21" w16cid:durableId="824590412">
    <w:abstractNumId w:val="6"/>
  </w:num>
  <w:num w:numId="22" w16cid:durableId="792476719">
    <w:abstractNumId w:val="7"/>
  </w:num>
  <w:num w:numId="23" w16cid:durableId="1358580191">
    <w:abstractNumId w:val="2"/>
  </w:num>
  <w:num w:numId="24" w16cid:durableId="1206020970">
    <w:abstractNumId w:val="22"/>
  </w:num>
  <w:num w:numId="25" w16cid:durableId="1344044695">
    <w:abstractNumId w:val="17"/>
  </w:num>
  <w:num w:numId="26" w16cid:durableId="602152520">
    <w:abstractNumId w:val="24"/>
  </w:num>
  <w:num w:numId="27" w16cid:durableId="432826953">
    <w:abstractNumId w:val="19"/>
  </w:num>
  <w:num w:numId="28" w16cid:durableId="2037153079">
    <w:abstractNumId w:val="27"/>
  </w:num>
  <w:num w:numId="29" w16cid:durableId="21863850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D5"/>
    <w:rsid w:val="000055FB"/>
    <w:rsid w:val="00010463"/>
    <w:rsid w:val="00011455"/>
    <w:rsid w:val="0002398F"/>
    <w:rsid w:val="00031BDE"/>
    <w:rsid w:val="00032614"/>
    <w:rsid w:val="00035167"/>
    <w:rsid w:val="0004511D"/>
    <w:rsid w:val="00051BCC"/>
    <w:rsid w:val="0005461D"/>
    <w:rsid w:val="00054CE1"/>
    <w:rsid w:val="00055CE7"/>
    <w:rsid w:val="00063D24"/>
    <w:rsid w:val="000652CA"/>
    <w:rsid w:val="00065993"/>
    <w:rsid w:val="000678A8"/>
    <w:rsid w:val="00070593"/>
    <w:rsid w:val="00072ADC"/>
    <w:rsid w:val="00080D4B"/>
    <w:rsid w:val="00081945"/>
    <w:rsid w:val="000822DE"/>
    <w:rsid w:val="00083E30"/>
    <w:rsid w:val="00086293"/>
    <w:rsid w:val="0009338C"/>
    <w:rsid w:val="00094D1D"/>
    <w:rsid w:val="000964FD"/>
    <w:rsid w:val="0009742E"/>
    <w:rsid w:val="000A1150"/>
    <w:rsid w:val="000A5082"/>
    <w:rsid w:val="000B3495"/>
    <w:rsid w:val="000B54C1"/>
    <w:rsid w:val="000C3054"/>
    <w:rsid w:val="000D1050"/>
    <w:rsid w:val="000D1E67"/>
    <w:rsid w:val="000D2065"/>
    <w:rsid w:val="000E0256"/>
    <w:rsid w:val="000E537E"/>
    <w:rsid w:val="000E5553"/>
    <w:rsid w:val="000E6C69"/>
    <w:rsid w:val="000F0B93"/>
    <w:rsid w:val="00100B4C"/>
    <w:rsid w:val="00104627"/>
    <w:rsid w:val="00104FD1"/>
    <w:rsid w:val="00110843"/>
    <w:rsid w:val="00110A30"/>
    <w:rsid w:val="00111469"/>
    <w:rsid w:val="00124257"/>
    <w:rsid w:val="00124426"/>
    <w:rsid w:val="00125BDC"/>
    <w:rsid w:val="00125D92"/>
    <w:rsid w:val="00127D91"/>
    <w:rsid w:val="001374F9"/>
    <w:rsid w:val="0014636E"/>
    <w:rsid w:val="00154FCE"/>
    <w:rsid w:val="0015602F"/>
    <w:rsid w:val="00161B09"/>
    <w:rsid w:val="00162707"/>
    <w:rsid w:val="001629CA"/>
    <w:rsid w:val="00166A28"/>
    <w:rsid w:val="0016701E"/>
    <w:rsid w:val="001674DA"/>
    <w:rsid w:val="00167C3F"/>
    <w:rsid w:val="0017464D"/>
    <w:rsid w:val="00174C70"/>
    <w:rsid w:val="00176CFE"/>
    <w:rsid w:val="001802DF"/>
    <w:rsid w:val="00180317"/>
    <w:rsid w:val="001873EB"/>
    <w:rsid w:val="00192C70"/>
    <w:rsid w:val="00195E5E"/>
    <w:rsid w:val="001A007E"/>
    <w:rsid w:val="001A05BA"/>
    <w:rsid w:val="001A61F9"/>
    <w:rsid w:val="001B0DC3"/>
    <w:rsid w:val="001B273E"/>
    <w:rsid w:val="001B4786"/>
    <w:rsid w:val="001B53EE"/>
    <w:rsid w:val="001C1CB4"/>
    <w:rsid w:val="001D371A"/>
    <w:rsid w:val="001D5976"/>
    <w:rsid w:val="001D749F"/>
    <w:rsid w:val="001E6347"/>
    <w:rsid w:val="001E6585"/>
    <w:rsid w:val="001E6B08"/>
    <w:rsid w:val="001E7A17"/>
    <w:rsid w:val="001E7DCC"/>
    <w:rsid w:val="001F6409"/>
    <w:rsid w:val="001F6F6B"/>
    <w:rsid w:val="0020686D"/>
    <w:rsid w:val="00212E98"/>
    <w:rsid w:val="0021406B"/>
    <w:rsid w:val="002163DB"/>
    <w:rsid w:val="002164DA"/>
    <w:rsid w:val="00220A41"/>
    <w:rsid w:val="002254C2"/>
    <w:rsid w:val="00225769"/>
    <w:rsid w:val="00226789"/>
    <w:rsid w:val="00233BDE"/>
    <w:rsid w:val="00233FB3"/>
    <w:rsid w:val="00250AB9"/>
    <w:rsid w:val="00251EFD"/>
    <w:rsid w:val="00252876"/>
    <w:rsid w:val="002573BD"/>
    <w:rsid w:val="00260183"/>
    <w:rsid w:val="002603BD"/>
    <w:rsid w:val="00262281"/>
    <w:rsid w:val="00265130"/>
    <w:rsid w:val="002661AD"/>
    <w:rsid w:val="0026681E"/>
    <w:rsid w:val="002700D3"/>
    <w:rsid w:val="00271B15"/>
    <w:rsid w:val="002721B0"/>
    <w:rsid w:val="00272552"/>
    <w:rsid w:val="00276289"/>
    <w:rsid w:val="002853CC"/>
    <w:rsid w:val="00292B13"/>
    <w:rsid w:val="00297946"/>
    <w:rsid w:val="002A2D58"/>
    <w:rsid w:val="002A44ED"/>
    <w:rsid w:val="002A55F0"/>
    <w:rsid w:val="002A6449"/>
    <w:rsid w:val="002B2885"/>
    <w:rsid w:val="002C0D64"/>
    <w:rsid w:val="002C0F16"/>
    <w:rsid w:val="002C318D"/>
    <w:rsid w:val="002D076F"/>
    <w:rsid w:val="002D083F"/>
    <w:rsid w:val="002D1031"/>
    <w:rsid w:val="002D28F5"/>
    <w:rsid w:val="002D298A"/>
    <w:rsid w:val="002D6601"/>
    <w:rsid w:val="002D75DB"/>
    <w:rsid w:val="002E22E8"/>
    <w:rsid w:val="002E307E"/>
    <w:rsid w:val="002E6EDA"/>
    <w:rsid w:val="002F0D44"/>
    <w:rsid w:val="002F4468"/>
    <w:rsid w:val="002F4495"/>
    <w:rsid w:val="002F5022"/>
    <w:rsid w:val="002F5C68"/>
    <w:rsid w:val="00300FF4"/>
    <w:rsid w:val="00303A68"/>
    <w:rsid w:val="003050D7"/>
    <w:rsid w:val="00306E70"/>
    <w:rsid w:val="00306EB4"/>
    <w:rsid w:val="00311EBC"/>
    <w:rsid w:val="00312119"/>
    <w:rsid w:val="00316594"/>
    <w:rsid w:val="00316ABF"/>
    <w:rsid w:val="0031739D"/>
    <w:rsid w:val="003210F7"/>
    <w:rsid w:val="00325DF9"/>
    <w:rsid w:val="00327D7A"/>
    <w:rsid w:val="00333A73"/>
    <w:rsid w:val="003351B1"/>
    <w:rsid w:val="003447EF"/>
    <w:rsid w:val="00353E9C"/>
    <w:rsid w:val="00357670"/>
    <w:rsid w:val="00357B4C"/>
    <w:rsid w:val="00357F49"/>
    <w:rsid w:val="00362831"/>
    <w:rsid w:val="00364C41"/>
    <w:rsid w:val="00365097"/>
    <w:rsid w:val="00370CC5"/>
    <w:rsid w:val="00374063"/>
    <w:rsid w:val="00374C2D"/>
    <w:rsid w:val="00374F42"/>
    <w:rsid w:val="0037552D"/>
    <w:rsid w:val="00376DF6"/>
    <w:rsid w:val="003823CC"/>
    <w:rsid w:val="00382995"/>
    <w:rsid w:val="00382ABC"/>
    <w:rsid w:val="0038484E"/>
    <w:rsid w:val="00390344"/>
    <w:rsid w:val="00390DAE"/>
    <w:rsid w:val="00392ADF"/>
    <w:rsid w:val="003932F6"/>
    <w:rsid w:val="0039388D"/>
    <w:rsid w:val="003956ED"/>
    <w:rsid w:val="00396B90"/>
    <w:rsid w:val="003971DA"/>
    <w:rsid w:val="00397DA3"/>
    <w:rsid w:val="003A1CC9"/>
    <w:rsid w:val="003A3AA6"/>
    <w:rsid w:val="003B12C3"/>
    <w:rsid w:val="003B5D48"/>
    <w:rsid w:val="003C0428"/>
    <w:rsid w:val="003C255E"/>
    <w:rsid w:val="003C324C"/>
    <w:rsid w:val="003C4533"/>
    <w:rsid w:val="003C5673"/>
    <w:rsid w:val="003C6329"/>
    <w:rsid w:val="003D0B57"/>
    <w:rsid w:val="003D1422"/>
    <w:rsid w:val="003D2D53"/>
    <w:rsid w:val="003D79D1"/>
    <w:rsid w:val="003D7ADA"/>
    <w:rsid w:val="003E4FFD"/>
    <w:rsid w:val="003E5C0C"/>
    <w:rsid w:val="003E7B94"/>
    <w:rsid w:val="00401BD0"/>
    <w:rsid w:val="00406751"/>
    <w:rsid w:val="00407D7E"/>
    <w:rsid w:val="004147D1"/>
    <w:rsid w:val="00415C53"/>
    <w:rsid w:val="004204FD"/>
    <w:rsid w:val="00422AA5"/>
    <w:rsid w:val="0042321F"/>
    <w:rsid w:val="00424D85"/>
    <w:rsid w:val="004278D2"/>
    <w:rsid w:val="00433DA8"/>
    <w:rsid w:val="0043604B"/>
    <w:rsid w:val="00444018"/>
    <w:rsid w:val="00445A42"/>
    <w:rsid w:val="00451A68"/>
    <w:rsid w:val="00452535"/>
    <w:rsid w:val="004527E4"/>
    <w:rsid w:val="00464B5E"/>
    <w:rsid w:val="0046669F"/>
    <w:rsid w:val="00467A1E"/>
    <w:rsid w:val="004728DF"/>
    <w:rsid w:val="00475081"/>
    <w:rsid w:val="00481E5C"/>
    <w:rsid w:val="00483EBB"/>
    <w:rsid w:val="00485DFE"/>
    <w:rsid w:val="00485E39"/>
    <w:rsid w:val="0048619B"/>
    <w:rsid w:val="0048657A"/>
    <w:rsid w:val="00490EDA"/>
    <w:rsid w:val="004A0C20"/>
    <w:rsid w:val="004A1C95"/>
    <w:rsid w:val="004A31DE"/>
    <w:rsid w:val="004A5483"/>
    <w:rsid w:val="004A7895"/>
    <w:rsid w:val="004B0879"/>
    <w:rsid w:val="004B0E0A"/>
    <w:rsid w:val="004B406B"/>
    <w:rsid w:val="004B5725"/>
    <w:rsid w:val="004B5E0B"/>
    <w:rsid w:val="004B65F3"/>
    <w:rsid w:val="004B7E59"/>
    <w:rsid w:val="004C3CFC"/>
    <w:rsid w:val="004C6600"/>
    <w:rsid w:val="004C78AB"/>
    <w:rsid w:val="004D28BE"/>
    <w:rsid w:val="004E1002"/>
    <w:rsid w:val="004E1050"/>
    <w:rsid w:val="004E5914"/>
    <w:rsid w:val="004E7349"/>
    <w:rsid w:val="004F2F00"/>
    <w:rsid w:val="004F2FE2"/>
    <w:rsid w:val="00501960"/>
    <w:rsid w:val="005073B3"/>
    <w:rsid w:val="0051058F"/>
    <w:rsid w:val="00510682"/>
    <w:rsid w:val="00514EC0"/>
    <w:rsid w:val="00515C13"/>
    <w:rsid w:val="00523DB7"/>
    <w:rsid w:val="005330A3"/>
    <w:rsid w:val="005342BE"/>
    <w:rsid w:val="005356CF"/>
    <w:rsid w:val="005373DE"/>
    <w:rsid w:val="00541648"/>
    <w:rsid w:val="00546118"/>
    <w:rsid w:val="0054771B"/>
    <w:rsid w:val="005522D1"/>
    <w:rsid w:val="005523DE"/>
    <w:rsid w:val="00553357"/>
    <w:rsid w:val="00553375"/>
    <w:rsid w:val="005564A4"/>
    <w:rsid w:val="0055662B"/>
    <w:rsid w:val="00565688"/>
    <w:rsid w:val="00565CE5"/>
    <w:rsid w:val="00571DFD"/>
    <w:rsid w:val="0057307A"/>
    <w:rsid w:val="00574E9F"/>
    <w:rsid w:val="00575F23"/>
    <w:rsid w:val="005816B6"/>
    <w:rsid w:val="00583C8E"/>
    <w:rsid w:val="005915FF"/>
    <w:rsid w:val="00595C9C"/>
    <w:rsid w:val="00596D98"/>
    <w:rsid w:val="005A0BF7"/>
    <w:rsid w:val="005A0C1E"/>
    <w:rsid w:val="005A3A46"/>
    <w:rsid w:val="005A7962"/>
    <w:rsid w:val="005B057C"/>
    <w:rsid w:val="005B75D5"/>
    <w:rsid w:val="005C55A4"/>
    <w:rsid w:val="005C6F57"/>
    <w:rsid w:val="005C75B6"/>
    <w:rsid w:val="005D1522"/>
    <w:rsid w:val="005D5588"/>
    <w:rsid w:val="005D5DAF"/>
    <w:rsid w:val="005E0DA8"/>
    <w:rsid w:val="005E3AC2"/>
    <w:rsid w:val="005E542B"/>
    <w:rsid w:val="005E576E"/>
    <w:rsid w:val="005F463D"/>
    <w:rsid w:val="005F4B2E"/>
    <w:rsid w:val="005F6839"/>
    <w:rsid w:val="00600F85"/>
    <w:rsid w:val="00601B9D"/>
    <w:rsid w:val="0060253B"/>
    <w:rsid w:val="006046CE"/>
    <w:rsid w:val="00605C83"/>
    <w:rsid w:val="0060747F"/>
    <w:rsid w:val="00612B71"/>
    <w:rsid w:val="0061597E"/>
    <w:rsid w:val="00616B16"/>
    <w:rsid w:val="00616C2D"/>
    <w:rsid w:val="00622768"/>
    <w:rsid w:val="00622DF6"/>
    <w:rsid w:val="00623C67"/>
    <w:rsid w:val="00625A45"/>
    <w:rsid w:val="0063150A"/>
    <w:rsid w:val="00631D68"/>
    <w:rsid w:val="0063640A"/>
    <w:rsid w:val="00637A78"/>
    <w:rsid w:val="00651673"/>
    <w:rsid w:val="00653D47"/>
    <w:rsid w:val="00653F8F"/>
    <w:rsid w:val="00654442"/>
    <w:rsid w:val="006560A3"/>
    <w:rsid w:val="00656A12"/>
    <w:rsid w:val="00663BAB"/>
    <w:rsid w:val="00664C85"/>
    <w:rsid w:val="00674BF6"/>
    <w:rsid w:val="006752D2"/>
    <w:rsid w:val="0067626A"/>
    <w:rsid w:val="0067773D"/>
    <w:rsid w:val="00677BCA"/>
    <w:rsid w:val="006859BD"/>
    <w:rsid w:val="00692BE8"/>
    <w:rsid w:val="00694E8B"/>
    <w:rsid w:val="00695A25"/>
    <w:rsid w:val="006975F2"/>
    <w:rsid w:val="006A10D6"/>
    <w:rsid w:val="006A31AE"/>
    <w:rsid w:val="006A55D5"/>
    <w:rsid w:val="006B4F56"/>
    <w:rsid w:val="006B60F8"/>
    <w:rsid w:val="006B6E69"/>
    <w:rsid w:val="006C1206"/>
    <w:rsid w:val="006C2232"/>
    <w:rsid w:val="006C2278"/>
    <w:rsid w:val="006C2E97"/>
    <w:rsid w:val="006C3246"/>
    <w:rsid w:val="006C4A8D"/>
    <w:rsid w:val="006D0A57"/>
    <w:rsid w:val="006D2C9E"/>
    <w:rsid w:val="006D2D1F"/>
    <w:rsid w:val="006E0774"/>
    <w:rsid w:val="006E07AA"/>
    <w:rsid w:val="006E3FB3"/>
    <w:rsid w:val="006E4316"/>
    <w:rsid w:val="006E5ABA"/>
    <w:rsid w:val="006E7868"/>
    <w:rsid w:val="006F4E00"/>
    <w:rsid w:val="006F593A"/>
    <w:rsid w:val="006F5C1F"/>
    <w:rsid w:val="006F760C"/>
    <w:rsid w:val="00701781"/>
    <w:rsid w:val="00706087"/>
    <w:rsid w:val="00707369"/>
    <w:rsid w:val="0071140B"/>
    <w:rsid w:val="0071603F"/>
    <w:rsid w:val="0071604C"/>
    <w:rsid w:val="00726AF9"/>
    <w:rsid w:val="0073032F"/>
    <w:rsid w:val="0073076A"/>
    <w:rsid w:val="00730CFF"/>
    <w:rsid w:val="00732771"/>
    <w:rsid w:val="00732B98"/>
    <w:rsid w:val="00736A75"/>
    <w:rsid w:val="00742E13"/>
    <w:rsid w:val="007460AD"/>
    <w:rsid w:val="00746E29"/>
    <w:rsid w:val="00751D42"/>
    <w:rsid w:val="00754898"/>
    <w:rsid w:val="007552DB"/>
    <w:rsid w:val="00756BE3"/>
    <w:rsid w:val="0076090F"/>
    <w:rsid w:val="00761297"/>
    <w:rsid w:val="007641DC"/>
    <w:rsid w:val="00765CCD"/>
    <w:rsid w:val="00767F9D"/>
    <w:rsid w:val="00772982"/>
    <w:rsid w:val="007753E1"/>
    <w:rsid w:val="00777E05"/>
    <w:rsid w:val="00782931"/>
    <w:rsid w:val="007855B5"/>
    <w:rsid w:val="00785F1E"/>
    <w:rsid w:val="00790DAA"/>
    <w:rsid w:val="00792D9C"/>
    <w:rsid w:val="007942B3"/>
    <w:rsid w:val="00794ACF"/>
    <w:rsid w:val="007961F6"/>
    <w:rsid w:val="007966A2"/>
    <w:rsid w:val="0079740A"/>
    <w:rsid w:val="007A4A3F"/>
    <w:rsid w:val="007A74E4"/>
    <w:rsid w:val="007B6101"/>
    <w:rsid w:val="007B7C7F"/>
    <w:rsid w:val="007C1835"/>
    <w:rsid w:val="007C1FE0"/>
    <w:rsid w:val="007C24CF"/>
    <w:rsid w:val="007D4D4F"/>
    <w:rsid w:val="007D5669"/>
    <w:rsid w:val="007E0D53"/>
    <w:rsid w:val="007E667C"/>
    <w:rsid w:val="007F2918"/>
    <w:rsid w:val="007F7D5A"/>
    <w:rsid w:val="0080678D"/>
    <w:rsid w:val="008123A2"/>
    <w:rsid w:val="0081345E"/>
    <w:rsid w:val="008136C2"/>
    <w:rsid w:val="008220AF"/>
    <w:rsid w:val="00832052"/>
    <w:rsid w:val="008323A4"/>
    <w:rsid w:val="00834088"/>
    <w:rsid w:val="008346F5"/>
    <w:rsid w:val="00837B2A"/>
    <w:rsid w:val="00841F4C"/>
    <w:rsid w:val="00846102"/>
    <w:rsid w:val="008516DD"/>
    <w:rsid w:val="00853291"/>
    <w:rsid w:val="00854873"/>
    <w:rsid w:val="0086414E"/>
    <w:rsid w:val="00872507"/>
    <w:rsid w:val="00874509"/>
    <w:rsid w:val="0088597D"/>
    <w:rsid w:val="00892AD6"/>
    <w:rsid w:val="0089338E"/>
    <w:rsid w:val="00893CD7"/>
    <w:rsid w:val="008A209D"/>
    <w:rsid w:val="008A4DB0"/>
    <w:rsid w:val="008B2A4C"/>
    <w:rsid w:val="008B2B72"/>
    <w:rsid w:val="008B3716"/>
    <w:rsid w:val="008B46A8"/>
    <w:rsid w:val="008C2682"/>
    <w:rsid w:val="008C6196"/>
    <w:rsid w:val="008C74FB"/>
    <w:rsid w:val="008C7B58"/>
    <w:rsid w:val="008D339F"/>
    <w:rsid w:val="008D6173"/>
    <w:rsid w:val="008E3418"/>
    <w:rsid w:val="008E34B7"/>
    <w:rsid w:val="008E79B3"/>
    <w:rsid w:val="008F014B"/>
    <w:rsid w:val="008F4AB5"/>
    <w:rsid w:val="008F7848"/>
    <w:rsid w:val="009003DC"/>
    <w:rsid w:val="00903164"/>
    <w:rsid w:val="00907763"/>
    <w:rsid w:val="0091084B"/>
    <w:rsid w:val="00910C03"/>
    <w:rsid w:val="009112F7"/>
    <w:rsid w:val="00925018"/>
    <w:rsid w:val="00927697"/>
    <w:rsid w:val="009342FB"/>
    <w:rsid w:val="0093543F"/>
    <w:rsid w:val="00940754"/>
    <w:rsid w:val="00942EF7"/>
    <w:rsid w:val="00946C72"/>
    <w:rsid w:val="00947A58"/>
    <w:rsid w:val="0095050A"/>
    <w:rsid w:val="0095172A"/>
    <w:rsid w:val="009560B2"/>
    <w:rsid w:val="00957565"/>
    <w:rsid w:val="009601F2"/>
    <w:rsid w:val="00961C48"/>
    <w:rsid w:val="00962E5F"/>
    <w:rsid w:val="00963945"/>
    <w:rsid w:val="00964276"/>
    <w:rsid w:val="00964558"/>
    <w:rsid w:val="00967C33"/>
    <w:rsid w:val="009725DE"/>
    <w:rsid w:val="009842ED"/>
    <w:rsid w:val="0098527C"/>
    <w:rsid w:val="00987EFB"/>
    <w:rsid w:val="009929EA"/>
    <w:rsid w:val="00994F05"/>
    <w:rsid w:val="009A14AB"/>
    <w:rsid w:val="009A5B3B"/>
    <w:rsid w:val="009A5F88"/>
    <w:rsid w:val="009A7913"/>
    <w:rsid w:val="009B0D0A"/>
    <w:rsid w:val="009B2569"/>
    <w:rsid w:val="009B4F5F"/>
    <w:rsid w:val="009B5CFE"/>
    <w:rsid w:val="009C4C4F"/>
    <w:rsid w:val="009C6B31"/>
    <w:rsid w:val="009D1CDC"/>
    <w:rsid w:val="009D46A7"/>
    <w:rsid w:val="009D54FF"/>
    <w:rsid w:val="009D6737"/>
    <w:rsid w:val="009D71B6"/>
    <w:rsid w:val="009E2DF0"/>
    <w:rsid w:val="009E56EE"/>
    <w:rsid w:val="009F1F95"/>
    <w:rsid w:val="009F322B"/>
    <w:rsid w:val="009F3A08"/>
    <w:rsid w:val="009F3CB2"/>
    <w:rsid w:val="009F62F2"/>
    <w:rsid w:val="009F6ACB"/>
    <w:rsid w:val="009F778E"/>
    <w:rsid w:val="00A01248"/>
    <w:rsid w:val="00A0576B"/>
    <w:rsid w:val="00A07807"/>
    <w:rsid w:val="00A11739"/>
    <w:rsid w:val="00A12D65"/>
    <w:rsid w:val="00A14109"/>
    <w:rsid w:val="00A14F79"/>
    <w:rsid w:val="00A1598A"/>
    <w:rsid w:val="00A16A6B"/>
    <w:rsid w:val="00A16B99"/>
    <w:rsid w:val="00A17BC8"/>
    <w:rsid w:val="00A21CE4"/>
    <w:rsid w:val="00A22363"/>
    <w:rsid w:val="00A2389C"/>
    <w:rsid w:val="00A36459"/>
    <w:rsid w:val="00A370CC"/>
    <w:rsid w:val="00A40AB0"/>
    <w:rsid w:val="00A41A77"/>
    <w:rsid w:val="00A43DC3"/>
    <w:rsid w:val="00A45D5D"/>
    <w:rsid w:val="00A501B5"/>
    <w:rsid w:val="00A52E23"/>
    <w:rsid w:val="00A548F7"/>
    <w:rsid w:val="00A55F59"/>
    <w:rsid w:val="00A60A10"/>
    <w:rsid w:val="00A62902"/>
    <w:rsid w:val="00A6554C"/>
    <w:rsid w:val="00A67F02"/>
    <w:rsid w:val="00A71057"/>
    <w:rsid w:val="00A71528"/>
    <w:rsid w:val="00A719E5"/>
    <w:rsid w:val="00A734B8"/>
    <w:rsid w:val="00A75B75"/>
    <w:rsid w:val="00A775BC"/>
    <w:rsid w:val="00A82567"/>
    <w:rsid w:val="00A82A96"/>
    <w:rsid w:val="00A86676"/>
    <w:rsid w:val="00A8675C"/>
    <w:rsid w:val="00A96438"/>
    <w:rsid w:val="00AA242F"/>
    <w:rsid w:val="00AA5E9C"/>
    <w:rsid w:val="00AA6C0C"/>
    <w:rsid w:val="00AB4420"/>
    <w:rsid w:val="00AB6A93"/>
    <w:rsid w:val="00AB776C"/>
    <w:rsid w:val="00AC0208"/>
    <w:rsid w:val="00AC0797"/>
    <w:rsid w:val="00AC2B72"/>
    <w:rsid w:val="00AC60B1"/>
    <w:rsid w:val="00AD155E"/>
    <w:rsid w:val="00AD4C63"/>
    <w:rsid w:val="00AE337F"/>
    <w:rsid w:val="00AE3BC6"/>
    <w:rsid w:val="00AE3CE1"/>
    <w:rsid w:val="00AE4924"/>
    <w:rsid w:val="00AE4A0C"/>
    <w:rsid w:val="00AF22E7"/>
    <w:rsid w:val="00AF5B89"/>
    <w:rsid w:val="00AF74CC"/>
    <w:rsid w:val="00B00212"/>
    <w:rsid w:val="00B00EEC"/>
    <w:rsid w:val="00B013CD"/>
    <w:rsid w:val="00B037F9"/>
    <w:rsid w:val="00B04E6B"/>
    <w:rsid w:val="00B06B90"/>
    <w:rsid w:val="00B13C86"/>
    <w:rsid w:val="00B1431A"/>
    <w:rsid w:val="00B15B33"/>
    <w:rsid w:val="00B16595"/>
    <w:rsid w:val="00B16B61"/>
    <w:rsid w:val="00B17867"/>
    <w:rsid w:val="00B20EB2"/>
    <w:rsid w:val="00B266D6"/>
    <w:rsid w:val="00B36D4E"/>
    <w:rsid w:val="00B44AC7"/>
    <w:rsid w:val="00B457C7"/>
    <w:rsid w:val="00B47F0D"/>
    <w:rsid w:val="00B52447"/>
    <w:rsid w:val="00B5322B"/>
    <w:rsid w:val="00B60183"/>
    <w:rsid w:val="00B61062"/>
    <w:rsid w:val="00B61A8C"/>
    <w:rsid w:val="00B61C22"/>
    <w:rsid w:val="00B6217E"/>
    <w:rsid w:val="00B62BAB"/>
    <w:rsid w:val="00B74732"/>
    <w:rsid w:val="00B74C5F"/>
    <w:rsid w:val="00B76D70"/>
    <w:rsid w:val="00B820AD"/>
    <w:rsid w:val="00B83CB7"/>
    <w:rsid w:val="00B87A80"/>
    <w:rsid w:val="00BA1587"/>
    <w:rsid w:val="00BA15C4"/>
    <w:rsid w:val="00BA1F72"/>
    <w:rsid w:val="00BA558E"/>
    <w:rsid w:val="00BA7BED"/>
    <w:rsid w:val="00BB303C"/>
    <w:rsid w:val="00BB5199"/>
    <w:rsid w:val="00BB5A19"/>
    <w:rsid w:val="00BB618D"/>
    <w:rsid w:val="00BB6C46"/>
    <w:rsid w:val="00BC2127"/>
    <w:rsid w:val="00BC53C7"/>
    <w:rsid w:val="00BC6B15"/>
    <w:rsid w:val="00BD3398"/>
    <w:rsid w:val="00BD740B"/>
    <w:rsid w:val="00BE0BCA"/>
    <w:rsid w:val="00BE530C"/>
    <w:rsid w:val="00BF1AD8"/>
    <w:rsid w:val="00BF5A9C"/>
    <w:rsid w:val="00BF5CA8"/>
    <w:rsid w:val="00C04452"/>
    <w:rsid w:val="00C06320"/>
    <w:rsid w:val="00C110CA"/>
    <w:rsid w:val="00C12163"/>
    <w:rsid w:val="00C1355D"/>
    <w:rsid w:val="00C162D8"/>
    <w:rsid w:val="00C16DA1"/>
    <w:rsid w:val="00C17969"/>
    <w:rsid w:val="00C217BD"/>
    <w:rsid w:val="00C34D75"/>
    <w:rsid w:val="00C41209"/>
    <w:rsid w:val="00C418B6"/>
    <w:rsid w:val="00C4646B"/>
    <w:rsid w:val="00C46EA9"/>
    <w:rsid w:val="00C47ACF"/>
    <w:rsid w:val="00C50326"/>
    <w:rsid w:val="00C63DB8"/>
    <w:rsid w:val="00C645FA"/>
    <w:rsid w:val="00C65E23"/>
    <w:rsid w:val="00C670E5"/>
    <w:rsid w:val="00C706FB"/>
    <w:rsid w:val="00C72ED9"/>
    <w:rsid w:val="00C769FB"/>
    <w:rsid w:val="00C778DF"/>
    <w:rsid w:val="00C84140"/>
    <w:rsid w:val="00C841DE"/>
    <w:rsid w:val="00C86EEF"/>
    <w:rsid w:val="00C9002D"/>
    <w:rsid w:val="00C972FF"/>
    <w:rsid w:val="00CA06F9"/>
    <w:rsid w:val="00CA0C5A"/>
    <w:rsid w:val="00CA5183"/>
    <w:rsid w:val="00CB102B"/>
    <w:rsid w:val="00CB6F39"/>
    <w:rsid w:val="00CC3CCC"/>
    <w:rsid w:val="00CC4063"/>
    <w:rsid w:val="00CD19C6"/>
    <w:rsid w:val="00CD2E0B"/>
    <w:rsid w:val="00CE2446"/>
    <w:rsid w:val="00CE2AAC"/>
    <w:rsid w:val="00CE2B03"/>
    <w:rsid w:val="00CE32DA"/>
    <w:rsid w:val="00CE4023"/>
    <w:rsid w:val="00CE6A3F"/>
    <w:rsid w:val="00CF3246"/>
    <w:rsid w:val="00CF62E8"/>
    <w:rsid w:val="00CF6B4F"/>
    <w:rsid w:val="00D003AE"/>
    <w:rsid w:val="00D01050"/>
    <w:rsid w:val="00D06AAA"/>
    <w:rsid w:val="00D07A8B"/>
    <w:rsid w:val="00D10DDE"/>
    <w:rsid w:val="00D13A2C"/>
    <w:rsid w:val="00D16C4B"/>
    <w:rsid w:val="00D2009B"/>
    <w:rsid w:val="00D250CD"/>
    <w:rsid w:val="00D2632A"/>
    <w:rsid w:val="00D26FEE"/>
    <w:rsid w:val="00D27DEC"/>
    <w:rsid w:val="00D27F02"/>
    <w:rsid w:val="00D322F1"/>
    <w:rsid w:val="00D3258F"/>
    <w:rsid w:val="00D3436C"/>
    <w:rsid w:val="00D35855"/>
    <w:rsid w:val="00D359B3"/>
    <w:rsid w:val="00D415B5"/>
    <w:rsid w:val="00D41B9C"/>
    <w:rsid w:val="00D42FA5"/>
    <w:rsid w:val="00D43E1B"/>
    <w:rsid w:val="00D44D05"/>
    <w:rsid w:val="00D4576C"/>
    <w:rsid w:val="00D45AD8"/>
    <w:rsid w:val="00D4683B"/>
    <w:rsid w:val="00D520BB"/>
    <w:rsid w:val="00D564D8"/>
    <w:rsid w:val="00D56518"/>
    <w:rsid w:val="00D60CA0"/>
    <w:rsid w:val="00D65D0F"/>
    <w:rsid w:val="00D6690A"/>
    <w:rsid w:val="00D66D7B"/>
    <w:rsid w:val="00D706FE"/>
    <w:rsid w:val="00D72E5F"/>
    <w:rsid w:val="00D73EEF"/>
    <w:rsid w:val="00D75C1D"/>
    <w:rsid w:val="00D75C74"/>
    <w:rsid w:val="00D76189"/>
    <w:rsid w:val="00D912C4"/>
    <w:rsid w:val="00D95C2A"/>
    <w:rsid w:val="00D96AA3"/>
    <w:rsid w:val="00DA00E8"/>
    <w:rsid w:val="00DA5741"/>
    <w:rsid w:val="00DA7A19"/>
    <w:rsid w:val="00DB0ED0"/>
    <w:rsid w:val="00DB37D1"/>
    <w:rsid w:val="00DB4499"/>
    <w:rsid w:val="00DB4C14"/>
    <w:rsid w:val="00DC56CC"/>
    <w:rsid w:val="00DD00AB"/>
    <w:rsid w:val="00DD20ED"/>
    <w:rsid w:val="00DD2768"/>
    <w:rsid w:val="00DE1371"/>
    <w:rsid w:val="00DE23A7"/>
    <w:rsid w:val="00DE38BC"/>
    <w:rsid w:val="00DE3F13"/>
    <w:rsid w:val="00DE7A76"/>
    <w:rsid w:val="00DE7C21"/>
    <w:rsid w:val="00DF0570"/>
    <w:rsid w:val="00DF0590"/>
    <w:rsid w:val="00DF0688"/>
    <w:rsid w:val="00DF09BF"/>
    <w:rsid w:val="00DF3491"/>
    <w:rsid w:val="00DF5D7B"/>
    <w:rsid w:val="00DF703C"/>
    <w:rsid w:val="00DF74F2"/>
    <w:rsid w:val="00E00393"/>
    <w:rsid w:val="00E014AC"/>
    <w:rsid w:val="00E02685"/>
    <w:rsid w:val="00E05E4E"/>
    <w:rsid w:val="00E06B75"/>
    <w:rsid w:val="00E10440"/>
    <w:rsid w:val="00E174CA"/>
    <w:rsid w:val="00E27C5D"/>
    <w:rsid w:val="00E31B30"/>
    <w:rsid w:val="00E36733"/>
    <w:rsid w:val="00E40185"/>
    <w:rsid w:val="00E43064"/>
    <w:rsid w:val="00E452AD"/>
    <w:rsid w:val="00E508D9"/>
    <w:rsid w:val="00E51FFB"/>
    <w:rsid w:val="00E57809"/>
    <w:rsid w:val="00E62978"/>
    <w:rsid w:val="00E666A5"/>
    <w:rsid w:val="00E678DF"/>
    <w:rsid w:val="00E70BD2"/>
    <w:rsid w:val="00E72349"/>
    <w:rsid w:val="00E73456"/>
    <w:rsid w:val="00E74E98"/>
    <w:rsid w:val="00E91B40"/>
    <w:rsid w:val="00E92D88"/>
    <w:rsid w:val="00E94295"/>
    <w:rsid w:val="00E95BB0"/>
    <w:rsid w:val="00E977AA"/>
    <w:rsid w:val="00EA0B6B"/>
    <w:rsid w:val="00EA2C66"/>
    <w:rsid w:val="00EA68F9"/>
    <w:rsid w:val="00EC04D1"/>
    <w:rsid w:val="00EC0A12"/>
    <w:rsid w:val="00EC540E"/>
    <w:rsid w:val="00ED0BDA"/>
    <w:rsid w:val="00ED2A3A"/>
    <w:rsid w:val="00ED3622"/>
    <w:rsid w:val="00ED3C38"/>
    <w:rsid w:val="00ED4647"/>
    <w:rsid w:val="00EE1321"/>
    <w:rsid w:val="00EE26CC"/>
    <w:rsid w:val="00EE5253"/>
    <w:rsid w:val="00EE5A83"/>
    <w:rsid w:val="00EE69DA"/>
    <w:rsid w:val="00EF0014"/>
    <w:rsid w:val="00EF04B8"/>
    <w:rsid w:val="00EF1290"/>
    <w:rsid w:val="00EF4A0D"/>
    <w:rsid w:val="00EF4E7D"/>
    <w:rsid w:val="00EF58B4"/>
    <w:rsid w:val="00EF611D"/>
    <w:rsid w:val="00EF7622"/>
    <w:rsid w:val="00EF7FF5"/>
    <w:rsid w:val="00F00D7C"/>
    <w:rsid w:val="00F019C9"/>
    <w:rsid w:val="00F0270D"/>
    <w:rsid w:val="00F0789D"/>
    <w:rsid w:val="00F10E47"/>
    <w:rsid w:val="00F1475D"/>
    <w:rsid w:val="00F17A00"/>
    <w:rsid w:val="00F17CAB"/>
    <w:rsid w:val="00F20D98"/>
    <w:rsid w:val="00F23D81"/>
    <w:rsid w:val="00F342A9"/>
    <w:rsid w:val="00F52647"/>
    <w:rsid w:val="00F531AD"/>
    <w:rsid w:val="00F5398D"/>
    <w:rsid w:val="00F6012F"/>
    <w:rsid w:val="00F6129E"/>
    <w:rsid w:val="00F654CC"/>
    <w:rsid w:val="00F65CD0"/>
    <w:rsid w:val="00F701D5"/>
    <w:rsid w:val="00F71652"/>
    <w:rsid w:val="00F717DB"/>
    <w:rsid w:val="00F72F7E"/>
    <w:rsid w:val="00F73B89"/>
    <w:rsid w:val="00F76131"/>
    <w:rsid w:val="00F801DD"/>
    <w:rsid w:val="00F8246D"/>
    <w:rsid w:val="00F867D0"/>
    <w:rsid w:val="00F87572"/>
    <w:rsid w:val="00F95352"/>
    <w:rsid w:val="00F9614D"/>
    <w:rsid w:val="00FA2218"/>
    <w:rsid w:val="00FA3819"/>
    <w:rsid w:val="00FA47FE"/>
    <w:rsid w:val="00FA5B5E"/>
    <w:rsid w:val="00FB37CE"/>
    <w:rsid w:val="00FB41E8"/>
    <w:rsid w:val="00FB508E"/>
    <w:rsid w:val="00FB60E5"/>
    <w:rsid w:val="00FB74DB"/>
    <w:rsid w:val="00FC4055"/>
    <w:rsid w:val="00FC4E87"/>
    <w:rsid w:val="00FC6C0C"/>
    <w:rsid w:val="00FC7BE7"/>
    <w:rsid w:val="00FD1D2E"/>
    <w:rsid w:val="00FD505E"/>
    <w:rsid w:val="00FE1433"/>
    <w:rsid w:val="00FE2579"/>
    <w:rsid w:val="00FE3A2D"/>
    <w:rsid w:val="00FE57B2"/>
    <w:rsid w:val="00FE5CF0"/>
    <w:rsid w:val="00FE6EBF"/>
    <w:rsid w:val="00FF3CD9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A4ED"/>
  <w15:chartTrackingRefBased/>
  <w15:docId w15:val="{4AAABBCD-B78A-46A0-81F0-E885DAF0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F0270D"/>
    <w:pPr>
      <w:pBdr>
        <w:bottom w:val="single" w:sz="4" w:space="3" w:color="78D5E1" w:themeColor="accent2"/>
      </w:pBdr>
      <w:spacing w:before="480" w:after="120"/>
      <w:outlineLvl w:val="0"/>
    </w:pPr>
    <w:rPr>
      <w:rFonts w:ascii="Arial" w:eastAsia="Times New Roman" w:hAnsi="Arial" w:cs="Arial"/>
      <w:color w:val="002677" w:themeColor="accent1"/>
      <w:sz w:val="52"/>
      <w:szCs w:val="5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A7A19"/>
    <w:pPr>
      <w:pBdr>
        <w:bottom w:val="none" w:sz="0" w:space="0" w:color="auto"/>
      </w:pBdr>
      <w:spacing w:before="360"/>
      <w:outlineLvl w:val="1"/>
    </w:pPr>
    <w:rPr>
      <w:bCs/>
      <w:iCs/>
      <w:color w:val="3E4043" w:themeColor="accent3" w:themeShade="B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3604B"/>
    <w:pPr>
      <w:outlineLvl w:val="2"/>
    </w:pPr>
    <w:rPr>
      <w:color w:val="31BED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768"/>
    <w:pPr>
      <w:keepNext/>
      <w:keepLines/>
      <w:spacing w:before="240" w:after="60" w:line="240" w:lineRule="auto"/>
      <w:outlineLvl w:val="3"/>
    </w:pPr>
    <w:rPr>
      <w:rFonts w:ascii="Arial" w:eastAsiaTheme="majorEastAsia" w:hAnsi="Arial" w:cs="Arial"/>
      <w:iCs/>
      <w:color w:val="292B2D" w:themeColor="accent3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E70"/>
    <w:pPr>
      <w:keepNext/>
      <w:keepLines/>
      <w:spacing w:before="120" w:after="60" w:line="240" w:lineRule="auto"/>
      <w:outlineLvl w:val="4"/>
    </w:pPr>
    <w:rPr>
      <w:rFonts w:ascii="Arial" w:eastAsiaTheme="majorEastAsia" w:hAnsi="Arial" w:cs="Arial"/>
      <w:i/>
      <w:color w:val="32323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D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769"/>
  </w:style>
  <w:style w:type="paragraph" w:styleId="Footer">
    <w:name w:val="footer"/>
    <w:basedOn w:val="Normal"/>
    <w:link w:val="FooterChar"/>
    <w:uiPriority w:val="99"/>
    <w:unhideWhenUsed/>
    <w:rsid w:val="008C2682"/>
    <w:pPr>
      <w:tabs>
        <w:tab w:val="center" w:pos="4513"/>
        <w:tab w:val="right" w:pos="9026"/>
      </w:tabs>
      <w:spacing w:after="0" w:line="240" w:lineRule="auto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2682"/>
    <w:rPr>
      <w:color w:val="FFFFFF" w:themeColor="background1"/>
      <w:sz w:val="18"/>
      <w:szCs w:val="18"/>
      <w:lang w:eastAsia="en-US"/>
    </w:rPr>
  </w:style>
  <w:style w:type="paragraph" w:styleId="NoSpacing">
    <w:name w:val="No Spacing"/>
    <w:uiPriority w:val="1"/>
    <w:qFormat/>
    <w:rsid w:val="00225769"/>
    <w:rPr>
      <w:sz w:val="22"/>
      <w:szCs w:val="22"/>
      <w:lang w:eastAsia="en-US"/>
    </w:rPr>
  </w:style>
  <w:style w:type="paragraph" w:customStyle="1" w:styleId="Accessibilitytext">
    <w:name w:val="Accessibility text"/>
    <w:basedOn w:val="Normal"/>
    <w:uiPriority w:val="99"/>
    <w:rsid w:val="002E307E"/>
    <w:pPr>
      <w:suppressAutoHyphens/>
      <w:autoSpaceDE w:val="0"/>
      <w:autoSpaceDN w:val="0"/>
      <w:adjustRightInd w:val="0"/>
      <w:spacing w:after="57" w:line="180" w:lineRule="atLeast"/>
      <w:textAlignment w:val="center"/>
    </w:pPr>
    <w:rPr>
      <w:rFonts w:ascii="Arial" w:hAnsi="Arial" w:cs="Arial"/>
      <w:color w:val="323232"/>
      <w:sz w:val="16"/>
      <w:szCs w:val="16"/>
      <w:lang w:val="en-GB"/>
    </w:rPr>
  </w:style>
  <w:style w:type="character" w:customStyle="1" w:styleId="AccessibilityLgtext">
    <w:name w:val="Accessibility Lg text"/>
    <w:uiPriority w:val="99"/>
    <w:rsid w:val="00FE2579"/>
    <w:rPr>
      <w:sz w:val="20"/>
      <w:szCs w:val="20"/>
    </w:rPr>
  </w:style>
  <w:style w:type="paragraph" w:styleId="BodyText">
    <w:name w:val="Body Text"/>
    <w:link w:val="BodyTextChar"/>
    <w:rsid w:val="00CD2E0B"/>
    <w:pPr>
      <w:spacing w:before="120" w:after="240" w:line="280" w:lineRule="exact"/>
    </w:pPr>
    <w:rPr>
      <w:rFonts w:eastAsia="Times New Roman" w:cs="Arial"/>
      <w:bCs/>
      <w:iCs/>
      <w:color w:val="323232"/>
      <w:sz w:val="24"/>
      <w:szCs w:val="24"/>
      <w:lang w:eastAsia="en-US"/>
      <w14:textFill>
        <w14:solidFill>
          <w14:srgbClr w14:val="323232"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CD2E0B"/>
    <w:rPr>
      <w:rFonts w:eastAsia="Times New Roman" w:cs="Arial"/>
      <w:bCs/>
      <w:iCs/>
      <w:color w:val="323232"/>
      <w:sz w:val="24"/>
      <w:szCs w:val="24"/>
      <w:lang w:eastAsia="en-US"/>
      <w14:textFill>
        <w14:solidFill>
          <w14:srgbClr w14:val="323232">
            <w14:lumMod w14:val="50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F0270D"/>
    <w:rPr>
      <w:rFonts w:ascii="Arial" w:eastAsia="Times New Roman" w:hAnsi="Arial" w:cs="Arial"/>
      <w:color w:val="002677" w:themeColor="accent1"/>
      <w:sz w:val="52"/>
      <w:szCs w:val="5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A7A19"/>
    <w:rPr>
      <w:rFonts w:ascii="Arial" w:eastAsia="Times New Roman" w:hAnsi="Arial" w:cs="Arial"/>
      <w:bCs/>
      <w:iCs/>
      <w:color w:val="3E4043" w:themeColor="accent3" w:themeShade="BF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3604B"/>
    <w:rPr>
      <w:rFonts w:ascii="Arial" w:eastAsia="Times New Roman" w:hAnsi="Arial" w:cs="Arial"/>
      <w:bCs/>
      <w:iCs/>
      <w:color w:val="31BED1" w:themeColor="accent2" w:themeShade="BF"/>
      <w:sz w:val="32"/>
      <w:szCs w:val="32"/>
      <w:lang w:eastAsia="en-US"/>
    </w:rPr>
  </w:style>
  <w:style w:type="paragraph" w:customStyle="1" w:styleId="Bulletlevel1">
    <w:name w:val="Bullet level 1"/>
    <w:basedOn w:val="BodyText"/>
    <w:qFormat/>
    <w:rsid w:val="00AC2B72"/>
    <w:pPr>
      <w:numPr>
        <w:numId w:val="1"/>
      </w:numPr>
      <w:tabs>
        <w:tab w:val="left" w:pos="284"/>
      </w:tabs>
      <w:spacing w:before="60" w:after="120" w:line="240" w:lineRule="auto"/>
      <w:ind w:left="284" w:hanging="284"/>
    </w:pPr>
  </w:style>
  <w:style w:type="paragraph" w:customStyle="1" w:styleId="Bulletlevel2">
    <w:name w:val="Bullet level 2"/>
    <w:basedOn w:val="Bulletlevel1"/>
    <w:qFormat/>
    <w:rsid w:val="002603BD"/>
    <w:pPr>
      <w:numPr>
        <w:numId w:val="2"/>
      </w:numPr>
      <w:tabs>
        <w:tab w:val="clear" w:pos="284"/>
        <w:tab w:val="left" w:pos="567"/>
      </w:tabs>
      <w:ind w:left="567" w:hanging="283"/>
    </w:pPr>
  </w:style>
  <w:style w:type="table" w:styleId="TableGrid">
    <w:name w:val="Table Grid"/>
    <w:basedOn w:val="TableNormal"/>
    <w:uiPriority w:val="3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_body"/>
    <w:basedOn w:val="BodyText"/>
    <w:qFormat/>
    <w:rsid w:val="00CD2E0B"/>
    <w:pPr>
      <w:spacing w:before="60" w:after="60" w:line="240" w:lineRule="auto"/>
    </w:pPr>
  </w:style>
  <w:style w:type="paragraph" w:customStyle="1" w:styleId="Tableheaderreverse">
    <w:name w:val="Table_header_reverse"/>
    <w:qFormat/>
    <w:rsid w:val="001629CA"/>
    <w:pPr>
      <w:spacing w:before="60" w:after="60"/>
    </w:pPr>
    <w:rPr>
      <w:rFonts w:eastAsia="Times New Roman" w:cs="Arial"/>
      <w:b/>
      <w:bCs/>
      <w:iCs/>
      <w:color w:val="FFFFFF" w:themeColor="background1"/>
      <w:sz w:val="24"/>
      <w:szCs w:val="24"/>
      <w:lang w:eastAsia="en-US"/>
    </w:rPr>
  </w:style>
  <w:style w:type="paragraph" w:customStyle="1" w:styleId="Tablebullet1">
    <w:name w:val="Table bullet 1"/>
    <w:basedOn w:val="Bulletlevel1"/>
    <w:qFormat/>
    <w:rsid w:val="00C9002D"/>
    <w:pPr>
      <w:spacing w:after="60"/>
    </w:pPr>
  </w:style>
  <w:style w:type="paragraph" w:customStyle="1" w:styleId="Tablebullet2">
    <w:name w:val="Table bullet 2"/>
    <w:basedOn w:val="Bulletlevel2"/>
    <w:qFormat/>
    <w:rsid w:val="00C9002D"/>
    <w:pPr>
      <w:spacing w:after="60"/>
      <w:ind w:left="568" w:hanging="284"/>
    </w:pPr>
    <w:rPr>
      <w:sz w:val="22"/>
      <w:szCs w:val="22"/>
    </w:rPr>
  </w:style>
  <w:style w:type="paragraph" w:customStyle="1" w:styleId="Tablesubheader">
    <w:name w:val="Table sub header"/>
    <w:basedOn w:val="Tablebody"/>
    <w:qFormat/>
    <w:rsid w:val="002603BD"/>
    <w:rPr>
      <w:b/>
      <w:sz w:val="22"/>
      <w:szCs w:val="22"/>
    </w:rPr>
  </w:style>
  <w:style w:type="paragraph" w:customStyle="1" w:styleId="Tableheader">
    <w:name w:val="Table header"/>
    <w:basedOn w:val="Tablesubheader"/>
    <w:qFormat/>
    <w:rsid w:val="00D27F02"/>
    <w:rPr>
      <w:sz w:val="24"/>
      <w:szCs w:val="24"/>
    </w:rPr>
  </w:style>
  <w:style w:type="paragraph" w:customStyle="1" w:styleId="Bulletpara">
    <w:name w:val="Bullet para"/>
    <w:basedOn w:val="BodyText"/>
    <w:qFormat/>
    <w:rsid w:val="00D520BB"/>
    <w:pPr>
      <w:spacing w:after="120"/>
    </w:pPr>
  </w:style>
  <w:style w:type="paragraph" w:customStyle="1" w:styleId="BulletLevel1end">
    <w:name w:val="Bullet Level 1 end"/>
    <w:basedOn w:val="Bulletlevel1"/>
    <w:qFormat/>
    <w:rsid w:val="00D520BB"/>
    <w:pPr>
      <w:spacing w:after="240"/>
      <w:ind w:left="720" w:hanging="360"/>
    </w:pPr>
  </w:style>
  <w:style w:type="paragraph" w:customStyle="1" w:styleId="Division">
    <w:name w:val="Division"/>
    <w:basedOn w:val="Normal"/>
    <w:qFormat/>
    <w:rsid w:val="009D71B6"/>
    <w:pPr>
      <w:spacing w:after="0" w:line="400" w:lineRule="exact"/>
    </w:pPr>
    <w:rPr>
      <w:rFonts w:ascii="Arial" w:hAnsi="Arial"/>
      <w:color w:val="FFFFFF" w:themeColor="background1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622768"/>
    <w:rPr>
      <w:rFonts w:ascii="Arial" w:eastAsiaTheme="majorEastAsia" w:hAnsi="Arial" w:cs="Arial"/>
      <w:iCs/>
      <w:color w:val="292B2D" w:themeColor="accent3" w:themeShade="80"/>
      <w:sz w:val="28"/>
      <w:szCs w:val="28"/>
      <w:lang w:eastAsia="en-US"/>
    </w:rPr>
  </w:style>
  <w:style w:type="paragraph" w:customStyle="1" w:styleId="NumberedList">
    <w:name w:val="Numbered List"/>
    <w:basedOn w:val="Normal"/>
    <w:link w:val="NumberedListChar"/>
    <w:qFormat/>
    <w:rsid w:val="00CD2E0B"/>
    <w:pPr>
      <w:numPr>
        <w:numId w:val="3"/>
      </w:numPr>
      <w:ind w:left="313"/>
      <w:contextualSpacing/>
    </w:pPr>
    <w:rPr>
      <w:rFonts w:asciiTheme="minorHAnsi" w:eastAsia="Times New Roman" w:hAnsiTheme="minorHAnsi"/>
    </w:rPr>
  </w:style>
  <w:style w:type="character" w:customStyle="1" w:styleId="NumberedListChar">
    <w:name w:val="Numbered List Char"/>
    <w:basedOn w:val="DefaultParagraphFont"/>
    <w:link w:val="NumberedList"/>
    <w:rsid w:val="00CD2E0B"/>
    <w:rPr>
      <w:rFonts w:asciiTheme="minorHAnsi" w:eastAsia="Times New Roman" w:hAnsiTheme="minorHAnsi"/>
      <w:sz w:val="22"/>
      <w:szCs w:val="22"/>
      <w:lang w:eastAsia="en-US"/>
    </w:rPr>
  </w:style>
  <w:style w:type="paragraph" w:customStyle="1" w:styleId="TableHeader0">
    <w:name w:val="Table Header"/>
    <w:basedOn w:val="Normal"/>
    <w:link w:val="TableHeaderChar"/>
    <w:qFormat/>
    <w:rsid w:val="00CD2E0B"/>
    <w:pPr>
      <w:spacing w:before="60" w:after="60" w:line="240" w:lineRule="auto"/>
    </w:pPr>
    <w:rPr>
      <w:rFonts w:asciiTheme="minorHAnsi" w:eastAsia="Times New Roman" w:hAnsiTheme="minorHAnsi"/>
      <w:color w:val="FFFFFF"/>
      <w:sz w:val="20"/>
      <w:lang w:val="en-US" w:bidi="en-US"/>
    </w:rPr>
  </w:style>
  <w:style w:type="character" w:customStyle="1" w:styleId="TableHeaderChar">
    <w:name w:val="Table Header Char"/>
    <w:basedOn w:val="DefaultParagraphFont"/>
    <w:link w:val="TableHeader0"/>
    <w:rsid w:val="00CD2E0B"/>
    <w:rPr>
      <w:rFonts w:asciiTheme="minorHAnsi" w:eastAsia="Times New Roman" w:hAnsiTheme="minorHAnsi"/>
      <w:color w:val="FFFFFF"/>
      <w:szCs w:val="22"/>
      <w:lang w:val="en-US"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06E70"/>
    <w:rPr>
      <w:rFonts w:ascii="Arial" w:eastAsiaTheme="majorEastAsia" w:hAnsi="Arial" w:cs="Arial"/>
      <w:i/>
      <w:color w:val="323232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A7A19"/>
    <w:pPr>
      <w:spacing w:after="0" w:line="240" w:lineRule="auto"/>
      <w:contextualSpacing/>
    </w:pPr>
    <w:rPr>
      <w:rFonts w:ascii="Arial" w:eastAsiaTheme="majorEastAsia" w:hAnsi="Arial" w:cs="Arial"/>
      <w:b/>
      <w:color w:val="FFFFFF" w:themeColor="background1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A7A19"/>
    <w:rPr>
      <w:rFonts w:ascii="Arial" w:eastAsiaTheme="majorEastAsia" w:hAnsi="Arial" w:cs="Arial"/>
      <w:b/>
      <w:color w:val="FFFFFF" w:themeColor="background1"/>
      <w:spacing w:val="-10"/>
      <w:kern w:val="28"/>
      <w:sz w:val="40"/>
      <w:szCs w:val="40"/>
      <w:lang w:eastAsia="en-US"/>
    </w:rPr>
  </w:style>
  <w:style w:type="paragraph" w:customStyle="1" w:styleId="Bulletlevel2-end">
    <w:name w:val="Bullet level 2 - end"/>
    <w:basedOn w:val="Bulletlevel2"/>
    <w:qFormat/>
    <w:rsid w:val="00B16595"/>
    <w:pPr>
      <w:numPr>
        <w:numId w:val="0"/>
      </w:numPr>
      <w:tabs>
        <w:tab w:val="clear" w:pos="567"/>
        <w:tab w:val="left" w:pos="709"/>
      </w:tabs>
      <w:spacing w:after="280"/>
      <w:ind w:left="714" w:hanging="406"/>
    </w:pPr>
    <w:rPr>
      <w:lang w:eastAsia="en-AU"/>
    </w:rPr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numbered,Paragraphe de liste1,列出段"/>
    <w:basedOn w:val="Normal"/>
    <w:uiPriority w:val="34"/>
    <w:qFormat/>
    <w:rsid w:val="00A82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EFB"/>
    <w:rPr>
      <w:color w:val="0026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6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E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EDA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51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50AB9"/>
    <w:rPr>
      <w:color w:val="53565A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F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FB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3FB3"/>
    <w:rPr>
      <w:vertAlign w:val="superscript"/>
    </w:rPr>
  </w:style>
  <w:style w:type="paragraph" w:styleId="Revision">
    <w:name w:val="Revision"/>
    <w:hidden/>
    <w:uiPriority w:val="99"/>
    <w:semiHidden/>
    <w:rsid w:val="00406751"/>
    <w:rPr>
      <w:sz w:val="22"/>
      <w:szCs w:val="22"/>
      <w:lang w:eastAsia="en-US"/>
    </w:rPr>
  </w:style>
  <w:style w:type="character" w:customStyle="1" w:styleId="ui-provider">
    <w:name w:val="ui-provider"/>
    <w:basedOn w:val="DefaultParagraphFont"/>
    <w:rsid w:val="00BF1AD8"/>
  </w:style>
  <w:style w:type="paragraph" w:customStyle="1" w:styleId="CS-Paragraphnumbering">
    <w:name w:val="CS - Paragraph numbering"/>
    <w:basedOn w:val="Normal"/>
    <w:rsid w:val="002A2D58"/>
    <w:pPr>
      <w:numPr>
        <w:numId w:val="4"/>
      </w:numPr>
      <w:spacing w:after="120"/>
      <w:ind w:right="-45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f01">
    <w:name w:val="cf01"/>
    <w:basedOn w:val="DefaultParagraphFont"/>
    <w:rsid w:val="002164DA"/>
    <w:rPr>
      <w:rFonts w:ascii="Segoe UI" w:hAnsi="Segoe UI" w:cs="Segoe UI" w:hint="default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A43DC3"/>
    <w:rPr>
      <w:rFonts w:asciiTheme="majorHAnsi" w:eastAsiaTheme="majorEastAsia" w:hAnsiTheme="majorHAnsi" w:cstheme="majorBidi"/>
      <w:color w:val="00123B" w:themeColor="accent1" w:themeShade="7F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104627"/>
  </w:style>
  <w:style w:type="character" w:customStyle="1" w:styleId="fui-styledtext">
    <w:name w:val="fui-styledtext"/>
    <w:basedOn w:val="DefaultParagraphFont"/>
    <w:rsid w:val="0016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8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mmunityservices.act.gov.au/commissioning/sectors-in-progress/primary-health-services-for-young-peopl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ommunityservices.act.gov.au/__data/assets/pdf_file/0003/2310969/PHSYP-Strategic-Investment-Plan.pdf" TargetMode="External"/><Relationship Id="rId17" Type="http://schemas.openxmlformats.org/officeDocument/2006/relationships/hyperlink" Target="https://www.communityservices.act.gov.au/__data/assets/pdf_file/0003/2266410/Draft-Human-Service-System-Transition-Framewor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munityservices.act.gov.au/__data/assets/powerpoint_doc/0005/2379866/ACTHD-Transitions-Implementation-Model.ppt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munityservices.act.gov.au/__data/assets/powerpoint_doc/0006/2338143/28-November-2023-Health-Commissioning-Update-3.ppt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mmunityservices.act.gov.au/__data/assets/pdf_file/0003/2266410/Draft-Human-Service-System-Transition-Framework.pdf" TargetMode="External"/><Relationship Id="rId10" Type="http://schemas.openxmlformats.org/officeDocument/2006/relationships/hyperlink" Target="https://aus01.safelinks.protection.outlook.com/?url=https%3A%2F%2Fvimeo.com%2F890157673%2F1b1ce97bb1%3Fshare%3Dcopy&amp;data=05%7C01%7C%7C025f64aca7864cce1ddc08dbf21f1b2e%7Cb46c190803344236b978585ee88e4199%7C0%7C0%7C638369987639497272%7CUnknown%7CTWFpbGZsb3d8eyJWIjoiMC4wLjAwMDAiLCJQIjoiV2luMzIiLCJBTiI6Ik1haWwiLCJXVCI6Mn0%3D%7C3000%7C%7C%7C&amp;sdata=pEJWUUgr97gGQsMCTmnoS63SnnColiJPYP%2BkoguGbA4%3D&amp;reserved=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ommunityservices.act.gov.au/commissioning/news-articles/act-health-refreshes-commissioning-approach" TargetMode="External"/></Relationships>
</file>

<file path=word/theme/theme1.xml><?xml version="1.0" encoding="utf-8"?>
<a:theme xmlns:a="http://schemas.openxmlformats.org/drawingml/2006/main" name="Office Theme">
  <a:themeElements>
    <a:clrScheme name="ACT Health Directorate">
      <a:dk1>
        <a:srgbClr val="323232"/>
      </a:dk1>
      <a:lt1>
        <a:sysClr val="window" lastClr="FFFFFF"/>
      </a:lt1>
      <a:dk2>
        <a:srgbClr val="1F497D"/>
      </a:dk2>
      <a:lt2>
        <a:srgbClr val="EEECE1"/>
      </a:lt2>
      <a:accent1>
        <a:srgbClr val="002677"/>
      </a:accent1>
      <a:accent2>
        <a:srgbClr val="78D5E1"/>
      </a:accent2>
      <a:accent3>
        <a:srgbClr val="53565A"/>
      </a:accent3>
      <a:accent4>
        <a:srgbClr val="00797C"/>
      </a:accent4>
      <a:accent5>
        <a:srgbClr val="333092"/>
      </a:accent5>
      <a:accent6>
        <a:srgbClr val="AB4399"/>
      </a:accent6>
      <a:hlink>
        <a:srgbClr val="002677"/>
      </a:hlink>
      <a:folHlink>
        <a:srgbClr val="53565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A44698894</value>
    </field>
    <field name="Objective-Title">
      <value order="0">ACTHD November Community Sector Update -  summarised questions and answers for publishing</value>
    </field>
    <field name="Objective-Description">
      <value order="0"/>
    </field>
    <field name="Objective-CreationStamp">
      <value order="0">2023-11-28T04:10:41Z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2024-03-13T00:06:52Z</value>
    </field>
    <field name="Objective-Owner">
      <value order="0">Regina Gaudry</value>
    </field>
    <field name="Objective-Path">
      <value order="0">Whole of ACT Government:ACTHD - ACT Health:GROUP: Health Systems, Policy and Research Group (HSPRG):DIVISION: Health System Planning and Evaluation (HSPE):UNIT: Community Sector Contracts and Grants:Health Commissioning:05. Communications:4. Webinars:2023 ACTHD Community Sector Webinars:07. 20231128 - Sector Webinar - ACTHD and Community Sector update</value>
    </field>
    <field name="Objective-Parent">
      <value order="0">07. 20231128 - Sector Webinar - ACTHD and Community Sector update</value>
    </field>
    <field name="Objective-State">
      <value order="0">Being Edited</value>
    </field>
    <field name="Objective-VersionId">
      <value order="0">vA57436272</value>
    </field>
    <field name="Objective-Version">
      <value order="0">5.1</value>
    </field>
    <field name="Objective-VersionNumber">
      <value order="0">14</value>
    </field>
    <field name="Objective-VersionComment">
      <value order="0"/>
    </field>
    <field name="Objective-FileNumber">
      <value order="0">1-2024/15964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A3FBA33-8697-4187-975C-3FC15FB9D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Altinger, Leanne (Health)</dc:creator>
  <cp:keywords/>
  <cp:lastModifiedBy>Kua, Ken (Health)</cp:lastModifiedBy>
  <cp:revision>2</cp:revision>
  <cp:lastPrinted>2024-03-13T00:19:00Z</cp:lastPrinted>
  <dcterms:created xsi:type="dcterms:W3CDTF">2024-03-13T00:19:00Z</dcterms:created>
  <dcterms:modified xsi:type="dcterms:W3CDTF">2024-03-13T00:19:00Z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A44698894</vt:lpwstr>
  </property>
  <property fmtid="{D5CDD505-2E9C-101B-9397-08002B2CF9AE}" pid="4" name="Objective-Title">
    <vt:lpwstr>ACTHD November Community Sector Update -  summarised questions and answers for publishing</vt:lpwstr>
  </property>
  <property fmtid="{D5CDD505-2E9C-101B-9397-08002B2CF9AE}" pid="5" name="Objective-Comment">
    <vt:lpwstr/>
  </property>
  <property fmtid="{D5CDD505-2E9C-101B-9397-08002B2CF9AE}" pid="6" name="Objective-CreationStamp">
    <vt:filetime>2023-11-28T04:10:41Z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2024-03-13T00:06:52Z</vt:filetime>
  </property>
  <property fmtid="{D5CDD505-2E9C-101B-9397-08002B2CF9AE}" pid="11" name="Objective-Owner">
    <vt:lpwstr>Regina Gaudry</vt:lpwstr>
  </property>
  <property fmtid="{D5CDD505-2E9C-101B-9397-08002B2CF9AE}" pid="12" name="Objective-Path">
    <vt:lpwstr>Whole of ACT Government:ACTHD - ACT Health:GROUP: Health Systems, Policy and Research Group (HSPRG):DIVISION: Health System Planning and Evaluation (HSPE):UNIT: Community Sector Contracts and Grants:Health Commissioning:05. Communications:4. Webinars:2023 ACTHD Community Sector Webinars:07. 20231128 - Sector Webinar - ACTHD and Community Sector update</vt:lpwstr>
  </property>
  <property fmtid="{D5CDD505-2E9C-101B-9397-08002B2CF9AE}" pid="13" name="Objective-Parent">
    <vt:lpwstr>07. 20231128 - Sector Webinar - ACTHD and Community Sector update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1-2024/15964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vA57436272</vt:lpwstr>
  </property>
</Properties>
</file>