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E197" w14:textId="518A8BE2" w:rsidR="009266DD" w:rsidRPr="00FE0085" w:rsidRDefault="00A7130F" w:rsidP="00670C2A">
      <w:pPr>
        <w:spacing w:before="120" w:after="0" w:line="240" w:lineRule="auto"/>
        <w:rPr>
          <w:rFonts w:ascii="Arial" w:hAnsi="Arial"/>
          <w:b/>
          <w:caps/>
          <w:color w:val="000000" w:themeColor="text1"/>
          <w:kern w:val="28"/>
          <w:sz w:val="44"/>
        </w:rPr>
        <w:sectPr w:rsidR="009266DD" w:rsidRPr="00FE0085" w:rsidSect="00F51125">
          <w:headerReference w:type="even" r:id="rId16"/>
          <w:headerReference w:type="default" r:id="rId17"/>
          <w:footerReference w:type="even" r:id="rId18"/>
          <w:footerReference w:type="default" r:id="rId19"/>
          <w:headerReference w:type="first" r:id="rId20"/>
          <w:type w:val="continuous"/>
          <w:pgSz w:w="11907" w:h="16840" w:code="9"/>
          <w:pgMar w:top="1134" w:right="1134" w:bottom="1701" w:left="1134" w:header="567" w:footer="254" w:gutter="0"/>
          <w:cols w:num="2" w:space="720"/>
          <w:titlePg/>
          <w:docGrid w:linePitch="299"/>
        </w:sectPr>
      </w:pPr>
      <w:r w:rsidRPr="003427C1">
        <w:rPr>
          <w:noProof/>
        </w:rPr>
        <mc:AlternateContent>
          <mc:Choice Requires="wps">
            <w:drawing>
              <wp:anchor distT="0" distB="0" distL="114300" distR="114300" simplePos="0" relativeHeight="251658243" behindDoc="0" locked="0" layoutInCell="1" allowOverlap="1" wp14:anchorId="40209067" wp14:editId="1260563D">
                <wp:simplePos x="0" y="0"/>
                <wp:positionH relativeFrom="margin">
                  <wp:align>right</wp:align>
                </wp:positionH>
                <wp:positionV relativeFrom="paragraph">
                  <wp:posOffset>1499235</wp:posOffset>
                </wp:positionV>
                <wp:extent cx="5162550" cy="58864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5886450"/>
                        </a:xfrm>
                        <a:prstGeom prst="rect">
                          <a:avLst/>
                        </a:prstGeom>
                        <a:noFill/>
                        <a:ln w="6350">
                          <a:noFill/>
                        </a:ln>
                      </wps:spPr>
                      <wps:txbx>
                        <w:txbxContent>
                          <w:p w14:paraId="474039D2" w14:textId="25CE5ECE" w:rsidR="00DB162B" w:rsidRDefault="000D409C" w:rsidP="00D17F50">
                            <w:pPr>
                              <w:pStyle w:val="Title"/>
                              <w:spacing w:after="0"/>
                            </w:pPr>
                            <w:r w:rsidRPr="000F6C81">
                              <w:t xml:space="preserve">Commissioning </w:t>
                            </w:r>
                            <w:r w:rsidR="00A47BB5" w:rsidRPr="000F6C81">
                              <w:t xml:space="preserve">for Outcomes </w:t>
                            </w:r>
                          </w:p>
                          <w:p w14:paraId="0B81B1B8" w14:textId="219944D4" w:rsidR="00A47BB5" w:rsidRPr="00195E7B" w:rsidRDefault="00DB162B" w:rsidP="00D17F50">
                            <w:pPr>
                              <w:pStyle w:val="Title"/>
                              <w:spacing w:after="0"/>
                              <w:rPr>
                                <w:rFonts w:asciiTheme="minorHAnsi" w:eastAsiaTheme="minorEastAsia" w:hAnsiTheme="minorHAnsi" w:cstheme="minorBidi"/>
                                <w:b w:val="0"/>
                                <w:bCs/>
                                <w:kern w:val="0"/>
                                <w:sz w:val="50"/>
                                <w:szCs w:val="50"/>
                              </w:rPr>
                            </w:pPr>
                            <w:r>
                              <w:rPr>
                                <w:rFonts w:asciiTheme="minorHAnsi" w:eastAsiaTheme="minorEastAsia" w:hAnsiTheme="minorHAnsi" w:cstheme="minorBidi"/>
                                <w:b w:val="0"/>
                                <w:bCs/>
                                <w:kern w:val="0"/>
                                <w:sz w:val="50"/>
                                <w:szCs w:val="50"/>
                              </w:rPr>
                              <w:t>Strategic Investment Plan for the</w:t>
                            </w:r>
                            <w:r w:rsidR="00195E7B">
                              <w:rPr>
                                <w:rFonts w:asciiTheme="minorHAnsi" w:eastAsiaTheme="minorEastAsia" w:hAnsiTheme="minorHAnsi" w:cstheme="minorBidi"/>
                                <w:b w:val="0"/>
                                <w:bCs/>
                                <w:kern w:val="0"/>
                                <w:sz w:val="50"/>
                                <w:szCs w:val="50"/>
                              </w:rPr>
                              <w:t xml:space="preserve"> </w:t>
                            </w:r>
                            <w:r w:rsidR="00104DE7" w:rsidRPr="00195E7B">
                              <w:rPr>
                                <w:rFonts w:asciiTheme="minorHAnsi" w:eastAsiaTheme="minorEastAsia" w:hAnsiTheme="minorHAnsi" w:cstheme="minorBidi"/>
                                <w:b w:val="0"/>
                                <w:bCs/>
                                <w:kern w:val="0"/>
                                <w:sz w:val="50"/>
                                <w:szCs w:val="50"/>
                              </w:rPr>
                              <w:t>Sexually Transmissible Infections and Blood Borne Viruses (STIBBV)</w:t>
                            </w:r>
                            <w:r w:rsidRPr="00195E7B">
                              <w:rPr>
                                <w:rFonts w:asciiTheme="minorHAnsi" w:eastAsiaTheme="minorEastAsia" w:hAnsiTheme="minorHAnsi" w:cstheme="minorBidi"/>
                                <w:b w:val="0"/>
                                <w:bCs/>
                                <w:kern w:val="0"/>
                                <w:sz w:val="50"/>
                                <w:szCs w:val="50"/>
                              </w:rPr>
                              <w:t xml:space="preserve"> </w:t>
                            </w:r>
                            <w:r w:rsidR="00135776">
                              <w:rPr>
                                <w:rFonts w:asciiTheme="minorHAnsi" w:eastAsiaTheme="minorEastAsia" w:hAnsiTheme="minorHAnsi" w:cstheme="minorBidi"/>
                                <w:b w:val="0"/>
                                <w:bCs/>
                                <w:kern w:val="0"/>
                                <w:sz w:val="50"/>
                                <w:szCs w:val="50"/>
                              </w:rPr>
                              <w:t>S</w:t>
                            </w:r>
                            <w:r w:rsidRPr="00195E7B">
                              <w:rPr>
                                <w:rFonts w:asciiTheme="minorHAnsi" w:eastAsiaTheme="minorEastAsia" w:hAnsiTheme="minorHAnsi" w:cstheme="minorBidi"/>
                                <w:b w:val="0"/>
                                <w:bCs/>
                                <w:kern w:val="0"/>
                                <w:sz w:val="50"/>
                                <w:szCs w:val="50"/>
                              </w:rPr>
                              <w:t>ubsector</w:t>
                            </w:r>
                          </w:p>
                          <w:p w14:paraId="098B987E" w14:textId="77777777" w:rsidR="00FE0085" w:rsidRPr="00FE0085" w:rsidRDefault="00FE0085" w:rsidP="00FE0085"/>
                          <w:p w14:paraId="4B65D989" w14:textId="60A2B8DC" w:rsidR="00623AB4" w:rsidRPr="00AB004C" w:rsidRDefault="00135776" w:rsidP="00623AB4">
                            <w:pPr>
                              <w:rPr>
                                <w:color w:val="FFFFFF" w:themeColor="background1"/>
                                <w:sz w:val="36"/>
                                <w:szCs w:val="32"/>
                              </w:rPr>
                            </w:pPr>
                            <w:r>
                              <w:rPr>
                                <w:color w:val="FFFFFF" w:themeColor="background1"/>
                                <w:sz w:val="36"/>
                                <w:szCs w:val="32"/>
                              </w:rPr>
                              <w:t>October</w:t>
                            </w:r>
                            <w:r w:rsidR="00195E7B" w:rsidRPr="00AB004C">
                              <w:rPr>
                                <w:color w:val="FFFFFF" w:themeColor="background1"/>
                                <w:sz w:val="36"/>
                                <w:szCs w:val="32"/>
                              </w:rPr>
                              <w:t xml:space="preserve"> 2023</w:t>
                            </w:r>
                          </w:p>
                          <w:p w14:paraId="44B3EBB4" w14:textId="77777777" w:rsidR="00DB162B" w:rsidRDefault="00DB162B" w:rsidP="006C70C4">
                            <w:pPr>
                              <w:pStyle w:val="Title"/>
                              <w:spacing w:after="0"/>
                              <w:ind w:left="1440"/>
                              <w:rPr>
                                <w:rFonts w:asciiTheme="minorHAnsi" w:eastAsiaTheme="minorEastAsia" w:hAnsiTheme="minorHAnsi" w:cstheme="minorBidi"/>
                                <w:b w:val="0"/>
                                <w:bCs/>
                                <w:kern w:val="0"/>
                                <w:sz w:val="50"/>
                                <w:szCs w:val="50"/>
                              </w:rPr>
                            </w:pPr>
                          </w:p>
                          <w:p w14:paraId="1676502B" w14:textId="77777777" w:rsidR="00DB162B" w:rsidRDefault="00DB162B" w:rsidP="006C70C4">
                            <w:pPr>
                              <w:pStyle w:val="Title"/>
                              <w:spacing w:after="0"/>
                              <w:ind w:left="1440"/>
                              <w:rPr>
                                <w:rFonts w:asciiTheme="minorHAnsi" w:eastAsiaTheme="minorEastAsia" w:hAnsiTheme="minorHAnsi" w:cstheme="minorBidi"/>
                                <w:b w:val="0"/>
                                <w:bCs/>
                                <w:kern w:val="0"/>
                                <w:sz w:val="50"/>
                                <w:szCs w:val="50"/>
                              </w:rPr>
                            </w:pPr>
                          </w:p>
                          <w:p w14:paraId="4B874B55" w14:textId="77777777" w:rsidR="00DB162B" w:rsidRDefault="00DB162B" w:rsidP="006C70C4">
                            <w:pPr>
                              <w:pStyle w:val="Title"/>
                              <w:spacing w:after="0"/>
                              <w:ind w:left="1440"/>
                              <w:rPr>
                                <w:rFonts w:asciiTheme="minorHAnsi" w:eastAsiaTheme="minorEastAsia" w:hAnsiTheme="minorHAnsi" w:cstheme="minorBidi"/>
                                <w:b w:val="0"/>
                                <w:bCs/>
                                <w:kern w:val="0"/>
                                <w:sz w:val="50"/>
                                <w:szCs w:val="50"/>
                              </w:rPr>
                            </w:pPr>
                          </w:p>
                          <w:p w14:paraId="644213D6" w14:textId="77777777" w:rsidR="00DB162B" w:rsidRDefault="00DB162B" w:rsidP="006C70C4">
                            <w:pPr>
                              <w:pStyle w:val="Title"/>
                              <w:spacing w:after="0"/>
                              <w:ind w:left="1440"/>
                              <w:rPr>
                                <w:rFonts w:asciiTheme="minorHAnsi" w:eastAsiaTheme="minorEastAsia" w:hAnsiTheme="minorHAnsi" w:cstheme="minorBidi"/>
                                <w:b w:val="0"/>
                                <w:bCs/>
                                <w:kern w:val="0"/>
                                <w:sz w:val="50"/>
                                <w:szCs w:val="50"/>
                              </w:rPr>
                            </w:pPr>
                          </w:p>
                          <w:p w14:paraId="78813DDF" w14:textId="77777777" w:rsidR="00DB162B" w:rsidRDefault="00DB162B" w:rsidP="006C70C4">
                            <w:pPr>
                              <w:pStyle w:val="Title"/>
                              <w:spacing w:after="0"/>
                              <w:ind w:left="1440"/>
                              <w:rPr>
                                <w:rFonts w:asciiTheme="minorHAnsi" w:eastAsiaTheme="minorEastAsia" w:hAnsiTheme="minorHAnsi" w:cstheme="minorBidi"/>
                                <w:b w:val="0"/>
                                <w:bCs/>
                                <w:kern w:val="0"/>
                                <w:sz w:val="50"/>
                                <w:szCs w:val="50"/>
                              </w:rPr>
                            </w:pPr>
                          </w:p>
                          <w:p w14:paraId="3926CA31" w14:textId="77777777" w:rsidR="00862227" w:rsidRDefault="00862227"/>
                          <w:p w14:paraId="0F91F564" w14:textId="4D79305E" w:rsidR="00A47BB5" w:rsidRPr="000F6C81" w:rsidRDefault="00A47BB5" w:rsidP="00D17F50">
                            <w:pPr>
                              <w:pStyle w:val="Title"/>
                              <w:spacing w:after="0"/>
                              <w:rPr>
                                <w:rFonts w:asciiTheme="minorHAnsi" w:eastAsiaTheme="minorEastAsia" w:hAnsiTheme="minorHAnsi" w:cstheme="minorBidi"/>
                                <w:b w:val="0"/>
                                <w:bCs/>
                                <w:kern w:val="0"/>
                                <w:sz w:val="50"/>
                                <w:szCs w:val="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09067" id="_x0000_t202" coordsize="21600,21600" o:spt="202" path="m,l,21600r21600,l21600,xe">
                <v:stroke joinstyle="miter"/>
                <v:path gradientshapeok="t" o:connecttype="rect"/>
              </v:shapetype>
              <v:shape id="Text Box 11" o:spid="_x0000_s1026" type="#_x0000_t202" style="position:absolute;margin-left:355.3pt;margin-top:118.05pt;width:406.5pt;height:463.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wfIQIAAEYEAAAOAAAAZHJzL2Uyb0RvYy54bWysU02P2jAQvVfqf7B8LwEKlI0IK7orqkpo&#10;dyW22rNxbBLV9ri2Idn++o6d8NFtT1UvzkxmPB/vPS9uW63IUThfgynoaDCkRBgOZW32Bf32vP4w&#10;p8QHZkqmwIiCvgpPb5fv3y0am4sxVKBK4QgWMT5vbEGrEGyeZZ5XQjM/ACsMBiU4zQK6bp+VjjVY&#10;XatsPBzOsgZcaR1w4T3+ve+CdJnqSyl4eJTSi0BUQXG2kE6Xzl08s+WC5XvHbFXzfgz2D1NoVhts&#10;ei51zwIjB1f/UUrX3IEHGQYcdAZS1lykHXCb0fDNNtuKWZF2QXC8PcPk/19Z/nDc2idHQvsZWiQw&#10;LeHtBvh3j9hkjfV5nxMx9bnH7LhoK52OX1yB4EXE9vWMp2gD4fhzOpqNp1MMcYxN5/PZBJ1Y9XLd&#10;Oh++CNAkGgV1SFgagR03PnSpp5TYzcC6ViqRpgxpCjr7iCV/i2BxZfrJu2Hj2KHdtXgtmjsoX3Fj&#10;B50YvOXrGptvmA9PzCH7ODAqOjziIRVgE+gtSipwP//2P+YjKRilpEE1FdT/ODAnKFFfDdJ1M5pM&#10;ovySM5l+GqPjriO764g56DtAwY7w7ViezJgf1MmUDvQLCn8Vu2KIGY69CxpO5l3oNI4Ph4vVKiWh&#10;4CwLG7O1/ER0hPa5fWHO9vgHpO4BTrpj+RsautwO7tUhgKwTRxdUe9xRrInl/mHF13Dtp6zL81/+&#10;AgAA//8DAFBLAwQUAAYACAAAACEA+evrb+AAAAAJAQAADwAAAGRycy9kb3ducmV2LnhtbEyPwU7D&#10;MBBE70j8g7VI3KjjRERRiFNVkSokBIeWXrg5sZtE2OsQu23g61lO9Lgzo9k31Xpxlp3NHEaPEsQq&#10;AWaw83rEXsLhfftQAAtRoVbWo5HwbQKs69ubSpXaX3BnzvvYMyrBUCoJQ4xTyXnoBuNUWPnJIHlH&#10;PzsV6Zx7rmd1oXJneZokOXdqRPowqMk0g+k+9ycn4aXZvqldm7rixzbPr8fN9HX4eJTy/m7ZPAGL&#10;Zon/YfjDJ3Soian1J9SBWQk0JEpIs1wAI7sQGSkt5USeCeB1xa8X1L8AAAD//wMAUEsBAi0AFAAG&#10;AAgAAAAhALaDOJL+AAAA4QEAABMAAAAAAAAAAAAAAAAAAAAAAFtDb250ZW50X1R5cGVzXS54bWxQ&#10;SwECLQAUAAYACAAAACEAOP0h/9YAAACUAQAACwAAAAAAAAAAAAAAAAAvAQAAX3JlbHMvLnJlbHNQ&#10;SwECLQAUAAYACAAAACEAdSY8HyECAABGBAAADgAAAAAAAAAAAAAAAAAuAgAAZHJzL2Uyb0RvYy54&#10;bWxQSwECLQAUAAYACAAAACEA+evrb+AAAAAJAQAADwAAAAAAAAAAAAAAAAB7BAAAZHJzL2Rvd25y&#10;ZXYueG1sUEsFBgAAAAAEAAQA8wAAAIgFAAAAAA==&#10;" filled="f" stroked="f" strokeweight=".5pt">
                <v:textbox>
                  <w:txbxContent>
                    <w:p w14:paraId="474039D2" w14:textId="25CE5ECE" w:rsidR="00DB162B" w:rsidRDefault="000D409C" w:rsidP="00D17F50">
                      <w:pPr>
                        <w:pStyle w:val="Title"/>
                        <w:spacing w:after="0"/>
                      </w:pPr>
                      <w:r w:rsidRPr="000F6C81">
                        <w:t xml:space="preserve">Commissioning </w:t>
                      </w:r>
                      <w:r w:rsidR="00A47BB5" w:rsidRPr="000F6C81">
                        <w:t xml:space="preserve">for Outcomes </w:t>
                      </w:r>
                    </w:p>
                    <w:p w14:paraId="0B81B1B8" w14:textId="219944D4" w:rsidR="00A47BB5" w:rsidRPr="00195E7B" w:rsidRDefault="00DB162B" w:rsidP="00D17F50">
                      <w:pPr>
                        <w:pStyle w:val="Title"/>
                        <w:spacing w:after="0"/>
                        <w:rPr>
                          <w:rFonts w:asciiTheme="minorHAnsi" w:eastAsiaTheme="minorEastAsia" w:hAnsiTheme="minorHAnsi" w:cstheme="minorBidi"/>
                          <w:b w:val="0"/>
                          <w:bCs/>
                          <w:kern w:val="0"/>
                          <w:sz w:val="50"/>
                          <w:szCs w:val="50"/>
                        </w:rPr>
                      </w:pPr>
                      <w:r>
                        <w:rPr>
                          <w:rFonts w:asciiTheme="minorHAnsi" w:eastAsiaTheme="minorEastAsia" w:hAnsiTheme="minorHAnsi" w:cstheme="minorBidi"/>
                          <w:b w:val="0"/>
                          <w:bCs/>
                          <w:kern w:val="0"/>
                          <w:sz w:val="50"/>
                          <w:szCs w:val="50"/>
                        </w:rPr>
                        <w:t>Strategic Investment Plan for the</w:t>
                      </w:r>
                      <w:r w:rsidR="00195E7B">
                        <w:rPr>
                          <w:rFonts w:asciiTheme="minorHAnsi" w:eastAsiaTheme="minorEastAsia" w:hAnsiTheme="minorHAnsi" w:cstheme="minorBidi"/>
                          <w:b w:val="0"/>
                          <w:bCs/>
                          <w:kern w:val="0"/>
                          <w:sz w:val="50"/>
                          <w:szCs w:val="50"/>
                        </w:rPr>
                        <w:t xml:space="preserve"> </w:t>
                      </w:r>
                      <w:r w:rsidR="00104DE7" w:rsidRPr="00195E7B">
                        <w:rPr>
                          <w:rFonts w:asciiTheme="minorHAnsi" w:eastAsiaTheme="minorEastAsia" w:hAnsiTheme="minorHAnsi" w:cstheme="minorBidi"/>
                          <w:b w:val="0"/>
                          <w:bCs/>
                          <w:kern w:val="0"/>
                          <w:sz w:val="50"/>
                          <w:szCs w:val="50"/>
                        </w:rPr>
                        <w:t>Sexually Transmissible Infections and Blood Borne Viruses (STIBBV)</w:t>
                      </w:r>
                      <w:r w:rsidRPr="00195E7B">
                        <w:rPr>
                          <w:rFonts w:asciiTheme="minorHAnsi" w:eastAsiaTheme="minorEastAsia" w:hAnsiTheme="minorHAnsi" w:cstheme="minorBidi"/>
                          <w:b w:val="0"/>
                          <w:bCs/>
                          <w:kern w:val="0"/>
                          <w:sz w:val="50"/>
                          <w:szCs w:val="50"/>
                        </w:rPr>
                        <w:t xml:space="preserve"> </w:t>
                      </w:r>
                      <w:r w:rsidR="00135776">
                        <w:rPr>
                          <w:rFonts w:asciiTheme="minorHAnsi" w:eastAsiaTheme="minorEastAsia" w:hAnsiTheme="minorHAnsi" w:cstheme="minorBidi"/>
                          <w:b w:val="0"/>
                          <w:bCs/>
                          <w:kern w:val="0"/>
                          <w:sz w:val="50"/>
                          <w:szCs w:val="50"/>
                        </w:rPr>
                        <w:t>S</w:t>
                      </w:r>
                      <w:r w:rsidRPr="00195E7B">
                        <w:rPr>
                          <w:rFonts w:asciiTheme="minorHAnsi" w:eastAsiaTheme="minorEastAsia" w:hAnsiTheme="minorHAnsi" w:cstheme="minorBidi"/>
                          <w:b w:val="0"/>
                          <w:bCs/>
                          <w:kern w:val="0"/>
                          <w:sz w:val="50"/>
                          <w:szCs w:val="50"/>
                        </w:rPr>
                        <w:t>ubsector</w:t>
                      </w:r>
                    </w:p>
                    <w:p w14:paraId="098B987E" w14:textId="77777777" w:rsidR="00FE0085" w:rsidRPr="00FE0085" w:rsidRDefault="00FE0085" w:rsidP="00FE0085"/>
                    <w:p w14:paraId="4B65D989" w14:textId="60A2B8DC" w:rsidR="00623AB4" w:rsidRPr="00AB004C" w:rsidRDefault="00135776" w:rsidP="00623AB4">
                      <w:pPr>
                        <w:rPr>
                          <w:color w:val="FFFFFF" w:themeColor="background1"/>
                          <w:sz w:val="36"/>
                          <w:szCs w:val="32"/>
                        </w:rPr>
                      </w:pPr>
                      <w:r>
                        <w:rPr>
                          <w:color w:val="FFFFFF" w:themeColor="background1"/>
                          <w:sz w:val="36"/>
                          <w:szCs w:val="32"/>
                        </w:rPr>
                        <w:t>October</w:t>
                      </w:r>
                      <w:r w:rsidR="00195E7B" w:rsidRPr="00AB004C">
                        <w:rPr>
                          <w:color w:val="FFFFFF" w:themeColor="background1"/>
                          <w:sz w:val="36"/>
                          <w:szCs w:val="32"/>
                        </w:rPr>
                        <w:t xml:space="preserve"> 2023</w:t>
                      </w:r>
                    </w:p>
                    <w:p w14:paraId="44B3EBB4" w14:textId="77777777" w:rsidR="00DB162B" w:rsidRDefault="00DB162B" w:rsidP="006C70C4">
                      <w:pPr>
                        <w:pStyle w:val="Title"/>
                        <w:spacing w:after="0"/>
                        <w:ind w:left="1440"/>
                        <w:rPr>
                          <w:rFonts w:asciiTheme="minorHAnsi" w:eastAsiaTheme="minorEastAsia" w:hAnsiTheme="minorHAnsi" w:cstheme="minorBidi"/>
                          <w:b w:val="0"/>
                          <w:bCs/>
                          <w:kern w:val="0"/>
                          <w:sz w:val="50"/>
                          <w:szCs w:val="50"/>
                        </w:rPr>
                      </w:pPr>
                    </w:p>
                    <w:p w14:paraId="1676502B" w14:textId="77777777" w:rsidR="00DB162B" w:rsidRDefault="00DB162B" w:rsidP="006C70C4">
                      <w:pPr>
                        <w:pStyle w:val="Title"/>
                        <w:spacing w:after="0"/>
                        <w:ind w:left="1440"/>
                        <w:rPr>
                          <w:rFonts w:asciiTheme="minorHAnsi" w:eastAsiaTheme="minorEastAsia" w:hAnsiTheme="minorHAnsi" w:cstheme="minorBidi"/>
                          <w:b w:val="0"/>
                          <w:bCs/>
                          <w:kern w:val="0"/>
                          <w:sz w:val="50"/>
                          <w:szCs w:val="50"/>
                        </w:rPr>
                      </w:pPr>
                    </w:p>
                    <w:p w14:paraId="4B874B55" w14:textId="77777777" w:rsidR="00DB162B" w:rsidRDefault="00DB162B" w:rsidP="006C70C4">
                      <w:pPr>
                        <w:pStyle w:val="Title"/>
                        <w:spacing w:after="0"/>
                        <w:ind w:left="1440"/>
                        <w:rPr>
                          <w:rFonts w:asciiTheme="minorHAnsi" w:eastAsiaTheme="minorEastAsia" w:hAnsiTheme="minorHAnsi" w:cstheme="minorBidi"/>
                          <w:b w:val="0"/>
                          <w:bCs/>
                          <w:kern w:val="0"/>
                          <w:sz w:val="50"/>
                          <w:szCs w:val="50"/>
                        </w:rPr>
                      </w:pPr>
                    </w:p>
                    <w:p w14:paraId="644213D6" w14:textId="77777777" w:rsidR="00DB162B" w:rsidRDefault="00DB162B" w:rsidP="006C70C4">
                      <w:pPr>
                        <w:pStyle w:val="Title"/>
                        <w:spacing w:after="0"/>
                        <w:ind w:left="1440"/>
                        <w:rPr>
                          <w:rFonts w:asciiTheme="minorHAnsi" w:eastAsiaTheme="minorEastAsia" w:hAnsiTheme="minorHAnsi" w:cstheme="minorBidi"/>
                          <w:b w:val="0"/>
                          <w:bCs/>
                          <w:kern w:val="0"/>
                          <w:sz w:val="50"/>
                          <w:szCs w:val="50"/>
                        </w:rPr>
                      </w:pPr>
                    </w:p>
                    <w:p w14:paraId="78813DDF" w14:textId="77777777" w:rsidR="00DB162B" w:rsidRDefault="00DB162B" w:rsidP="006C70C4">
                      <w:pPr>
                        <w:pStyle w:val="Title"/>
                        <w:spacing w:after="0"/>
                        <w:ind w:left="1440"/>
                        <w:rPr>
                          <w:rFonts w:asciiTheme="minorHAnsi" w:eastAsiaTheme="minorEastAsia" w:hAnsiTheme="minorHAnsi" w:cstheme="minorBidi"/>
                          <w:b w:val="0"/>
                          <w:bCs/>
                          <w:kern w:val="0"/>
                          <w:sz w:val="50"/>
                          <w:szCs w:val="50"/>
                        </w:rPr>
                      </w:pPr>
                    </w:p>
                    <w:p w14:paraId="3926CA31" w14:textId="77777777" w:rsidR="00862227" w:rsidRDefault="00862227"/>
                    <w:p w14:paraId="0F91F564" w14:textId="4D79305E" w:rsidR="00A47BB5" w:rsidRPr="000F6C81" w:rsidRDefault="00A47BB5" w:rsidP="00D17F50">
                      <w:pPr>
                        <w:pStyle w:val="Title"/>
                        <w:spacing w:after="0"/>
                        <w:rPr>
                          <w:rFonts w:asciiTheme="minorHAnsi" w:eastAsiaTheme="minorEastAsia" w:hAnsiTheme="minorHAnsi" w:cstheme="minorBidi"/>
                          <w:b w:val="0"/>
                          <w:bCs/>
                          <w:kern w:val="0"/>
                          <w:sz w:val="50"/>
                          <w:szCs w:val="50"/>
                        </w:rPr>
                      </w:pPr>
                    </w:p>
                  </w:txbxContent>
                </v:textbox>
                <w10:wrap anchorx="margin"/>
              </v:shape>
            </w:pict>
          </mc:Fallback>
        </mc:AlternateContent>
      </w:r>
      <w:r w:rsidRPr="003427C1">
        <w:rPr>
          <w:noProof/>
        </w:rPr>
        <mc:AlternateContent>
          <mc:Choice Requires="wps">
            <w:drawing>
              <wp:anchor distT="0" distB="0" distL="114300" distR="114300" simplePos="0" relativeHeight="251658242" behindDoc="0" locked="0" layoutInCell="1" allowOverlap="1" wp14:anchorId="635171F2" wp14:editId="06AFB788">
                <wp:simplePos x="0" y="0"/>
                <wp:positionH relativeFrom="column">
                  <wp:posOffset>-51435</wp:posOffset>
                </wp:positionH>
                <wp:positionV relativeFrom="paragraph">
                  <wp:posOffset>8962390</wp:posOffset>
                </wp:positionV>
                <wp:extent cx="5080000"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457200"/>
                        </a:xfrm>
                        <a:prstGeom prst="rect">
                          <a:avLst/>
                        </a:prstGeom>
                        <a:noFill/>
                        <a:ln w="6350">
                          <a:noFill/>
                        </a:ln>
                      </wps:spPr>
                      <wps:txbx>
                        <w:txbxContent>
                          <w:p w14:paraId="338739C5" w14:textId="73716FBA" w:rsidR="00222C35" w:rsidRPr="00825C83" w:rsidRDefault="00104DE7" w:rsidP="008F4C1C">
                            <w:pPr>
                              <w:pStyle w:val="Directoratename"/>
                            </w:pPr>
                            <w:r>
                              <w:t>ACT Health</w:t>
                            </w:r>
                            <w:r w:rsidR="00997FE3">
                              <w:t xml:space="preserve"> Directorate</w:t>
                            </w:r>
                            <w:r w:rsidR="00A47BB5">
                              <w:t xml:space="preserve">, </w:t>
                            </w:r>
                            <w:r>
                              <w:t>Population Health Division</w:t>
                            </w:r>
                          </w:p>
                          <w:p w14:paraId="65C000C6" w14:textId="77777777" w:rsidR="00862227" w:rsidRDefault="00862227"/>
                          <w:p w14:paraId="11EA8D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3CFB2D" w14:textId="77777777" w:rsidR="007669F4" w:rsidRDefault="007669F4"/>
                          <w:p w14:paraId="284B9D5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E0B506" w14:textId="77777777" w:rsidR="00862227" w:rsidRDefault="00862227"/>
                          <w:p w14:paraId="6216E6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171F2" id="Text Box 10" o:spid="_x0000_s1027" type="#_x0000_t202" style="position:absolute;margin-left:-4.05pt;margin-top:705.7pt;width:400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BJJgIAAEwEAAAOAAAAZHJzL2Uyb0RvYy54bWysVMtu2zAQvBfoPxC815JTO00Fy4GbwEUB&#10;IwngFDnTFGkLpbjskraUfn2XlPxA2lNRH+gld7mPmaFmt11j2EGhr8GWfDzKOVNWQlXbbcm/Py8/&#10;3HDmg7CVMGBVyV+V57fz9+9mrSvUFezAVAoZJbG+aF3JdyG4Isu83KlG+BE4ZcmpARsRaIvbrELR&#10;UvbGZFd5fp21gJVDkMp7Or3vnXye8mutZHjU2qvATMmpt5BWTOsmrtl8JootCrer5dCG+IcuGlFb&#10;KnpKdS+CYHus/0jV1BLBgw4jCU0GWtdSpRlomnH+Zpr1TjiVZiFwvDvB5P9fWvlwWLsnZKH7Ah0R&#10;mIbwbgXyhydsstb5YoiJmPrCU3QctNPYxH8agdFFwvb1hKfqApN0OM1vcvpxJsk3mX4iwiLg2fm2&#10;Qx++KmhYNEqOxFfqQBxWPvShx5BYzMKyNiZxZixrS379cZqnCycPJTd2aLzvNXYduk3H6ioOSLfj&#10;yQaqV5oboZeEd3JZUw8r4cOTQNIAtU26Do+0aANUCwaLsx3gr7+dx3iihryctaSpkvufe4GKM/PN&#10;Emmfx5NJFGHaJDw4w0vP5tJj980dkGzH9IKcTCZdxmCOpkZoXkj+i1iVXMJKql3ycDTvQq90ej5S&#10;LRYpiGTnRFjZtZNHuiPCz92LQDfQEIjABziqTxRv2Ohjez4W+wC6TlSdUR3gJ8kmsofnFd/E5T5F&#10;nT8C898AAAD//wMAUEsDBBQABgAIAAAAIQAACVWG4wAAAAwBAAAPAAAAZHJzL2Rvd25yZXYueG1s&#10;TI/LTsMwEEX3SPyDNUjsWsclQBriVFWkCgnBoqUbdpN4mkT4EWK3DXw97gqWc+fozpliNRnNTjT6&#10;3lkJYp4AI9s41dtWwv59M8uA+YBWoXaWJHyTh1V5fVVgrtzZbum0Cy2LJdbnKKELYcg5901HBv3c&#10;DWTj7uBGgyGOY8vViOdYbjRfJMkDN9jbeKHDgaqOms/d0Uh4qTZvuK0XJvvR1fPrYT187T/upby9&#10;mdZPwAJN4Q+Gi35UhzI61e5olWdawiwTkYx5KkQKLBKPS7EEVl+i7C4FXhb8/xPlLwAAAP//AwBQ&#10;SwECLQAUAAYACAAAACEAtoM4kv4AAADhAQAAEwAAAAAAAAAAAAAAAAAAAAAAW0NvbnRlbnRfVHlw&#10;ZXNdLnhtbFBLAQItABQABgAIAAAAIQA4/SH/1gAAAJQBAAALAAAAAAAAAAAAAAAAAC8BAABfcmVs&#10;cy8ucmVsc1BLAQItABQABgAIAAAAIQCL3aBJJgIAAEwEAAAOAAAAAAAAAAAAAAAAAC4CAABkcnMv&#10;ZTJvRG9jLnhtbFBLAQItABQABgAIAAAAIQAACVWG4wAAAAwBAAAPAAAAAAAAAAAAAAAAAIAEAABk&#10;cnMvZG93bnJldi54bWxQSwUGAAAAAAQABADzAAAAkAUAAAAA&#10;" filled="f" stroked="f" strokeweight=".5pt">
                <v:textbox>
                  <w:txbxContent>
                    <w:p w14:paraId="338739C5" w14:textId="73716FBA" w:rsidR="00222C35" w:rsidRPr="00825C83" w:rsidRDefault="00104DE7" w:rsidP="008F4C1C">
                      <w:pPr>
                        <w:pStyle w:val="Directoratename"/>
                      </w:pPr>
                      <w:r>
                        <w:t>ACT Health</w:t>
                      </w:r>
                      <w:r w:rsidR="00997FE3">
                        <w:t xml:space="preserve"> Directorate</w:t>
                      </w:r>
                      <w:r w:rsidR="00A47BB5">
                        <w:t xml:space="preserve">, </w:t>
                      </w:r>
                      <w:r>
                        <w:t>Population Health Division</w:t>
                      </w:r>
                    </w:p>
                    <w:p w14:paraId="65C000C6" w14:textId="77777777" w:rsidR="00862227" w:rsidRDefault="00862227"/>
                    <w:p w14:paraId="11EA8D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3CFB2D" w14:textId="77777777" w:rsidR="007669F4" w:rsidRDefault="007669F4"/>
                    <w:p w14:paraId="284B9D5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E0B506" w14:textId="77777777" w:rsidR="00862227" w:rsidRDefault="00862227"/>
                    <w:p w14:paraId="6216E6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txbxContent>
                </v:textbox>
              </v:shape>
            </w:pict>
          </mc:Fallback>
        </mc:AlternateContent>
      </w:r>
      <w:r w:rsidR="00825C83" w:rsidRPr="003427C1">
        <w:rPr>
          <w:noProof/>
        </w:rPr>
        <w:drawing>
          <wp:anchor distT="0" distB="0" distL="114300" distR="114300" simplePos="0" relativeHeight="251658240" behindDoc="1" locked="0" layoutInCell="1" allowOverlap="1" wp14:anchorId="7838AA5C" wp14:editId="7CFDA268">
            <wp:simplePos x="0" y="0"/>
            <wp:positionH relativeFrom="column">
              <wp:posOffset>-364490</wp:posOffset>
            </wp:positionH>
            <wp:positionV relativeFrom="paragraph">
              <wp:posOffset>-434340</wp:posOffset>
            </wp:positionV>
            <wp:extent cx="6885305" cy="1069022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1" r:link="rId22">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8E3B95" w:rsidRPr="003427C1">
        <w:rPr>
          <w:noProof/>
          <w:color w:val="000000" w:themeColor="text1"/>
        </w:rPr>
        <w:drawing>
          <wp:anchor distT="0" distB="0" distL="114300" distR="114300" simplePos="0" relativeHeight="251658241" behindDoc="0" locked="0" layoutInCell="1" allowOverlap="1" wp14:anchorId="61CEEF2A" wp14:editId="47E3FB8E">
            <wp:simplePos x="0" y="0"/>
            <wp:positionH relativeFrom="margin">
              <wp:align>left</wp:align>
            </wp:positionH>
            <wp:positionV relativeFrom="paragraph">
              <wp:posOffset>187325</wp:posOffset>
            </wp:positionV>
            <wp:extent cx="1753235" cy="899795"/>
            <wp:effectExtent l="0" t="0" r="0" b="0"/>
            <wp:wrapNone/>
            <wp:docPr id="16" name="Picture 16"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53235" cy="899795"/>
                    </a:xfrm>
                    <a:prstGeom prst="rect">
                      <a:avLst/>
                    </a:prstGeom>
                  </pic:spPr>
                </pic:pic>
              </a:graphicData>
            </a:graphic>
            <wp14:sizeRelH relativeFrom="page">
              <wp14:pctWidth>0</wp14:pctWidth>
            </wp14:sizeRelH>
            <wp14:sizeRelV relativeFrom="page">
              <wp14:pctHeight>0</wp14:pctHeight>
            </wp14:sizeRelV>
          </wp:anchor>
        </w:drawing>
      </w:r>
      <w:r w:rsidR="00AF59B7">
        <w:t xml:space="preserve"> </w:t>
      </w:r>
      <w:r w:rsidR="005E69BD">
        <w:br w:type="page"/>
      </w:r>
    </w:p>
    <w:p w14:paraId="3FF8ECDE" w14:textId="77777777" w:rsidR="000730D0" w:rsidRPr="000730D0" w:rsidRDefault="000730D0" w:rsidP="000730D0">
      <w:pPr>
        <w:rPr>
          <w:b/>
          <w:bCs/>
          <w:color w:val="7030A0"/>
          <w:sz w:val="28"/>
          <w:szCs w:val="28"/>
        </w:rPr>
      </w:pPr>
      <w:r w:rsidRPr="000730D0">
        <w:rPr>
          <w:b/>
          <w:bCs/>
          <w:color w:val="7030A0"/>
          <w:sz w:val="28"/>
          <w:szCs w:val="28"/>
        </w:rPr>
        <w:lastRenderedPageBreak/>
        <w:t>Table of Contents</w:t>
      </w:r>
    </w:p>
    <w:p w14:paraId="26AB153E" w14:textId="086D0B6F" w:rsidR="00C32A00" w:rsidRDefault="000730D0">
      <w:pPr>
        <w:pStyle w:val="TOC1"/>
        <w:rPr>
          <w:rFonts w:asciiTheme="minorHAnsi" w:eastAsiaTheme="minorEastAsia" w:hAnsiTheme="minorHAnsi" w:cstheme="minorBidi"/>
          <w:noProof/>
          <w:szCs w:val="22"/>
          <w:lang w:eastAsia="en-AU"/>
        </w:rPr>
      </w:pPr>
      <w:r w:rsidRPr="0083237C">
        <w:fldChar w:fldCharType="begin"/>
      </w:r>
      <w:r w:rsidRPr="000730D0">
        <w:instrText xml:space="preserve"> TOC \h \z \t "Heading 1,1,Heading 4,2" </w:instrText>
      </w:r>
      <w:r w:rsidRPr="0083237C">
        <w:fldChar w:fldCharType="separate"/>
      </w:r>
      <w:hyperlink w:anchor="_Toc144494372" w:history="1">
        <w:r w:rsidR="00C32A00" w:rsidRPr="00A60165">
          <w:rPr>
            <w:rStyle w:val="Hyperlink"/>
            <w:noProof/>
          </w:rPr>
          <w:t>Commonly used terms</w:t>
        </w:r>
        <w:r w:rsidR="00C32A00">
          <w:rPr>
            <w:noProof/>
            <w:webHidden/>
          </w:rPr>
          <w:tab/>
        </w:r>
        <w:r w:rsidR="00C32A00" w:rsidRPr="0083237C">
          <w:rPr>
            <w:webHidden/>
          </w:rPr>
          <w:fldChar w:fldCharType="begin"/>
        </w:r>
        <w:r w:rsidR="00C32A00">
          <w:rPr>
            <w:noProof/>
            <w:webHidden/>
          </w:rPr>
          <w:instrText xml:space="preserve"> PAGEREF _Toc144494372 \h </w:instrText>
        </w:r>
        <w:r w:rsidR="00C32A00" w:rsidRPr="0083237C">
          <w:rPr>
            <w:webHidden/>
          </w:rPr>
        </w:r>
        <w:r w:rsidR="00C32A00" w:rsidRPr="0083237C">
          <w:rPr>
            <w:webHidden/>
          </w:rPr>
          <w:fldChar w:fldCharType="separate"/>
        </w:r>
        <w:r w:rsidR="00C32A00">
          <w:rPr>
            <w:noProof/>
            <w:webHidden/>
          </w:rPr>
          <w:t>3</w:t>
        </w:r>
        <w:r w:rsidR="00C32A00" w:rsidRPr="0083237C">
          <w:rPr>
            <w:webHidden/>
          </w:rPr>
          <w:fldChar w:fldCharType="end"/>
        </w:r>
      </w:hyperlink>
    </w:p>
    <w:p w14:paraId="0C5AACCA" w14:textId="46EC65EB" w:rsidR="00C32A00" w:rsidRDefault="00DF26C1">
      <w:pPr>
        <w:pStyle w:val="TOC1"/>
        <w:rPr>
          <w:rFonts w:asciiTheme="minorHAnsi" w:eastAsiaTheme="minorEastAsia" w:hAnsiTheme="minorHAnsi" w:cstheme="minorBidi"/>
          <w:noProof/>
          <w:szCs w:val="22"/>
          <w:lang w:eastAsia="en-AU"/>
        </w:rPr>
      </w:pPr>
      <w:hyperlink w:anchor="_Toc144494373" w:history="1">
        <w:r w:rsidR="00C32A00" w:rsidRPr="00A60165">
          <w:rPr>
            <w:rStyle w:val="Hyperlink"/>
            <w:noProof/>
          </w:rPr>
          <w:t>Introduction</w:t>
        </w:r>
        <w:r w:rsidR="00C32A00">
          <w:rPr>
            <w:noProof/>
            <w:webHidden/>
          </w:rPr>
          <w:tab/>
        </w:r>
        <w:r w:rsidR="00C32A00" w:rsidRPr="0083237C">
          <w:rPr>
            <w:webHidden/>
          </w:rPr>
          <w:fldChar w:fldCharType="begin"/>
        </w:r>
        <w:r w:rsidR="00C32A00">
          <w:rPr>
            <w:noProof/>
            <w:webHidden/>
          </w:rPr>
          <w:instrText xml:space="preserve"> PAGEREF _Toc144494373 \h </w:instrText>
        </w:r>
        <w:r w:rsidR="00C32A00" w:rsidRPr="0083237C">
          <w:rPr>
            <w:webHidden/>
          </w:rPr>
        </w:r>
        <w:r w:rsidR="00C32A00" w:rsidRPr="0083237C">
          <w:rPr>
            <w:webHidden/>
          </w:rPr>
          <w:fldChar w:fldCharType="separate"/>
        </w:r>
        <w:r w:rsidR="00C32A00">
          <w:rPr>
            <w:noProof/>
            <w:webHidden/>
          </w:rPr>
          <w:t>4</w:t>
        </w:r>
        <w:r w:rsidR="00C32A00" w:rsidRPr="0083237C">
          <w:rPr>
            <w:webHidden/>
          </w:rPr>
          <w:fldChar w:fldCharType="end"/>
        </w:r>
      </w:hyperlink>
    </w:p>
    <w:p w14:paraId="0DA37CE1" w14:textId="7C52F1C6" w:rsidR="00C32A00" w:rsidRDefault="00DF26C1">
      <w:pPr>
        <w:pStyle w:val="TOC1"/>
        <w:rPr>
          <w:rFonts w:asciiTheme="minorHAnsi" w:eastAsiaTheme="minorEastAsia" w:hAnsiTheme="minorHAnsi" w:cstheme="minorBidi"/>
          <w:noProof/>
          <w:szCs w:val="22"/>
          <w:lang w:eastAsia="en-AU"/>
        </w:rPr>
      </w:pPr>
      <w:hyperlink w:anchor="_Toc144494374" w:history="1">
        <w:r w:rsidR="00C32A00" w:rsidRPr="00A60165">
          <w:rPr>
            <w:rStyle w:val="Hyperlink"/>
            <w:noProof/>
          </w:rPr>
          <w:t>STIBBV commissioning cycle in context</w:t>
        </w:r>
        <w:r w:rsidR="00C32A00">
          <w:rPr>
            <w:noProof/>
            <w:webHidden/>
          </w:rPr>
          <w:tab/>
        </w:r>
        <w:r w:rsidR="00C32A00" w:rsidRPr="0083237C">
          <w:rPr>
            <w:webHidden/>
          </w:rPr>
          <w:fldChar w:fldCharType="begin"/>
        </w:r>
        <w:r w:rsidR="00C32A00">
          <w:rPr>
            <w:noProof/>
            <w:webHidden/>
          </w:rPr>
          <w:instrText xml:space="preserve"> PAGEREF _Toc144494374 \h </w:instrText>
        </w:r>
        <w:r w:rsidR="00C32A00" w:rsidRPr="0083237C">
          <w:rPr>
            <w:webHidden/>
          </w:rPr>
        </w:r>
        <w:r w:rsidR="00C32A00" w:rsidRPr="0083237C">
          <w:rPr>
            <w:webHidden/>
          </w:rPr>
          <w:fldChar w:fldCharType="separate"/>
        </w:r>
        <w:r w:rsidR="00C32A00">
          <w:rPr>
            <w:noProof/>
            <w:webHidden/>
          </w:rPr>
          <w:t>4</w:t>
        </w:r>
        <w:r w:rsidR="00C32A00" w:rsidRPr="0083237C">
          <w:rPr>
            <w:webHidden/>
          </w:rPr>
          <w:fldChar w:fldCharType="end"/>
        </w:r>
      </w:hyperlink>
    </w:p>
    <w:p w14:paraId="53FA7FC1" w14:textId="59268174" w:rsidR="00C32A00" w:rsidRDefault="00DF26C1">
      <w:pPr>
        <w:pStyle w:val="TOC1"/>
        <w:rPr>
          <w:rFonts w:asciiTheme="minorHAnsi" w:eastAsiaTheme="minorEastAsia" w:hAnsiTheme="minorHAnsi" w:cstheme="minorBidi"/>
          <w:noProof/>
          <w:szCs w:val="22"/>
          <w:lang w:eastAsia="en-AU"/>
        </w:rPr>
      </w:pPr>
      <w:hyperlink w:anchor="_Toc144494375" w:history="1">
        <w:r w:rsidR="00C32A00" w:rsidRPr="00A60165">
          <w:rPr>
            <w:rStyle w:val="Hyperlink"/>
            <w:noProof/>
          </w:rPr>
          <w:t>Current STIBBV service sector</w:t>
        </w:r>
        <w:r w:rsidR="00C32A00">
          <w:rPr>
            <w:noProof/>
            <w:webHidden/>
          </w:rPr>
          <w:tab/>
        </w:r>
        <w:r w:rsidR="00C32A00" w:rsidRPr="0083237C">
          <w:rPr>
            <w:webHidden/>
          </w:rPr>
          <w:fldChar w:fldCharType="begin"/>
        </w:r>
        <w:r w:rsidR="00C32A00">
          <w:rPr>
            <w:noProof/>
            <w:webHidden/>
          </w:rPr>
          <w:instrText xml:space="preserve"> PAGEREF _Toc144494375 \h </w:instrText>
        </w:r>
        <w:r w:rsidR="00C32A00" w:rsidRPr="0083237C">
          <w:rPr>
            <w:webHidden/>
          </w:rPr>
        </w:r>
        <w:r w:rsidR="00C32A00" w:rsidRPr="0083237C">
          <w:rPr>
            <w:webHidden/>
          </w:rPr>
          <w:fldChar w:fldCharType="separate"/>
        </w:r>
        <w:r w:rsidR="00C32A00">
          <w:rPr>
            <w:noProof/>
            <w:webHidden/>
          </w:rPr>
          <w:t>5</w:t>
        </w:r>
        <w:r w:rsidR="00C32A00" w:rsidRPr="0083237C">
          <w:rPr>
            <w:webHidden/>
          </w:rPr>
          <w:fldChar w:fldCharType="end"/>
        </w:r>
      </w:hyperlink>
    </w:p>
    <w:p w14:paraId="4C03FBE9" w14:textId="108CBA23" w:rsidR="00C32A00" w:rsidRDefault="00DF26C1">
      <w:pPr>
        <w:pStyle w:val="TOC1"/>
        <w:rPr>
          <w:rFonts w:asciiTheme="minorHAnsi" w:eastAsiaTheme="minorEastAsia" w:hAnsiTheme="minorHAnsi" w:cstheme="minorBidi"/>
          <w:noProof/>
          <w:szCs w:val="22"/>
          <w:lang w:eastAsia="en-AU"/>
        </w:rPr>
      </w:pPr>
      <w:hyperlink w:anchor="_Toc144494376" w:history="1">
        <w:r w:rsidR="00C32A00" w:rsidRPr="00A60165">
          <w:rPr>
            <w:rStyle w:val="Hyperlink"/>
            <w:noProof/>
          </w:rPr>
          <w:t>STIBBV burden of disease</w:t>
        </w:r>
        <w:r w:rsidR="00C32A00">
          <w:rPr>
            <w:noProof/>
            <w:webHidden/>
          </w:rPr>
          <w:tab/>
        </w:r>
        <w:r w:rsidR="00C32A00" w:rsidRPr="0083237C">
          <w:rPr>
            <w:webHidden/>
          </w:rPr>
          <w:fldChar w:fldCharType="begin"/>
        </w:r>
        <w:r w:rsidR="00C32A00">
          <w:rPr>
            <w:noProof/>
            <w:webHidden/>
          </w:rPr>
          <w:instrText xml:space="preserve"> PAGEREF _Toc144494376 \h </w:instrText>
        </w:r>
        <w:r w:rsidR="00C32A00" w:rsidRPr="0083237C">
          <w:rPr>
            <w:webHidden/>
          </w:rPr>
        </w:r>
        <w:r w:rsidR="00C32A00" w:rsidRPr="0083237C">
          <w:rPr>
            <w:webHidden/>
          </w:rPr>
          <w:fldChar w:fldCharType="separate"/>
        </w:r>
        <w:r w:rsidR="00C32A00">
          <w:rPr>
            <w:noProof/>
            <w:webHidden/>
          </w:rPr>
          <w:t>5</w:t>
        </w:r>
        <w:r w:rsidR="00C32A00" w:rsidRPr="0083237C">
          <w:rPr>
            <w:webHidden/>
          </w:rPr>
          <w:fldChar w:fldCharType="end"/>
        </w:r>
      </w:hyperlink>
    </w:p>
    <w:p w14:paraId="4FE3E998" w14:textId="6D04753C" w:rsidR="00C32A00" w:rsidRDefault="00DF26C1">
      <w:pPr>
        <w:pStyle w:val="TOC1"/>
        <w:rPr>
          <w:rFonts w:asciiTheme="minorHAnsi" w:eastAsiaTheme="minorEastAsia" w:hAnsiTheme="minorHAnsi" w:cstheme="minorBidi"/>
          <w:noProof/>
          <w:szCs w:val="22"/>
          <w:lang w:eastAsia="en-AU"/>
        </w:rPr>
      </w:pPr>
      <w:hyperlink w:anchor="_Toc144494377" w:history="1">
        <w:r w:rsidR="00C32A00" w:rsidRPr="00A60165">
          <w:rPr>
            <w:rStyle w:val="Hyperlink"/>
            <w:noProof/>
          </w:rPr>
          <w:t>STIBBV investment milestones and timeline</w:t>
        </w:r>
        <w:r w:rsidR="00C32A00">
          <w:rPr>
            <w:noProof/>
            <w:webHidden/>
          </w:rPr>
          <w:tab/>
        </w:r>
        <w:r w:rsidR="00C32A00" w:rsidRPr="0083237C">
          <w:rPr>
            <w:webHidden/>
          </w:rPr>
          <w:fldChar w:fldCharType="begin"/>
        </w:r>
        <w:r w:rsidR="00C32A00">
          <w:rPr>
            <w:noProof/>
            <w:webHidden/>
          </w:rPr>
          <w:instrText xml:space="preserve"> PAGEREF _Toc144494377 \h </w:instrText>
        </w:r>
        <w:r w:rsidR="00C32A00" w:rsidRPr="0083237C">
          <w:rPr>
            <w:webHidden/>
          </w:rPr>
        </w:r>
        <w:r w:rsidR="00C32A00" w:rsidRPr="0083237C">
          <w:rPr>
            <w:webHidden/>
          </w:rPr>
          <w:fldChar w:fldCharType="separate"/>
        </w:r>
        <w:r w:rsidR="00C32A00">
          <w:rPr>
            <w:noProof/>
            <w:webHidden/>
          </w:rPr>
          <w:t>8</w:t>
        </w:r>
        <w:r w:rsidR="00C32A00" w:rsidRPr="0083237C">
          <w:rPr>
            <w:webHidden/>
          </w:rPr>
          <w:fldChar w:fldCharType="end"/>
        </w:r>
      </w:hyperlink>
    </w:p>
    <w:p w14:paraId="75853EC9" w14:textId="2D47D7B2" w:rsidR="00C32A00" w:rsidRDefault="00DF26C1">
      <w:pPr>
        <w:pStyle w:val="TOC1"/>
        <w:rPr>
          <w:rFonts w:asciiTheme="minorHAnsi" w:eastAsiaTheme="minorEastAsia" w:hAnsiTheme="minorHAnsi" w:cstheme="minorBidi"/>
          <w:noProof/>
          <w:szCs w:val="22"/>
          <w:lang w:eastAsia="en-AU"/>
        </w:rPr>
      </w:pPr>
      <w:hyperlink w:anchor="_Toc144494378" w:history="1">
        <w:r w:rsidR="00C32A00" w:rsidRPr="00A60165">
          <w:rPr>
            <w:rStyle w:val="Hyperlink"/>
            <w:noProof/>
          </w:rPr>
          <w:t>Insights from commissioning engagement (strategise and design phases)</w:t>
        </w:r>
        <w:r w:rsidR="00C32A00">
          <w:rPr>
            <w:noProof/>
            <w:webHidden/>
          </w:rPr>
          <w:tab/>
        </w:r>
        <w:r w:rsidR="00C32A00" w:rsidRPr="0083237C">
          <w:rPr>
            <w:webHidden/>
          </w:rPr>
          <w:fldChar w:fldCharType="begin"/>
        </w:r>
        <w:r w:rsidR="00C32A00">
          <w:rPr>
            <w:noProof/>
            <w:webHidden/>
          </w:rPr>
          <w:instrText xml:space="preserve"> PAGEREF _Toc144494378 \h </w:instrText>
        </w:r>
        <w:r w:rsidR="00C32A00" w:rsidRPr="0083237C">
          <w:rPr>
            <w:webHidden/>
          </w:rPr>
        </w:r>
        <w:r w:rsidR="00C32A00" w:rsidRPr="0083237C">
          <w:rPr>
            <w:webHidden/>
          </w:rPr>
          <w:fldChar w:fldCharType="separate"/>
        </w:r>
        <w:r w:rsidR="00C32A00">
          <w:rPr>
            <w:noProof/>
            <w:webHidden/>
          </w:rPr>
          <w:t>10</w:t>
        </w:r>
        <w:r w:rsidR="00C32A00" w:rsidRPr="0083237C">
          <w:rPr>
            <w:webHidden/>
          </w:rPr>
          <w:fldChar w:fldCharType="end"/>
        </w:r>
      </w:hyperlink>
    </w:p>
    <w:p w14:paraId="13C6ABAB" w14:textId="2FA2EE42" w:rsidR="00C32A00" w:rsidRDefault="00DF26C1">
      <w:pPr>
        <w:pStyle w:val="TOC1"/>
        <w:rPr>
          <w:rFonts w:asciiTheme="minorHAnsi" w:eastAsiaTheme="minorEastAsia" w:hAnsiTheme="minorHAnsi" w:cstheme="minorBidi"/>
          <w:noProof/>
          <w:szCs w:val="22"/>
          <w:lang w:eastAsia="en-AU"/>
        </w:rPr>
      </w:pPr>
      <w:hyperlink w:anchor="_Toc144494379" w:history="1">
        <w:r w:rsidR="00C32A00" w:rsidRPr="00A60165">
          <w:rPr>
            <w:rStyle w:val="Hyperlink"/>
            <w:noProof/>
          </w:rPr>
          <w:t>STIBBV commissioning investment</w:t>
        </w:r>
        <w:r w:rsidR="00C32A00">
          <w:rPr>
            <w:noProof/>
            <w:webHidden/>
          </w:rPr>
          <w:tab/>
        </w:r>
        <w:r w:rsidR="00C32A00" w:rsidRPr="0083237C">
          <w:rPr>
            <w:webHidden/>
          </w:rPr>
          <w:fldChar w:fldCharType="begin"/>
        </w:r>
        <w:r w:rsidR="00C32A00">
          <w:rPr>
            <w:noProof/>
            <w:webHidden/>
          </w:rPr>
          <w:instrText xml:space="preserve"> PAGEREF _Toc144494379 \h </w:instrText>
        </w:r>
        <w:r w:rsidR="00C32A00" w:rsidRPr="0083237C">
          <w:rPr>
            <w:webHidden/>
          </w:rPr>
        </w:r>
        <w:r w:rsidR="00C32A00" w:rsidRPr="0083237C">
          <w:rPr>
            <w:webHidden/>
          </w:rPr>
          <w:fldChar w:fldCharType="separate"/>
        </w:r>
        <w:r w:rsidR="00C32A00">
          <w:rPr>
            <w:noProof/>
            <w:webHidden/>
          </w:rPr>
          <w:t>12</w:t>
        </w:r>
        <w:r w:rsidR="00C32A00" w:rsidRPr="0083237C">
          <w:rPr>
            <w:webHidden/>
          </w:rPr>
          <w:fldChar w:fldCharType="end"/>
        </w:r>
      </w:hyperlink>
    </w:p>
    <w:p w14:paraId="47B48255" w14:textId="77AE5260" w:rsidR="00C32A00" w:rsidRDefault="00DF26C1">
      <w:pPr>
        <w:pStyle w:val="TOC1"/>
        <w:rPr>
          <w:rFonts w:asciiTheme="minorHAnsi" w:eastAsiaTheme="minorEastAsia" w:hAnsiTheme="minorHAnsi" w:cstheme="minorBidi"/>
          <w:noProof/>
          <w:szCs w:val="22"/>
          <w:lang w:eastAsia="en-AU"/>
        </w:rPr>
      </w:pPr>
      <w:hyperlink w:anchor="_Toc144494380" w:history="1">
        <w:r w:rsidR="00C32A00" w:rsidRPr="00A60165">
          <w:rPr>
            <w:rStyle w:val="Hyperlink"/>
            <w:noProof/>
          </w:rPr>
          <w:t>STIBBV investment priorities</w:t>
        </w:r>
        <w:r w:rsidR="00C32A00">
          <w:rPr>
            <w:noProof/>
            <w:webHidden/>
          </w:rPr>
          <w:tab/>
        </w:r>
        <w:r w:rsidR="00C32A00" w:rsidRPr="0083237C">
          <w:rPr>
            <w:webHidden/>
          </w:rPr>
          <w:fldChar w:fldCharType="begin"/>
        </w:r>
        <w:r w:rsidR="00C32A00">
          <w:rPr>
            <w:noProof/>
            <w:webHidden/>
          </w:rPr>
          <w:instrText xml:space="preserve"> PAGEREF _Toc144494380 \h </w:instrText>
        </w:r>
        <w:r w:rsidR="00C32A00" w:rsidRPr="0083237C">
          <w:rPr>
            <w:webHidden/>
          </w:rPr>
        </w:r>
        <w:r w:rsidR="00C32A00" w:rsidRPr="0083237C">
          <w:rPr>
            <w:webHidden/>
          </w:rPr>
          <w:fldChar w:fldCharType="separate"/>
        </w:r>
        <w:r w:rsidR="00C32A00">
          <w:rPr>
            <w:noProof/>
            <w:webHidden/>
          </w:rPr>
          <w:t>12</w:t>
        </w:r>
        <w:r w:rsidR="00C32A00" w:rsidRPr="0083237C">
          <w:rPr>
            <w:webHidden/>
          </w:rPr>
          <w:fldChar w:fldCharType="end"/>
        </w:r>
      </w:hyperlink>
    </w:p>
    <w:p w14:paraId="72F8CE18" w14:textId="21938795" w:rsidR="00C32A00" w:rsidRDefault="00DF26C1">
      <w:pPr>
        <w:pStyle w:val="TOC1"/>
        <w:rPr>
          <w:rFonts w:asciiTheme="minorHAnsi" w:eastAsiaTheme="minorEastAsia" w:hAnsiTheme="minorHAnsi" w:cstheme="minorBidi"/>
          <w:noProof/>
          <w:szCs w:val="22"/>
          <w:lang w:eastAsia="en-AU"/>
        </w:rPr>
      </w:pPr>
      <w:hyperlink w:anchor="_Toc144494381" w:history="1">
        <w:r w:rsidR="00C32A00" w:rsidRPr="00A60165">
          <w:rPr>
            <w:rStyle w:val="Hyperlink"/>
            <w:noProof/>
          </w:rPr>
          <w:t>Investment pathways</w:t>
        </w:r>
        <w:r w:rsidR="00C32A00">
          <w:rPr>
            <w:noProof/>
            <w:webHidden/>
          </w:rPr>
          <w:tab/>
        </w:r>
        <w:r w:rsidR="00C32A00" w:rsidRPr="0083237C">
          <w:rPr>
            <w:webHidden/>
          </w:rPr>
          <w:fldChar w:fldCharType="begin"/>
        </w:r>
        <w:r w:rsidR="00C32A00">
          <w:rPr>
            <w:noProof/>
            <w:webHidden/>
          </w:rPr>
          <w:instrText xml:space="preserve"> PAGEREF _Toc144494381 \h </w:instrText>
        </w:r>
        <w:r w:rsidR="00C32A00" w:rsidRPr="0083237C">
          <w:rPr>
            <w:webHidden/>
          </w:rPr>
        </w:r>
        <w:r w:rsidR="00C32A00" w:rsidRPr="0083237C">
          <w:rPr>
            <w:webHidden/>
          </w:rPr>
          <w:fldChar w:fldCharType="separate"/>
        </w:r>
        <w:r w:rsidR="00C32A00">
          <w:rPr>
            <w:noProof/>
            <w:webHidden/>
          </w:rPr>
          <w:t>15</w:t>
        </w:r>
        <w:r w:rsidR="00C32A00" w:rsidRPr="0083237C">
          <w:rPr>
            <w:webHidden/>
          </w:rPr>
          <w:fldChar w:fldCharType="end"/>
        </w:r>
      </w:hyperlink>
    </w:p>
    <w:p w14:paraId="4E07590B" w14:textId="6FE47CB2" w:rsidR="00C32A00" w:rsidRDefault="00DF26C1">
      <w:pPr>
        <w:pStyle w:val="TOC1"/>
        <w:rPr>
          <w:rFonts w:asciiTheme="minorHAnsi" w:eastAsiaTheme="minorEastAsia" w:hAnsiTheme="minorHAnsi" w:cstheme="minorBidi"/>
          <w:noProof/>
          <w:szCs w:val="22"/>
          <w:lang w:eastAsia="en-AU"/>
        </w:rPr>
      </w:pPr>
      <w:hyperlink w:anchor="_Toc144494382" w:history="1">
        <w:r w:rsidR="00C32A00" w:rsidRPr="00A60165">
          <w:rPr>
            <w:rStyle w:val="Hyperlink"/>
            <w:noProof/>
          </w:rPr>
          <w:t>Participating in formal investment approaches (grants and tenders)</w:t>
        </w:r>
        <w:r w:rsidR="00C32A00">
          <w:rPr>
            <w:noProof/>
            <w:webHidden/>
          </w:rPr>
          <w:tab/>
        </w:r>
        <w:r w:rsidR="00C32A00" w:rsidRPr="0083237C">
          <w:rPr>
            <w:webHidden/>
          </w:rPr>
          <w:fldChar w:fldCharType="begin"/>
        </w:r>
        <w:r w:rsidR="00C32A00">
          <w:rPr>
            <w:noProof/>
            <w:webHidden/>
          </w:rPr>
          <w:instrText xml:space="preserve"> PAGEREF _Toc144494382 \h </w:instrText>
        </w:r>
        <w:r w:rsidR="00C32A00" w:rsidRPr="0083237C">
          <w:rPr>
            <w:webHidden/>
          </w:rPr>
        </w:r>
        <w:r w:rsidR="00C32A00" w:rsidRPr="0083237C">
          <w:rPr>
            <w:webHidden/>
          </w:rPr>
          <w:fldChar w:fldCharType="separate"/>
        </w:r>
        <w:r w:rsidR="00C32A00">
          <w:rPr>
            <w:noProof/>
            <w:webHidden/>
          </w:rPr>
          <w:t>18</w:t>
        </w:r>
        <w:r w:rsidR="00C32A00" w:rsidRPr="0083237C">
          <w:rPr>
            <w:webHidden/>
          </w:rPr>
          <w:fldChar w:fldCharType="end"/>
        </w:r>
      </w:hyperlink>
    </w:p>
    <w:p w14:paraId="0AEFCB3F" w14:textId="6F63B58C" w:rsidR="00C32A00" w:rsidRDefault="00DF26C1">
      <w:pPr>
        <w:pStyle w:val="TOC1"/>
        <w:rPr>
          <w:rFonts w:asciiTheme="minorHAnsi" w:eastAsiaTheme="minorEastAsia" w:hAnsiTheme="minorHAnsi" w:cstheme="minorBidi"/>
          <w:noProof/>
          <w:szCs w:val="22"/>
          <w:lang w:eastAsia="en-AU"/>
        </w:rPr>
      </w:pPr>
      <w:hyperlink w:anchor="_Toc144494383" w:history="1">
        <w:r w:rsidR="00C32A00" w:rsidRPr="00A60165">
          <w:rPr>
            <w:rStyle w:val="Hyperlink"/>
            <w:noProof/>
          </w:rPr>
          <w:t>Next steps</w:t>
        </w:r>
        <w:r w:rsidR="00C32A00">
          <w:rPr>
            <w:noProof/>
            <w:webHidden/>
          </w:rPr>
          <w:tab/>
        </w:r>
        <w:r w:rsidR="00C32A00" w:rsidRPr="0083237C">
          <w:rPr>
            <w:webHidden/>
          </w:rPr>
          <w:fldChar w:fldCharType="begin"/>
        </w:r>
        <w:r w:rsidR="00C32A00">
          <w:rPr>
            <w:noProof/>
            <w:webHidden/>
          </w:rPr>
          <w:instrText xml:space="preserve"> PAGEREF _Toc144494383 \h </w:instrText>
        </w:r>
        <w:r w:rsidR="00C32A00" w:rsidRPr="0083237C">
          <w:rPr>
            <w:webHidden/>
          </w:rPr>
        </w:r>
        <w:r w:rsidR="00C32A00" w:rsidRPr="0083237C">
          <w:rPr>
            <w:webHidden/>
          </w:rPr>
          <w:fldChar w:fldCharType="separate"/>
        </w:r>
        <w:r w:rsidR="00C32A00">
          <w:rPr>
            <w:noProof/>
            <w:webHidden/>
          </w:rPr>
          <w:t>20</w:t>
        </w:r>
        <w:r w:rsidR="00C32A00" w:rsidRPr="0083237C">
          <w:rPr>
            <w:webHidden/>
          </w:rPr>
          <w:fldChar w:fldCharType="end"/>
        </w:r>
      </w:hyperlink>
    </w:p>
    <w:p w14:paraId="2C54F7F8" w14:textId="126A36C7" w:rsidR="00C32A00" w:rsidRDefault="00DF26C1">
      <w:pPr>
        <w:pStyle w:val="TOC1"/>
        <w:rPr>
          <w:rFonts w:asciiTheme="minorHAnsi" w:eastAsiaTheme="minorEastAsia" w:hAnsiTheme="minorHAnsi" w:cstheme="minorBidi"/>
          <w:noProof/>
          <w:szCs w:val="22"/>
          <w:lang w:eastAsia="en-AU"/>
        </w:rPr>
      </w:pPr>
      <w:hyperlink w:anchor="_Toc144494384" w:history="1">
        <w:r w:rsidR="00C32A00" w:rsidRPr="00A60165">
          <w:rPr>
            <w:rStyle w:val="Hyperlink"/>
            <w:noProof/>
          </w:rPr>
          <w:t>Conclusion</w:t>
        </w:r>
        <w:r w:rsidR="00C32A00">
          <w:rPr>
            <w:noProof/>
            <w:webHidden/>
          </w:rPr>
          <w:tab/>
        </w:r>
        <w:r w:rsidR="00C32A00" w:rsidRPr="0083237C">
          <w:rPr>
            <w:webHidden/>
          </w:rPr>
          <w:fldChar w:fldCharType="begin"/>
        </w:r>
        <w:r w:rsidR="00C32A00">
          <w:rPr>
            <w:noProof/>
            <w:webHidden/>
          </w:rPr>
          <w:instrText xml:space="preserve"> PAGEREF _Toc144494384 \h </w:instrText>
        </w:r>
        <w:r w:rsidR="00C32A00" w:rsidRPr="0083237C">
          <w:rPr>
            <w:webHidden/>
          </w:rPr>
        </w:r>
        <w:r w:rsidR="00C32A00" w:rsidRPr="0083237C">
          <w:rPr>
            <w:webHidden/>
          </w:rPr>
          <w:fldChar w:fldCharType="separate"/>
        </w:r>
        <w:r w:rsidR="00C32A00">
          <w:rPr>
            <w:noProof/>
            <w:webHidden/>
          </w:rPr>
          <w:t>20</w:t>
        </w:r>
        <w:r w:rsidR="00C32A00" w:rsidRPr="0083237C">
          <w:rPr>
            <w:webHidden/>
          </w:rPr>
          <w:fldChar w:fldCharType="end"/>
        </w:r>
      </w:hyperlink>
    </w:p>
    <w:p w14:paraId="52B9B4E4" w14:textId="748595DC" w:rsidR="00C32A00" w:rsidRDefault="00DF26C1">
      <w:pPr>
        <w:pStyle w:val="TOC1"/>
        <w:rPr>
          <w:rFonts w:asciiTheme="minorHAnsi" w:eastAsiaTheme="minorEastAsia" w:hAnsiTheme="minorHAnsi" w:cstheme="minorBidi"/>
          <w:noProof/>
          <w:szCs w:val="22"/>
          <w:lang w:eastAsia="en-AU"/>
        </w:rPr>
      </w:pPr>
      <w:hyperlink w:anchor="_Toc144494385" w:history="1">
        <w:r w:rsidR="00C32A00" w:rsidRPr="00A60165">
          <w:rPr>
            <w:rStyle w:val="Hyperlink"/>
            <w:noProof/>
          </w:rPr>
          <w:t>Appendix A – Organisations involved in the STIBBV Commissioning process</w:t>
        </w:r>
        <w:r w:rsidR="00C32A00">
          <w:rPr>
            <w:noProof/>
            <w:webHidden/>
          </w:rPr>
          <w:tab/>
        </w:r>
        <w:r w:rsidR="00C32A00" w:rsidRPr="0083237C">
          <w:rPr>
            <w:webHidden/>
          </w:rPr>
          <w:fldChar w:fldCharType="begin"/>
        </w:r>
        <w:r w:rsidR="00C32A00">
          <w:rPr>
            <w:noProof/>
            <w:webHidden/>
          </w:rPr>
          <w:instrText xml:space="preserve"> PAGEREF _Toc144494385 \h </w:instrText>
        </w:r>
        <w:r w:rsidR="00C32A00" w:rsidRPr="0083237C">
          <w:rPr>
            <w:webHidden/>
          </w:rPr>
        </w:r>
        <w:r w:rsidR="00C32A00" w:rsidRPr="0083237C">
          <w:rPr>
            <w:webHidden/>
          </w:rPr>
          <w:fldChar w:fldCharType="separate"/>
        </w:r>
        <w:r w:rsidR="00C32A00">
          <w:rPr>
            <w:noProof/>
            <w:webHidden/>
          </w:rPr>
          <w:t>21</w:t>
        </w:r>
        <w:r w:rsidR="00C32A00" w:rsidRPr="0083237C">
          <w:rPr>
            <w:webHidden/>
          </w:rPr>
          <w:fldChar w:fldCharType="end"/>
        </w:r>
      </w:hyperlink>
    </w:p>
    <w:p w14:paraId="395D79D4" w14:textId="782A9F47" w:rsidR="00C32A00" w:rsidRDefault="00DF26C1">
      <w:pPr>
        <w:pStyle w:val="TOC1"/>
        <w:rPr>
          <w:rFonts w:asciiTheme="minorHAnsi" w:eastAsiaTheme="minorEastAsia" w:hAnsiTheme="minorHAnsi" w:cstheme="minorBidi"/>
          <w:noProof/>
          <w:szCs w:val="22"/>
          <w:lang w:eastAsia="en-AU"/>
        </w:rPr>
      </w:pPr>
      <w:hyperlink w:anchor="_Toc144494386" w:history="1">
        <w:r w:rsidR="00C32A00" w:rsidRPr="00A60165">
          <w:rPr>
            <w:rStyle w:val="Hyperlink"/>
            <w:noProof/>
          </w:rPr>
          <w:t>Appendix B – Proposed outcomes</w:t>
        </w:r>
        <w:r w:rsidR="00C32A00">
          <w:rPr>
            <w:noProof/>
            <w:webHidden/>
          </w:rPr>
          <w:tab/>
        </w:r>
        <w:r w:rsidR="00C32A00" w:rsidRPr="0083237C">
          <w:rPr>
            <w:webHidden/>
          </w:rPr>
          <w:fldChar w:fldCharType="begin"/>
        </w:r>
        <w:r w:rsidR="00C32A00">
          <w:rPr>
            <w:noProof/>
            <w:webHidden/>
          </w:rPr>
          <w:instrText xml:space="preserve"> PAGEREF _Toc144494386 \h </w:instrText>
        </w:r>
        <w:r w:rsidR="00C32A00" w:rsidRPr="0083237C">
          <w:rPr>
            <w:webHidden/>
          </w:rPr>
        </w:r>
        <w:r w:rsidR="00C32A00" w:rsidRPr="0083237C">
          <w:rPr>
            <w:webHidden/>
          </w:rPr>
          <w:fldChar w:fldCharType="separate"/>
        </w:r>
        <w:r w:rsidR="00C32A00">
          <w:rPr>
            <w:noProof/>
            <w:webHidden/>
          </w:rPr>
          <w:t>22</w:t>
        </w:r>
        <w:r w:rsidR="00C32A00" w:rsidRPr="0083237C">
          <w:rPr>
            <w:webHidden/>
          </w:rPr>
          <w:fldChar w:fldCharType="end"/>
        </w:r>
      </w:hyperlink>
    </w:p>
    <w:p w14:paraId="66858EBE" w14:textId="52177C2D" w:rsidR="000730D0" w:rsidRPr="000730D0" w:rsidRDefault="000730D0" w:rsidP="000730D0">
      <w:r w:rsidRPr="0083237C">
        <w:fldChar w:fldCharType="end"/>
      </w:r>
    </w:p>
    <w:p w14:paraId="6123A8E2" w14:textId="55D7E66F" w:rsidR="00827944" w:rsidRPr="0012331A" w:rsidRDefault="000730D0" w:rsidP="002C5317">
      <w:pPr>
        <w:pStyle w:val="Heading1"/>
        <w:rPr>
          <w:szCs w:val="22"/>
        </w:rPr>
      </w:pPr>
      <w:r w:rsidRPr="006C70C4">
        <w:br w:type="page"/>
      </w:r>
    </w:p>
    <w:p w14:paraId="4C48CBD9" w14:textId="11A747DB" w:rsidR="006C70C4" w:rsidRPr="005A3EF5" w:rsidRDefault="00871ED7" w:rsidP="002C5317">
      <w:pPr>
        <w:pStyle w:val="Heading1"/>
      </w:pPr>
      <w:bookmarkStart w:id="0" w:name="_Toc117249101"/>
      <w:bookmarkStart w:id="1" w:name="_Toc144494372"/>
      <w:r w:rsidRPr="005A3EF5">
        <w:lastRenderedPageBreak/>
        <w:t xml:space="preserve">Commonly </w:t>
      </w:r>
      <w:r w:rsidR="00FF4194" w:rsidRPr="005A3EF5">
        <w:t>u</w:t>
      </w:r>
      <w:r w:rsidRPr="005A3EF5">
        <w:t xml:space="preserve">sed </w:t>
      </w:r>
      <w:r w:rsidR="00FF4194" w:rsidRPr="005A3EF5">
        <w:t>t</w:t>
      </w:r>
      <w:r w:rsidRPr="005A3EF5">
        <w:t>erms</w:t>
      </w:r>
      <w:bookmarkEnd w:id="0"/>
      <w:bookmarkEnd w:id="1"/>
    </w:p>
    <w:p w14:paraId="0DA8634A" w14:textId="19AB2D55" w:rsidR="00B54ACC" w:rsidRPr="00B54ACC" w:rsidRDefault="00871ED7" w:rsidP="00B54ACC">
      <w:pPr>
        <w:rPr>
          <w:rFonts w:eastAsiaTheme="minorHAnsi"/>
        </w:rPr>
      </w:pPr>
      <w:r>
        <w:rPr>
          <w:rFonts w:eastAsiaTheme="minorHAnsi"/>
        </w:rPr>
        <w:t>A selection of commonly used terms throughout this Strategic Investment Plan are outlined in the table below.</w:t>
      </w:r>
    </w:p>
    <w:tbl>
      <w:tblPr>
        <w:tblStyle w:val="TableGrid"/>
        <w:tblW w:w="0" w:type="auto"/>
        <w:tblLook w:val="04A0" w:firstRow="1" w:lastRow="0" w:firstColumn="1" w:lastColumn="0" w:noHBand="0" w:noVBand="1"/>
      </w:tblPr>
      <w:tblGrid>
        <w:gridCol w:w="2263"/>
        <w:gridCol w:w="7366"/>
      </w:tblGrid>
      <w:tr w:rsidR="00536696" w:rsidRPr="00871ED7" w14:paraId="7C9901F6" w14:textId="77777777" w:rsidTr="00935B45">
        <w:tc>
          <w:tcPr>
            <w:tcW w:w="2263" w:type="dxa"/>
            <w:shd w:val="clear" w:color="auto" w:fill="7030A0"/>
            <w:vAlign w:val="center"/>
          </w:tcPr>
          <w:p w14:paraId="22CCDB4C" w14:textId="3F787981" w:rsidR="00871ED7" w:rsidRPr="00871ED7" w:rsidRDefault="00871ED7" w:rsidP="00E9709E">
            <w:pPr>
              <w:spacing w:before="60" w:after="60" w:line="240" w:lineRule="auto"/>
              <w:rPr>
                <w:rFonts w:asciiTheme="minorHAnsi" w:eastAsiaTheme="minorHAnsi" w:hAnsiTheme="minorHAnsi" w:cstheme="minorHAnsi"/>
                <w:b/>
                <w:color w:val="FFFFFF" w:themeColor="background1"/>
                <w:kern w:val="28"/>
                <w:szCs w:val="22"/>
              </w:rPr>
            </w:pPr>
            <w:r w:rsidRPr="00871ED7">
              <w:rPr>
                <w:rFonts w:asciiTheme="minorHAnsi" w:eastAsiaTheme="minorHAnsi" w:hAnsiTheme="minorHAnsi" w:cstheme="minorHAnsi"/>
                <w:b/>
                <w:color w:val="FFFFFF" w:themeColor="background1"/>
                <w:kern w:val="28"/>
                <w:szCs w:val="22"/>
              </w:rPr>
              <w:t>Term</w:t>
            </w:r>
          </w:p>
        </w:tc>
        <w:tc>
          <w:tcPr>
            <w:tcW w:w="7366" w:type="dxa"/>
            <w:shd w:val="clear" w:color="auto" w:fill="7030A0"/>
            <w:vAlign w:val="center"/>
          </w:tcPr>
          <w:p w14:paraId="2805ABB5" w14:textId="056ABF7B" w:rsidR="00871ED7" w:rsidRPr="00871ED7" w:rsidRDefault="00871ED7" w:rsidP="00E9709E">
            <w:pPr>
              <w:spacing w:before="60" w:after="60" w:line="240" w:lineRule="auto"/>
              <w:rPr>
                <w:rFonts w:asciiTheme="minorHAnsi" w:eastAsiaTheme="minorHAnsi" w:hAnsiTheme="minorHAnsi" w:cstheme="minorHAnsi"/>
                <w:b/>
                <w:color w:val="FFFFFF" w:themeColor="background1"/>
                <w:kern w:val="28"/>
                <w:szCs w:val="22"/>
              </w:rPr>
            </w:pPr>
            <w:r w:rsidRPr="00871ED7">
              <w:rPr>
                <w:rFonts w:asciiTheme="minorHAnsi" w:eastAsiaTheme="minorHAnsi" w:hAnsiTheme="minorHAnsi" w:cstheme="minorHAnsi"/>
                <w:b/>
                <w:color w:val="FFFFFF" w:themeColor="background1"/>
                <w:kern w:val="28"/>
                <w:szCs w:val="22"/>
              </w:rPr>
              <w:t>Description</w:t>
            </w:r>
          </w:p>
        </w:tc>
      </w:tr>
      <w:tr w:rsidR="007B63DB" w:rsidRPr="008A3542" w14:paraId="61FF3172" w14:textId="77777777" w:rsidTr="00935B45">
        <w:tc>
          <w:tcPr>
            <w:tcW w:w="2263" w:type="dxa"/>
            <w:vAlign w:val="center"/>
          </w:tcPr>
          <w:p w14:paraId="41A304E6" w14:textId="6CC38FD9" w:rsidR="007B63DB" w:rsidRPr="00871ED7" w:rsidRDefault="007B63DB" w:rsidP="00E9709E">
            <w:pPr>
              <w:spacing w:before="60" w:after="60" w:line="240" w:lineRule="auto"/>
              <w:rPr>
                <w:rFonts w:asciiTheme="minorHAnsi" w:eastAsiaTheme="minorHAnsi" w:hAnsiTheme="minorHAnsi" w:cstheme="minorHAnsi"/>
                <w:b/>
                <w:kern w:val="28"/>
                <w:szCs w:val="22"/>
              </w:rPr>
            </w:pPr>
            <w:r>
              <w:rPr>
                <w:rFonts w:asciiTheme="minorHAnsi" w:eastAsiaTheme="minorHAnsi" w:hAnsiTheme="minorHAnsi" w:cstheme="minorHAnsi"/>
                <w:b/>
                <w:kern w:val="28"/>
                <w:szCs w:val="22"/>
              </w:rPr>
              <w:t xml:space="preserve">ACTHD </w:t>
            </w:r>
          </w:p>
        </w:tc>
        <w:tc>
          <w:tcPr>
            <w:tcW w:w="7366" w:type="dxa"/>
          </w:tcPr>
          <w:p w14:paraId="25FFD0EF" w14:textId="5FA3F4FE" w:rsidR="007B63DB" w:rsidRDefault="007B63DB"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ACT Health Directorate, represented by Population Health Division</w:t>
            </w:r>
            <w:r w:rsidR="00B41AE3">
              <w:rPr>
                <w:rFonts w:asciiTheme="minorHAnsi" w:eastAsiaTheme="minorHAnsi" w:hAnsiTheme="minorHAnsi" w:cstheme="minorHAnsi"/>
                <w:bCs/>
                <w:kern w:val="28"/>
                <w:szCs w:val="22"/>
              </w:rPr>
              <w:t>.</w:t>
            </w:r>
          </w:p>
        </w:tc>
      </w:tr>
      <w:tr w:rsidR="00536696" w:rsidRPr="008A3542" w14:paraId="2A942DE0" w14:textId="77777777" w:rsidTr="00935B45">
        <w:tc>
          <w:tcPr>
            <w:tcW w:w="2263" w:type="dxa"/>
            <w:vAlign w:val="center"/>
          </w:tcPr>
          <w:p w14:paraId="117EE919" w14:textId="77777777" w:rsidR="00FD497A" w:rsidRPr="00871ED7" w:rsidRDefault="00FD497A" w:rsidP="00E9709E">
            <w:pPr>
              <w:spacing w:before="60" w:after="60" w:line="240" w:lineRule="auto"/>
              <w:rPr>
                <w:rFonts w:asciiTheme="minorHAnsi" w:eastAsiaTheme="minorHAnsi" w:hAnsiTheme="minorHAnsi" w:cstheme="minorHAnsi"/>
                <w:b/>
                <w:kern w:val="28"/>
                <w:szCs w:val="22"/>
              </w:rPr>
            </w:pPr>
            <w:r w:rsidRPr="00871ED7">
              <w:rPr>
                <w:rFonts w:asciiTheme="minorHAnsi" w:eastAsiaTheme="minorHAnsi" w:hAnsiTheme="minorHAnsi" w:cstheme="minorHAnsi"/>
                <w:b/>
                <w:kern w:val="28"/>
                <w:szCs w:val="22"/>
              </w:rPr>
              <w:t>Commissioning</w:t>
            </w:r>
          </w:p>
        </w:tc>
        <w:tc>
          <w:tcPr>
            <w:tcW w:w="7366" w:type="dxa"/>
          </w:tcPr>
          <w:p w14:paraId="4CC1317C" w14:textId="3B4C8BB4" w:rsidR="00FD497A" w:rsidRPr="008A3542" w:rsidRDefault="001F4CEB"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 xml:space="preserve">Commissioning </w:t>
            </w:r>
            <w:r w:rsidR="00FD497A" w:rsidRPr="00FD497A">
              <w:rPr>
                <w:rFonts w:asciiTheme="minorHAnsi" w:eastAsiaTheme="minorHAnsi" w:hAnsiTheme="minorHAnsi" w:cstheme="minorHAnsi"/>
                <w:bCs/>
                <w:kern w:val="28"/>
                <w:szCs w:val="22"/>
              </w:rPr>
              <w:t>involves working collaboratively with sector partners, and people with lived experience, to plan, design</w:t>
            </w:r>
            <w:r w:rsidR="00884E58">
              <w:rPr>
                <w:rFonts w:asciiTheme="minorHAnsi" w:eastAsiaTheme="minorHAnsi" w:hAnsiTheme="minorHAnsi" w:cstheme="minorHAnsi"/>
                <w:bCs/>
                <w:kern w:val="28"/>
                <w:szCs w:val="22"/>
              </w:rPr>
              <w:t>, invest</w:t>
            </w:r>
            <w:r w:rsidR="00FD497A" w:rsidRPr="00FD497A">
              <w:rPr>
                <w:rFonts w:asciiTheme="minorHAnsi" w:eastAsiaTheme="minorHAnsi" w:hAnsiTheme="minorHAnsi" w:cstheme="minorHAnsi"/>
                <w:bCs/>
                <w:kern w:val="28"/>
                <w:szCs w:val="22"/>
              </w:rPr>
              <w:t xml:space="preserve"> </w:t>
            </w:r>
            <w:r w:rsidR="00274434">
              <w:rPr>
                <w:rFonts w:asciiTheme="minorHAnsi" w:eastAsiaTheme="minorHAnsi" w:hAnsiTheme="minorHAnsi" w:cstheme="minorHAnsi"/>
                <w:bCs/>
                <w:kern w:val="28"/>
                <w:szCs w:val="22"/>
              </w:rPr>
              <w:t>in</w:t>
            </w:r>
            <w:r w:rsidR="00FD497A" w:rsidRPr="00FD497A">
              <w:rPr>
                <w:rFonts w:asciiTheme="minorHAnsi" w:eastAsiaTheme="minorHAnsi" w:hAnsiTheme="minorHAnsi" w:cstheme="minorHAnsi"/>
                <w:bCs/>
                <w:kern w:val="28"/>
                <w:szCs w:val="22"/>
              </w:rPr>
              <w:t xml:space="preserve"> and deliver the best health and support services for Canberrans.</w:t>
            </w:r>
          </w:p>
        </w:tc>
      </w:tr>
      <w:tr w:rsidR="00536696" w:rsidRPr="008A3542" w14:paraId="42374693" w14:textId="77777777" w:rsidTr="00935B45">
        <w:tc>
          <w:tcPr>
            <w:tcW w:w="2263" w:type="dxa"/>
            <w:vAlign w:val="center"/>
          </w:tcPr>
          <w:p w14:paraId="7124BA1E" w14:textId="0DFA4262" w:rsidR="00B63EC6" w:rsidRPr="00871ED7" w:rsidRDefault="00B63EC6" w:rsidP="00E9709E">
            <w:pPr>
              <w:spacing w:before="60" w:after="60" w:line="240" w:lineRule="auto"/>
              <w:rPr>
                <w:rFonts w:asciiTheme="minorHAnsi" w:eastAsiaTheme="minorHAnsi" w:hAnsiTheme="minorHAnsi" w:cstheme="minorHAnsi"/>
                <w:b/>
                <w:kern w:val="28"/>
                <w:szCs w:val="22"/>
              </w:rPr>
            </w:pPr>
            <w:bookmarkStart w:id="2" w:name="_Hlk117089391"/>
            <w:r w:rsidRPr="00871ED7">
              <w:rPr>
                <w:rFonts w:asciiTheme="minorHAnsi" w:eastAsiaTheme="minorHAnsi" w:hAnsiTheme="minorHAnsi" w:cstheme="minorHAnsi"/>
                <w:b/>
                <w:kern w:val="28"/>
                <w:szCs w:val="22"/>
              </w:rPr>
              <w:t xml:space="preserve">Direct </w:t>
            </w:r>
            <w:r w:rsidR="009414AC">
              <w:rPr>
                <w:rFonts w:asciiTheme="minorHAnsi" w:eastAsiaTheme="minorHAnsi" w:hAnsiTheme="minorHAnsi" w:cstheme="minorHAnsi"/>
                <w:b/>
                <w:kern w:val="28"/>
                <w:szCs w:val="22"/>
              </w:rPr>
              <w:t>approach</w:t>
            </w:r>
            <w:r w:rsidR="009414AC" w:rsidRPr="00871ED7">
              <w:rPr>
                <w:rFonts w:asciiTheme="minorHAnsi" w:eastAsiaTheme="minorHAnsi" w:hAnsiTheme="minorHAnsi" w:cstheme="minorHAnsi"/>
                <w:b/>
                <w:kern w:val="28"/>
                <w:szCs w:val="22"/>
              </w:rPr>
              <w:t xml:space="preserve"> </w:t>
            </w:r>
            <w:r w:rsidR="001F4CEB">
              <w:rPr>
                <w:rFonts w:asciiTheme="minorHAnsi" w:eastAsiaTheme="minorHAnsi" w:hAnsiTheme="minorHAnsi" w:cstheme="minorHAnsi"/>
                <w:b/>
                <w:kern w:val="28"/>
                <w:szCs w:val="22"/>
              </w:rPr>
              <w:t>g</w:t>
            </w:r>
            <w:r w:rsidR="00241BBF" w:rsidRPr="00871ED7">
              <w:rPr>
                <w:rFonts w:asciiTheme="minorHAnsi" w:eastAsiaTheme="minorHAnsi" w:hAnsiTheme="minorHAnsi" w:cstheme="minorHAnsi"/>
                <w:b/>
                <w:kern w:val="28"/>
                <w:szCs w:val="22"/>
              </w:rPr>
              <w:t>rant</w:t>
            </w:r>
          </w:p>
        </w:tc>
        <w:tc>
          <w:tcPr>
            <w:tcW w:w="7366" w:type="dxa"/>
          </w:tcPr>
          <w:p w14:paraId="29050FAE" w14:textId="0707F30F" w:rsidR="00B63EC6" w:rsidRPr="008A3542" w:rsidRDefault="00827944" w:rsidP="00E9709E">
            <w:pPr>
              <w:spacing w:before="60" w:after="60" w:line="240" w:lineRule="auto"/>
              <w:rPr>
                <w:rFonts w:asciiTheme="minorHAnsi" w:eastAsiaTheme="minorHAnsi" w:hAnsiTheme="minorHAnsi" w:cstheme="minorHAnsi"/>
                <w:bCs/>
                <w:kern w:val="28"/>
                <w:szCs w:val="22"/>
              </w:rPr>
            </w:pPr>
            <w:bookmarkStart w:id="3" w:name="_Hlk117252209"/>
            <w:r>
              <w:rPr>
                <w:rFonts w:asciiTheme="minorHAnsi" w:eastAsiaTheme="minorHAnsi" w:hAnsiTheme="minorHAnsi" w:cstheme="minorHAnsi"/>
                <w:bCs/>
                <w:kern w:val="28"/>
                <w:szCs w:val="22"/>
              </w:rPr>
              <w:t xml:space="preserve">Direct approach grant </w:t>
            </w:r>
            <w:r w:rsidR="00E41477">
              <w:rPr>
                <w:rFonts w:asciiTheme="minorHAnsi" w:eastAsiaTheme="minorHAnsi" w:hAnsiTheme="minorHAnsi" w:cstheme="minorHAnsi"/>
                <w:bCs/>
                <w:kern w:val="28"/>
                <w:szCs w:val="22"/>
              </w:rPr>
              <w:t xml:space="preserve">means </w:t>
            </w:r>
            <w:r w:rsidR="00241BBF" w:rsidRPr="008A3542">
              <w:rPr>
                <w:rFonts w:asciiTheme="minorHAnsi" w:eastAsiaTheme="minorHAnsi" w:hAnsiTheme="minorHAnsi" w:cstheme="minorHAnsi"/>
                <w:bCs/>
                <w:kern w:val="28"/>
                <w:szCs w:val="22"/>
              </w:rPr>
              <w:t>a</w:t>
            </w:r>
            <w:r w:rsidR="009414AC">
              <w:rPr>
                <w:rFonts w:asciiTheme="minorHAnsi" w:eastAsiaTheme="minorHAnsi" w:hAnsiTheme="minorHAnsi" w:cstheme="minorHAnsi"/>
                <w:bCs/>
                <w:kern w:val="28"/>
                <w:szCs w:val="22"/>
              </w:rPr>
              <w:t>n</w:t>
            </w:r>
            <w:r w:rsidR="00241BBF" w:rsidRPr="008A3542">
              <w:rPr>
                <w:rFonts w:asciiTheme="minorHAnsi" w:eastAsiaTheme="minorHAnsi" w:hAnsiTheme="minorHAnsi" w:cstheme="minorHAnsi"/>
                <w:bCs/>
                <w:kern w:val="28"/>
                <w:szCs w:val="22"/>
              </w:rPr>
              <w:t xml:space="preserve"> </w:t>
            </w:r>
            <w:r w:rsidR="009414AC">
              <w:rPr>
                <w:rFonts w:asciiTheme="minorHAnsi" w:eastAsiaTheme="minorHAnsi" w:hAnsiTheme="minorHAnsi" w:cstheme="minorHAnsi"/>
                <w:bCs/>
                <w:kern w:val="28"/>
                <w:szCs w:val="22"/>
              </w:rPr>
              <w:t>individual</w:t>
            </w:r>
            <w:r w:rsidR="00241BBF" w:rsidRPr="008A3542">
              <w:rPr>
                <w:rFonts w:asciiTheme="minorHAnsi" w:eastAsiaTheme="minorHAnsi" w:hAnsiTheme="minorHAnsi" w:cstheme="minorHAnsi"/>
                <w:bCs/>
                <w:kern w:val="28"/>
                <w:szCs w:val="22"/>
              </w:rPr>
              <w:t xml:space="preserve"> </w:t>
            </w:r>
            <w:r w:rsidR="009414AC">
              <w:rPr>
                <w:rFonts w:asciiTheme="minorHAnsi" w:eastAsiaTheme="minorHAnsi" w:hAnsiTheme="minorHAnsi" w:cstheme="minorHAnsi"/>
                <w:bCs/>
                <w:kern w:val="28"/>
                <w:szCs w:val="22"/>
              </w:rPr>
              <w:t>invitation</w:t>
            </w:r>
            <w:r w:rsidR="009414AC" w:rsidRPr="008A3542">
              <w:rPr>
                <w:rFonts w:asciiTheme="minorHAnsi" w:eastAsiaTheme="minorHAnsi" w:hAnsiTheme="minorHAnsi" w:cstheme="minorHAnsi"/>
                <w:bCs/>
                <w:kern w:val="28"/>
                <w:szCs w:val="22"/>
              </w:rPr>
              <w:t xml:space="preserve"> </w:t>
            </w:r>
            <w:r w:rsidR="00241BBF" w:rsidRPr="008A3542">
              <w:rPr>
                <w:rFonts w:asciiTheme="minorHAnsi" w:eastAsiaTheme="minorHAnsi" w:hAnsiTheme="minorHAnsi" w:cstheme="minorHAnsi"/>
                <w:bCs/>
                <w:kern w:val="28"/>
                <w:szCs w:val="22"/>
              </w:rPr>
              <w:t xml:space="preserve">to </w:t>
            </w:r>
            <w:r w:rsidR="009414AC">
              <w:rPr>
                <w:rFonts w:asciiTheme="minorHAnsi" w:eastAsiaTheme="minorHAnsi" w:hAnsiTheme="minorHAnsi" w:cstheme="minorHAnsi"/>
                <w:bCs/>
                <w:kern w:val="28"/>
                <w:szCs w:val="22"/>
              </w:rPr>
              <w:t xml:space="preserve">a </w:t>
            </w:r>
            <w:r w:rsidR="00241BBF" w:rsidRPr="008A3542">
              <w:rPr>
                <w:rFonts w:asciiTheme="minorHAnsi" w:eastAsiaTheme="minorHAnsi" w:hAnsiTheme="minorHAnsi" w:cstheme="minorHAnsi"/>
                <w:bCs/>
                <w:kern w:val="28"/>
                <w:szCs w:val="22"/>
              </w:rPr>
              <w:t>specific provider to submit a grant application</w:t>
            </w:r>
            <w:r w:rsidR="00871ED7">
              <w:rPr>
                <w:rFonts w:asciiTheme="minorHAnsi" w:eastAsiaTheme="minorHAnsi" w:hAnsiTheme="minorHAnsi" w:cstheme="minorHAnsi"/>
                <w:bCs/>
                <w:color w:val="FF0000"/>
                <w:kern w:val="28"/>
                <w:szCs w:val="22"/>
              </w:rPr>
              <w:t xml:space="preserve"> </w:t>
            </w:r>
            <w:r w:rsidR="00871ED7" w:rsidRPr="008A3542">
              <w:rPr>
                <w:rFonts w:asciiTheme="minorHAnsi" w:eastAsiaTheme="minorHAnsi" w:hAnsiTheme="minorHAnsi" w:cstheme="minorHAnsi"/>
                <w:bCs/>
                <w:kern w:val="28"/>
                <w:szCs w:val="22"/>
              </w:rPr>
              <w:t xml:space="preserve">to deliver </w:t>
            </w:r>
            <w:r w:rsidR="009414AC">
              <w:rPr>
                <w:rFonts w:asciiTheme="minorHAnsi" w:eastAsiaTheme="minorHAnsi" w:hAnsiTheme="minorHAnsi" w:cstheme="minorHAnsi"/>
                <w:bCs/>
                <w:kern w:val="28"/>
                <w:szCs w:val="22"/>
              </w:rPr>
              <w:t xml:space="preserve">a </w:t>
            </w:r>
            <w:r w:rsidR="00871ED7" w:rsidRPr="008A3542">
              <w:rPr>
                <w:rFonts w:asciiTheme="minorHAnsi" w:eastAsiaTheme="minorHAnsi" w:hAnsiTheme="minorHAnsi" w:cstheme="minorHAnsi"/>
                <w:bCs/>
                <w:kern w:val="28"/>
                <w:szCs w:val="22"/>
              </w:rPr>
              <w:t>specified service</w:t>
            </w:r>
            <w:r w:rsidR="009414AC">
              <w:rPr>
                <w:rFonts w:asciiTheme="minorHAnsi" w:eastAsiaTheme="minorHAnsi" w:hAnsiTheme="minorHAnsi" w:cstheme="minorHAnsi"/>
                <w:bCs/>
                <w:kern w:val="28"/>
                <w:szCs w:val="22"/>
              </w:rPr>
              <w:t>(</w:t>
            </w:r>
            <w:r w:rsidR="00871ED7" w:rsidRPr="008A3542">
              <w:rPr>
                <w:rFonts w:asciiTheme="minorHAnsi" w:eastAsiaTheme="minorHAnsi" w:hAnsiTheme="minorHAnsi" w:cstheme="minorHAnsi"/>
                <w:bCs/>
                <w:kern w:val="28"/>
                <w:szCs w:val="22"/>
              </w:rPr>
              <w:t>s</w:t>
            </w:r>
            <w:r w:rsidR="009414AC">
              <w:rPr>
                <w:rFonts w:asciiTheme="minorHAnsi" w:eastAsiaTheme="minorHAnsi" w:hAnsiTheme="minorHAnsi" w:cstheme="minorHAnsi"/>
                <w:bCs/>
                <w:kern w:val="28"/>
                <w:szCs w:val="22"/>
              </w:rPr>
              <w:t>)</w:t>
            </w:r>
            <w:r w:rsidR="00241BBF" w:rsidRPr="008A3542">
              <w:rPr>
                <w:rFonts w:asciiTheme="minorHAnsi" w:eastAsiaTheme="minorHAnsi" w:hAnsiTheme="minorHAnsi" w:cstheme="minorHAnsi"/>
                <w:bCs/>
                <w:kern w:val="28"/>
                <w:szCs w:val="22"/>
              </w:rPr>
              <w:t>.</w:t>
            </w:r>
            <w:bookmarkEnd w:id="3"/>
          </w:p>
        </w:tc>
      </w:tr>
      <w:tr w:rsidR="00536696" w:rsidRPr="008A3542" w14:paraId="3C7CF2F7" w14:textId="77777777" w:rsidTr="00935B45">
        <w:tc>
          <w:tcPr>
            <w:tcW w:w="2263" w:type="dxa"/>
            <w:vAlign w:val="center"/>
          </w:tcPr>
          <w:p w14:paraId="0ED2B8DB" w14:textId="463F18A7" w:rsidR="008A3542" w:rsidRPr="00871ED7" w:rsidRDefault="008A3542" w:rsidP="00E9709E">
            <w:pPr>
              <w:spacing w:before="60" w:after="60" w:line="240" w:lineRule="auto"/>
              <w:rPr>
                <w:rFonts w:asciiTheme="minorHAnsi" w:eastAsiaTheme="minorHAnsi" w:hAnsiTheme="minorHAnsi" w:cstheme="minorHAnsi"/>
                <w:b/>
                <w:kern w:val="28"/>
                <w:szCs w:val="22"/>
              </w:rPr>
            </w:pPr>
            <w:r w:rsidRPr="00871ED7">
              <w:rPr>
                <w:rFonts w:asciiTheme="minorHAnsi" w:eastAsiaTheme="minorHAnsi" w:hAnsiTheme="minorHAnsi" w:cstheme="minorHAnsi"/>
                <w:b/>
                <w:kern w:val="28"/>
                <w:szCs w:val="22"/>
              </w:rPr>
              <w:t xml:space="preserve">Commissioning </w:t>
            </w:r>
            <w:r w:rsidR="001F4CEB">
              <w:rPr>
                <w:rFonts w:asciiTheme="minorHAnsi" w:eastAsiaTheme="minorHAnsi" w:hAnsiTheme="minorHAnsi" w:cstheme="minorHAnsi"/>
                <w:b/>
                <w:kern w:val="28"/>
                <w:szCs w:val="22"/>
              </w:rPr>
              <w:t>e</w:t>
            </w:r>
            <w:r w:rsidRPr="00871ED7">
              <w:rPr>
                <w:rFonts w:asciiTheme="minorHAnsi" w:eastAsiaTheme="minorHAnsi" w:hAnsiTheme="minorHAnsi" w:cstheme="minorHAnsi"/>
                <w:b/>
                <w:kern w:val="28"/>
                <w:szCs w:val="22"/>
              </w:rPr>
              <w:t>ngagement</w:t>
            </w:r>
          </w:p>
        </w:tc>
        <w:tc>
          <w:tcPr>
            <w:tcW w:w="7366" w:type="dxa"/>
          </w:tcPr>
          <w:p w14:paraId="450A7024" w14:textId="5E9DF1D1" w:rsidR="008A3542" w:rsidRDefault="00076965"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Commissioning engagement consists of the first 3 phases – Discover, Strategise and Design</w:t>
            </w:r>
            <w:r w:rsidR="00827944">
              <w:rPr>
                <w:rFonts w:asciiTheme="minorHAnsi" w:eastAsiaTheme="minorHAnsi" w:hAnsiTheme="minorHAnsi" w:cstheme="minorHAnsi"/>
                <w:bCs/>
                <w:kern w:val="28"/>
                <w:szCs w:val="22"/>
              </w:rPr>
              <w:t xml:space="preserve"> – of the </w:t>
            </w:r>
            <w:r w:rsidR="000466F5">
              <w:rPr>
                <w:rFonts w:asciiTheme="minorHAnsi" w:eastAsiaTheme="minorHAnsi" w:hAnsiTheme="minorHAnsi" w:cstheme="minorHAnsi"/>
                <w:bCs/>
                <w:kern w:val="28"/>
                <w:szCs w:val="22"/>
              </w:rPr>
              <w:t>c</w:t>
            </w:r>
            <w:r w:rsidR="00827944">
              <w:rPr>
                <w:rFonts w:asciiTheme="minorHAnsi" w:eastAsiaTheme="minorHAnsi" w:hAnsiTheme="minorHAnsi" w:cstheme="minorHAnsi"/>
                <w:bCs/>
                <w:kern w:val="28"/>
                <w:szCs w:val="22"/>
              </w:rPr>
              <w:t xml:space="preserve">ommissioning cycle. </w:t>
            </w:r>
            <w:r w:rsidR="00480C13">
              <w:rPr>
                <w:rFonts w:asciiTheme="minorHAnsi" w:eastAsiaTheme="minorHAnsi" w:hAnsiTheme="minorHAnsi" w:cstheme="minorHAnsi"/>
                <w:bCs/>
                <w:kern w:val="28"/>
                <w:szCs w:val="22"/>
              </w:rPr>
              <w:t xml:space="preserve">It </w:t>
            </w:r>
            <w:r w:rsidR="00827944">
              <w:rPr>
                <w:rFonts w:asciiTheme="minorHAnsi" w:eastAsiaTheme="minorHAnsi" w:hAnsiTheme="minorHAnsi" w:cstheme="minorHAnsi"/>
                <w:bCs/>
                <w:kern w:val="28"/>
                <w:szCs w:val="22"/>
              </w:rPr>
              <w:t>is the process undertaken by ACT</w:t>
            </w:r>
            <w:r w:rsidR="00152127">
              <w:rPr>
                <w:rFonts w:asciiTheme="minorHAnsi" w:eastAsiaTheme="minorHAnsi" w:hAnsiTheme="minorHAnsi" w:cstheme="minorHAnsi"/>
                <w:bCs/>
                <w:kern w:val="28"/>
                <w:szCs w:val="22"/>
              </w:rPr>
              <w:t xml:space="preserve"> Health</w:t>
            </w:r>
            <w:r w:rsidR="00827944" w:rsidRPr="00E17F79">
              <w:rPr>
                <w:rFonts w:asciiTheme="minorHAnsi" w:eastAsiaTheme="minorHAnsi" w:hAnsiTheme="minorHAnsi" w:cstheme="minorHAnsi"/>
                <w:bCs/>
                <w:kern w:val="28"/>
                <w:szCs w:val="22"/>
              </w:rPr>
              <w:t xml:space="preserve"> from </w:t>
            </w:r>
            <w:r w:rsidR="00152127">
              <w:rPr>
                <w:rFonts w:asciiTheme="minorHAnsi" w:eastAsiaTheme="minorHAnsi" w:hAnsiTheme="minorHAnsi" w:cstheme="minorHAnsi"/>
                <w:bCs/>
                <w:kern w:val="28"/>
                <w:szCs w:val="22"/>
              </w:rPr>
              <w:t>February</w:t>
            </w:r>
            <w:r w:rsidR="00C35CA3">
              <w:rPr>
                <w:rFonts w:asciiTheme="minorHAnsi" w:eastAsiaTheme="minorHAnsi" w:hAnsiTheme="minorHAnsi" w:cstheme="minorHAnsi"/>
                <w:bCs/>
                <w:kern w:val="28"/>
                <w:szCs w:val="22"/>
              </w:rPr>
              <w:t xml:space="preserve"> 2022</w:t>
            </w:r>
            <w:r w:rsidR="00827944" w:rsidRPr="00E17F79">
              <w:rPr>
                <w:rFonts w:asciiTheme="minorHAnsi" w:eastAsiaTheme="minorHAnsi" w:hAnsiTheme="minorHAnsi" w:cstheme="minorHAnsi"/>
                <w:bCs/>
                <w:kern w:val="28"/>
                <w:szCs w:val="22"/>
              </w:rPr>
              <w:t xml:space="preserve"> to </w:t>
            </w:r>
            <w:r w:rsidR="001B36CF">
              <w:rPr>
                <w:rFonts w:asciiTheme="minorHAnsi" w:eastAsiaTheme="minorHAnsi" w:hAnsiTheme="minorHAnsi" w:cstheme="minorHAnsi"/>
                <w:bCs/>
                <w:kern w:val="28"/>
                <w:szCs w:val="22"/>
              </w:rPr>
              <w:t xml:space="preserve">July </w:t>
            </w:r>
            <w:r w:rsidR="00827944" w:rsidRPr="00E17F79">
              <w:rPr>
                <w:rFonts w:asciiTheme="minorHAnsi" w:eastAsiaTheme="minorHAnsi" w:hAnsiTheme="minorHAnsi" w:cstheme="minorHAnsi"/>
                <w:bCs/>
                <w:kern w:val="28"/>
                <w:szCs w:val="22"/>
              </w:rPr>
              <w:t>202</w:t>
            </w:r>
            <w:r w:rsidR="001B36CF">
              <w:rPr>
                <w:rFonts w:asciiTheme="minorHAnsi" w:eastAsiaTheme="minorHAnsi" w:hAnsiTheme="minorHAnsi" w:cstheme="minorHAnsi"/>
                <w:bCs/>
                <w:kern w:val="28"/>
                <w:szCs w:val="22"/>
              </w:rPr>
              <w:t>3</w:t>
            </w:r>
            <w:r w:rsidR="00827944">
              <w:rPr>
                <w:rFonts w:asciiTheme="minorHAnsi" w:eastAsiaTheme="minorHAnsi" w:hAnsiTheme="minorHAnsi" w:cstheme="minorHAnsi"/>
                <w:bCs/>
                <w:kern w:val="28"/>
                <w:szCs w:val="22"/>
              </w:rPr>
              <w:t>. It involved a number of workshops</w:t>
            </w:r>
            <w:r w:rsidR="00827944" w:rsidRPr="00E17F79">
              <w:rPr>
                <w:rFonts w:asciiTheme="minorHAnsi" w:eastAsiaTheme="minorHAnsi" w:hAnsiTheme="minorHAnsi" w:cstheme="minorHAnsi"/>
                <w:bCs/>
                <w:kern w:val="28"/>
                <w:szCs w:val="22"/>
              </w:rPr>
              <w:t xml:space="preserve"> with service users, </w:t>
            </w:r>
            <w:r w:rsidR="00152127">
              <w:rPr>
                <w:rFonts w:asciiTheme="minorHAnsi" w:eastAsiaTheme="minorHAnsi" w:hAnsiTheme="minorHAnsi" w:cstheme="minorHAnsi"/>
                <w:bCs/>
                <w:kern w:val="28"/>
                <w:szCs w:val="22"/>
              </w:rPr>
              <w:t>STIBBV</w:t>
            </w:r>
            <w:r w:rsidR="00827944" w:rsidRPr="00E17F79">
              <w:rPr>
                <w:rFonts w:asciiTheme="minorHAnsi" w:eastAsiaTheme="minorHAnsi" w:hAnsiTheme="minorHAnsi" w:cstheme="minorHAnsi"/>
                <w:bCs/>
                <w:kern w:val="28"/>
                <w:szCs w:val="22"/>
              </w:rPr>
              <w:t xml:space="preserve"> subsector</w:t>
            </w:r>
            <w:r w:rsidR="00152127">
              <w:rPr>
                <w:rFonts w:asciiTheme="minorHAnsi" w:eastAsiaTheme="minorHAnsi" w:hAnsiTheme="minorHAnsi" w:cstheme="minorHAnsi"/>
                <w:bCs/>
                <w:kern w:val="28"/>
                <w:szCs w:val="22"/>
              </w:rPr>
              <w:t xml:space="preserve"> organisations</w:t>
            </w:r>
            <w:r w:rsidR="00827944" w:rsidRPr="00E17F79">
              <w:rPr>
                <w:rFonts w:asciiTheme="minorHAnsi" w:eastAsiaTheme="minorHAnsi" w:hAnsiTheme="minorHAnsi" w:cstheme="minorHAnsi"/>
                <w:bCs/>
                <w:kern w:val="28"/>
                <w:szCs w:val="22"/>
              </w:rPr>
              <w:t>, and cross-sectoral partners in preparation for future contractual arrangements. </w:t>
            </w:r>
          </w:p>
        </w:tc>
      </w:tr>
      <w:tr w:rsidR="0089348E" w:rsidRPr="008A3542" w14:paraId="04ED3E8F" w14:textId="77777777" w:rsidTr="00935B45">
        <w:tc>
          <w:tcPr>
            <w:tcW w:w="2263" w:type="dxa"/>
            <w:vAlign w:val="center"/>
          </w:tcPr>
          <w:p w14:paraId="1D29CA3F" w14:textId="68A04F11" w:rsidR="005049C1" w:rsidRPr="00871ED7" w:rsidRDefault="005049C1" w:rsidP="00E9709E">
            <w:pPr>
              <w:spacing w:before="60" w:after="60" w:line="240" w:lineRule="auto"/>
              <w:rPr>
                <w:rFonts w:asciiTheme="minorHAnsi" w:eastAsiaTheme="minorHAnsi" w:hAnsiTheme="minorHAnsi" w:cstheme="minorHAnsi"/>
                <w:b/>
                <w:kern w:val="28"/>
                <w:szCs w:val="22"/>
              </w:rPr>
            </w:pPr>
            <w:r>
              <w:rPr>
                <w:rFonts w:asciiTheme="minorHAnsi" w:eastAsiaTheme="minorHAnsi" w:hAnsiTheme="minorHAnsi" w:cstheme="minorHAnsi"/>
                <w:b/>
                <w:kern w:val="28"/>
                <w:szCs w:val="22"/>
              </w:rPr>
              <w:t>Contractual arrangement</w:t>
            </w:r>
          </w:p>
        </w:tc>
        <w:tc>
          <w:tcPr>
            <w:tcW w:w="7366" w:type="dxa"/>
          </w:tcPr>
          <w:p w14:paraId="67408862" w14:textId="62BECACE" w:rsidR="005049C1" w:rsidRDefault="005049C1"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C</w:t>
            </w:r>
            <w:r w:rsidRPr="00EF267E">
              <w:rPr>
                <w:rFonts w:asciiTheme="minorHAnsi" w:eastAsiaTheme="minorHAnsi" w:hAnsiTheme="minorHAnsi" w:cstheme="minorHAnsi"/>
                <w:bCs/>
                <w:kern w:val="28"/>
                <w:szCs w:val="22"/>
              </w:rPr>
              <w:t xml:space="preserve">ontractual arrangement </w:t>
            </w:r>
            <w:r w:rsidR="00F940AD">
              <w:rPr>
                <w:rFonts w:asciiTheme="minorHAnsi" w:eastAsiaTheme="minorHAnsi" w:hAnsiTheme="minorHAnsi" w:cstheme="minorHAnsi"/>
                <w:bCs/>
                <w:kern w:val="28"/>
                <w:szCs w:val="22"/>
              </w:rPr>
              <w:t>is</w:t>
            </w:r>
            <w:r w:rsidRPr="00EF267E">
              <w:rPr>
                <w:rFonts w:asciiTheme="minorHAnsi" w:eastAsiaTheme="minorHAnsi" w:hAnsiTheme="minorHAnsi" w:cstheme="minorHAnsi"/>
                <w:bCs/>
                <w:kern w:val="28"/>
                <w:szCs w:val="22"/>
              </w:rPr>
              <w:t xml:space="preserve"> the form of contract arrangement that the Territory will enter into once an applicant is found successful. For example, a Deed of Grant or a Service Agreement</w:t>
            </w:r>
            <w:r>
              <w:rPr>
                <w:rFonts w:asciiTheme="minorHAnsi" w:eastAsiaTheme="minorHAnsi" w:hAnsiTheme="minorHAnsi" w:cstheme="minorHAnsi"/>
                <w:bCs/>
                <w:kern w:val="28"/>
                <w:szCs w:val="22"/>
              </w:rPr>
              <w:t>.</w:t>
            </w:r>
          </w:p>
        </w:tc>
      </w:tr>
      <w:tr w:rsidR="00536696" w:rsidRPr="008A3542" w14:paraId="67A020DC" w14:textId="77777777" w:rsidTr="00935B45">
        <w:tc>
          <w:tcPr>
            <w:tcW w:w="2263" w:type="dxa"/>
            <w:vAlign w:val="center"/>
          </w:tcPr>
          <w:p w14:paraId="05112831" w14:textId="69BE981E" w:rsidR="008A3542" w:rsidRPr="00871ED7" w:rsidRDefault="008A3542" w:rsidP="00E9709E">
            <w:pPr>
              <w:spacing w:before="60" w:after="60" w:line="240" w:lineRule="auto"/>
              <w:rPr>
                <w:rFonts w:asciiTheme="minorHAnsi" w:eastAsiaTheme="minorHAnsi" w:hAnsiTheme="minorHAnsi" w:cstheme="minorHAnsi"/>
                <w:b/>
                <w:kern w:val="28"/>
                <w:szCs w:val="22"/>
              </w:rPr>
            </w:pPr>
            <w:r w:rsidRPr="00871ED7">
              <w:rPr>
                <w:rFonts w:asciiTheme="minorHAnsi" w:eastAsiaTheme="minorHAnsi" w:hAnsiTheme="minorHAnsi" w:cstheme="minorHAnsi"/>
                <w:b/>
                <w:kern w:val="28"/>
                <w:szCs w:val="22"/>
              </w:rPr>
              <w:t>Investment</w:t>
            </w:r>
          </w:p>
        </w:tc>
        <w:tc>
          <w:tcPr>
            <w:tcW w:w="7366" w:type="dxa"/>
          </w:tcPr>
          <w:p w14:paraId="7E3F90BA" w14:textId="3DD86E90" w:rsidR="008A3542" w:rsidRPr="008A3542" w:rsidRDefault="001F4CEB" w:rsidP="00E9709E">
            <w:pPr>
              <w:spacing w:before="60" w:after="60" w:line="240" w:lineRule="auto"/>
              <w:rPr>
                <w:rFonts w:asciiTheme="minorHAnsi" w:eastAsiaTheme="minorHAnsi" w:hAnsiTheme="minorHAnsi" w:cstheme="minorHAnsi"/>
                <w:bCs/>
                <w:kern w:val="28"/>
                <w:szCs w:val="22"/>
              </w:rPr>
            </w:pPr>
            <w:bookmarkStart w:id="4" w:name="_Hlk117251888"/>
            <w:r>
              <w:t xml:space="preserve">Investment </w:t>
            </w:r>
            <w:r w:rsidR="00C25BA6">
              <w:t xml:space="preserve">is how the </w:t>
            </w:r>
            <w:r w:rsidR="0096707A">
              <w:t xml:space="preserve">ACT </w:t>
            </w:r>
            <w:r w:rsidR="00D65E4D">
              <w:t>G</w:t>
            </w:r>
            <w:r w:rsidR="00C25BA6">
              <w:t xml:space="preserve">overnment allocates funding and resources to the sector and may involve a </w:t>
            </w:r>
            <w:r w:rsidR="00480C13">
              <w:t xml:space="preserve">range of approaches including a </w:t>
            </w:r>
            <w:r w:rsidR="00C25BA6">
              <w:t xml:space="preserve">mix of </w:t>
            </w:r>
            <w:r w:rsidR="00480C13">
              <w:t>d</w:t>
            </w:r>
            <w:r w:rsidR="00C25BA6" w:rsidRPr="008A3542">
              <w:rPr>
                <w:rFonts w:asciiTheme="minorHAnsi" w:eastAsiaTheme="minorHAnsi" w:hAnsiTheme="minorHAnsi" w:cstheme="minorHAnsi"/>
                <w:bCs/>
                <w:kern w:val="28"/>
                <w:szCs w:val="22"/>
              </w:rPr>
              <w:t xml:space="preserve">irect, </w:t>
            </w:r>
            <w:r w:rsidR="00480C13">
              <w:rPr>
                <w:rFonts w:asciiTheme="minorHAnsi" w:eastAsiaTheme="minorHAnsi" w:hAnsiTheme="minorHAnsi" w:cstheme="minorHAnsi"/>
                <w:bCs/>
                <w:kern w:val="28"/>
                <w:szCs w:val="22"/>
              </w:rPr>
              <w:t>s</w:t>
            </w:r>
            <w:r w:rsidR="00C25BA6" w:rsidRPr="008A3542">
              <w:rPr>
                <w:rFonts w:asciiTheme="minorHAnsi" w:eastAsiaTheme="minorHAnsi" w:hAnsiTheme="minorHAnsi" w:cstheme="minorHAnsi"/>
                <w:bCs/>
                <w:kern w:val="28"/>
                <w:szCs w:val="22"/>
              </w:rPr>
              <w:t xml:space="preserve">elect or </w:t>
            </w:r>
            <w:r w:rsidR="00480C13">
              <w:rPr>
                <w:rFonts w:asciiTheme="minorHAnsi" w:eastAsiaTheme="minorHAnsi" w:hAnsiTheme="minorHAnsi" w:cstheme="minorHAnsi"/>
                <w:bCs/>
                <w:kern w:val="28"/>
                <w:szCs w:val="22"/>
              </w:rPr>
              <w:t>o</w:t>
            </w:r>
            <w:r w:rsidR="00C25BA6" w:rsidRPr="008A3542">
              <w:rPr>
                <w:rFonts w:asciiTheme="minorHAnsi" w:eastAsiaTheme="minorHAnsi" w:hAnsiTheme="minorHAnsi" w:cstheme="minorHAnsi"/>
                <w:bCs/>
                <w:kern w:val="28"/>
                <w:szCs w:val="22"/>
              </w:rPr>
              <w:t xml:space="preserve">pen </w:t>
            </w:r>
            <w:r w:rsidR="00480C13">
              <w:rPr>
                <w:rFonts w:asciiTheme="minorHAnsi" w:eastAsiaTheme="minorHAnsi" w:hAnsiTheme="minorHAnsi" w:cstheme="minorHAnsi"/>
                <w:bCs/>
                <w:kern w:val="28"/>
                <w:szCs w:val="22"/>
              </w:rPr>
              <w:t>g</w:t>
            </w:r>
            <w:r w:rsidR="00C25BA6" w:rsidRPr="008A3542">
              <w:rPr>
                <w:rFonts w:asciiTheme="minorHAnsi" w:eastAsiaTheme="minorHAnsi" w:hAnsiTheme="minorHAnsi" w:cstheme="minorHAnsi"/>
                <w:bCs/>
                <w:kern w:val="28"/>
                <w:szCs w:val="22"/>
              </w:rPr>
              <w:t>rants/</w:t>
            </w:r>
            <w:r w:rsidR="00480C13">
              <w:rPr>
                <w:rFonts w:asciiTheme="minorHAnsi" w:eastAsiaTheme="minorHAnsi" w:hAnsiTheme="minorHAnsi" w:cstheme="minorHAnsi"/>
                <w:bCs/>
                <w:kern w:val="28"/>
                <w:szCs w:val="22"/>
              </w:rPr>
              <w:t>t</w:t>
            </w:r>
            <w:r w:rsidR="00C25BA6" w:rsidRPr="008A3542">
              <w:rPr>
                <w:rFonts w:asciiTheme="minorHAnsi" w:eastAsiaTheme="minorHAnsi" w:hAnsiTheme="minorHAnsi" w:cstheme="minorHAnsi"/>
                <w:bCs/>
                <w:kern w:val="28"/>
                <w:szCs w:val="22"/>
              </w:rPr>
              <w:t>enders.</w:t>
            </w:r>
            <w:r w:rsidR="00C25BA6">
              <w:t xml:space="preserve"> </w:t>
            </w:r>
            <w:r w:rsidR="0043262F">
              <w:t xml:space="preserve">Assessment of the applications </w:t>
            </w:r>
            <w:r w:rsidR="0043262F" w:rsidRPr="008A3542">
              <w:rPr>
                <w:rFonts w:asciiTheme="minorHAnsi" w:eastAsiaTheme="minorHAnsi" w:hAnsiTheme="minorHAnsi" w:cstheme="minorHAnsi"/>
                <w:bCs/>
                <w:kern w:val="28"/>
                <w:szCs w:val="22"/>
              </w:rPr>
              <w:t>will determine which services best meet client needs and represent value for money to the Canberra Community.</w:t>
            </w:r>
            <w:bookmarkEnd w:id="4"/>
          </w:p>
        </w:tc>
      </w:tr>
      <w:tr w:rsidR="00536696" w:rsidRPr="008A3542" w14:paraId="22EE3DEA" w14:textId="77777777" w:rsidTr="00935B45">
        <w:tc>
          <w:tcPr>
            <w:tcW w:w="2263" w:type="dxa"/>
            <w:vAlign w:val="center"/>
          </w:tcPr>
          <w:p w14:paraId="3D087995" w14:textId="327FA1DD" w:rsidR="008A3542" w:rsidRPr="00871ED7" w:rsidRDefault="008A3542" w:rsidP="00E9709E">
            <w:pPr>
              <w:spacing w:before="60" w:after="60" w:line="240" w:lineRule="auto"/>
              <w:rPr>
                <w:rFonts w:asciiTheme="minorHAnsi" w:eastAsiaTheme="minorHAnsi" w:hAnsiTheme="minorHAnsi" w:cstheme="minorHAnsi"/>
                <w:b/>
                <w:kern w:val="28"/>
                <w:szCs w:val="22"/>
              </w:rPr>
            </w:pPr>
            <w:r w:rsidRPr="00871ED7">
              <w:rPr>
                <w:rFonts w:asciiTheme="minorHAnsi" w:eastAsiaTheme="minorHAnsi" w:hAnsiTheme="minorHAnsi" w:cstheme="minorHAnsi"/>
                <w:b/>
                <w:kern w:val="28"/>
                <w:szCs w:val="22"/>
              </w:rPr>
              <w:t xml:space="preserve">Invest </w:t>
            </w:r>
            <w:r w:rsidR="001F4CEB">
              <w:rPr>
                <w:rFonts w:asciiTheme="minorHAnsi" w:eastAsiaTheme="minorHAnsi" w:hAnsiTheme="minorHAnsi" w:cstheme="minorHAnsi"/>
                <w:b/>
                <w:kern w:val="28"/>
                <w:szCs w:val="22"/>
              </w:rPr>
              <w:t>p</w:t>
            </w:r>
            <w:r w:rsidRPr="00871ED7">
              <w:rPr>
                <w:rFonts w:asciiTheme="minorHAnsi" w:eastAsiaTheme="minorHAnsi" w:hAnsiTheme="minorHAnsi" w:cstheme="minorHAnsi"/>
                <w:b/>
                <w:kern w:val="28"/>
                <w:szCs w:val="22"/>
              </w:rPr>
              <w:t>hase</w:t>
            </w:r>
          </w:p>
        </w:tc>
        <w:tc>
          <w:tcPr>
            <w:tcW w:w="7366" w:type="dxa"/>
          </w:tcPr>
          <w:p w14:paraId="092D1E40" w14:textId="3E4494D4" w:rsidR="008A3542" w:rsidRPr="008A3542" w:rsidRDefault="007D6F0B"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 xml:space="preserve">The </w:t>
            </w:r>
            <w:r w:rsidR="001F4CEB">
              <w:rPr>
                <w:rFonts w:asciiTheme="minorHAnsi" w:eastAsiaTheme="minorHAnsi" w:hAnsiTheme="minorHAnsi" w:cstheme="minorHAnsi"/>
                <w:bCs/>
                <w:kern w:val="28"/>
                <w:szCs w:val="22"/>
              </w:rPr>
              <w:t xml:space="preserve">Invest phase </w:t>
            </w:r>
            <w:r w:rsidR="008A3542" w:rsidRPr="008A3542">
              <w:rPr>
                <w:rFonts w:asciiTheme="minorHAnsi" w:eastAsiaTheme="minorHAnsi" w:hAnsiTheme="minorHAnsi" w:cstheme="minorHAnsi"/>
                <w:bCs/>
                <w:kern w:val="28"/>
                <w:szCs w:val="22"/>
              </w:rPr>
              <w:t>inv</w:t>
            </w:r>
            <w:r w:rsidR="0034236A">
              <w:rPr>
                <w:rFonts w:asciiTheme="minorHAnsi" w:eastAsiaTheme="minorHAnsi" w:hAnsiTheme="minorHAnsi" w:cstheme="minorHAnsi"/>
                <w:bCs/>
                <w:kern w:val="28"/>
                <w:szCs w:val="22"/>
              </w:rPr>
              <w:t>olves</w:t>
            </w:r>
            <w:r w:rsidR="00F82B36">
              <w:rPr>
                <w:rFonts w:asciiTheme="minorHAnsi" w:eastAsiaTheme="minorHAnsi" w:hAnsiTheme="minorHAnsi" w:cstheme="minorHAnsi"/>
                <w:bCs/>
                <w:kern w:val="28"/>
                <w:szCs w:val="22"/>
              </w:rPr>
              <w:t xml:space="preserve"> </w:t>
            </w:r>
            <w:r w:rsidR="008A3542" w:rsidRPr="008A3542">
              <w:rPr>
                <w:rFonts w:asciiTheme="minorHAnsi" w:eastAsiaTheme="minorHAnsi" w:hAnsiTheme="minorHAnsi" w:cstheme="minorHAnsi"/>
                <w:bCs/>
                <w:kern w:val="28"/>
                <w:szCs w:val="22"/>
              </w:rPr>
              <w:t xml:space="preserve">using the </w:t>
            </w:r>
            <w:r w:rsidR="00997B8F">
              <w:rPr>
                <w:rFonts w:asciiTheme="minorHAnsi" w:eastAsiaTheme="minorHAnsi" w:hAnsiTheme="minorHAnsi" w:cstheme="minorHAnsi"/>
                <w:bCs/>
                <w:kern w:val="28"/>
                <w:szCs w:val="22"/>
              </w:rPr>
              <w:t>c</w:t>
            </w:r>
            <w:r w:rsidR="00997B8F" w:rsidRPr="008A3542">
              <w:rPr>
                <w:rFonts w:asciiTheme="minorHAnsi" w:eastAsiaTheme="minorHAnsi" w:hAnsiTheme="minorHAnsi" w:cstheme="minorHAnsi"/>
                <w:bCs/>
                <w:kern w:val="28"/>
                <w:szCs w:val="22"/>
              </w:rPr>
              <w:t xml:space="preserve">ommissioning </w:t>
            </w:r>
            <w:r w:rsidR="009414AC">
              <w:rPr>
                <w:rFonts w:asciiTheme="minorHAnsi" w:eastAsiaTheme="minorHAnsi" w:hAnsiTheme="minorHAnsi" w:cstheme="minorHAnsi"/>
                <w:bCs/>
                <w:kern w:val="28"/>
                <w:szCs w:val="22"/>
              </w:rPr>
              <w:t>engagement findings</w:t>
            </w:r>
            <w:r w:rsidR="00CD3D4B">
              <w:rPr>
                <w:rFonts w:asciiTheme="minorHAnsi" w:eastAsiaTheme="minorHAnsi" w:hAnsiTheme="minorHAnsi" w:cstheme="minorHAnsi"/>
                <w:bCs/>
                <w:kern w:val="28"/>
                <w:szCs w:val="22"/>
              </w:rPr>
              <w:t xml:space="preserve"> and insights</w:t>
            </w:r>
            <w:r w:rsidR="009414AC" w:rsidRPr="008A3542">
              <w:rPr>
                <w:rFonts w:asciiTheme="minorHAnsi" w:eastAsiaTheme="minorHAnsi" w:hAnsiTheme="minorHAnsi" w:cstheme="minorHAnsi"/>
                <w:bCs/>
                <w:kern w:val="28"/>
                <w:szCs w:val="22"/>
              </w:rPr>
              <w:t xml:space="preserve"> </w:t>
            </w:r>
            <w:r w:rsidR="008A3542" w:rsidRPr="008A3542">
              <w:rPr>
                <w:rFonts w:asciiTheme="minorHAnsi" w:eastAsiaTheme="minorHAnsi" w:hAnsiTheme="minorHAnsi" w:cstheme="minorHAnsi"/>
                <w:bCs/>
                <w:kern w:val="28"/>
                <w:szCs w:val="22"/>
              </w:rPr>
              <w:t>to inform</w:t>
            </w:r>
            <w:r w:rsidR="009414AC">
              <w:rPr>
                <w:rFonts w:asciiTheme="minorHAnsi" w:eastAsiaTheme="minorHAnsi" w:hAnsiTheme="minorHAnsi" w:cstheme="minorHAnsi"/>
                <w:bCs/>
                <w:kern w:val="28"/>
                <w:szCs w:val="22"/>
              </w:rPr>
              <w:t xml:space="preserve"> the process of</w:t>
            </w:r>
            <w:r w:rsidR="008A3542" w:rsidRPr="008A3542">
              <w:rPr>
                <w:rFonts w:asciiTheme="minorHAnsi" w:eastAsiaTheme="minorHAnsi" w:hAnsiTheme="minorHAnsi" w:cstheme="minorHAnsi"/>
                <w:bCs/>
                <w:kern w:val="28"/>
                <w:szCs w:val="22"/>
              </w:rPr>
              <w:t xml:space="preserve"> </w:t>
            </w:r>
            <w:r w:rsidR="00632BDC">
              <w:rPr>
                <w:rFonts w:asciiTheme="minorHAnsi" w:eastAsiaTheme="minorHAnsi" w:hAnsiTheme="minorHAnsi" w:cstheme="minorHAnsi"/>
                <w:bCs/>
                <w:kern w:val="28"/>
                <w:szCs w:val="22"/>
              </w:rPr>
              <w:t xml:space="preserve">ACT </w:t>
            </w:r>
            <w:r w:rsidR="00FD497A">
              <w:rPr>
                <w:rFonts w:asciiTheme="minorHAnsi" w:eastAsiaTheme="minorHAnsi" w:hAnsiTheme="minorHAnsi" w:cstheme="minorHAnsi"/>
                <w:bCs/>
                <w:kern w:val="28"/>
                <w:szCs w:val="22"/>
              </w:rPr>
              <w:t>G</w:t>
            </w:r>
            <w:r w:rsidR="008A3542" w:rsidRPr="008A3542">
              <w:rPr>
                <w:rFonts w:asciiTheme="minorHAnsi" w:eastAsiaTheme="minorHAnsi" w:hAnsiTheme="minorHAnsi" w:cstheme="minorHAnsi"/>
                <w:bCs/>
                <w:kern w:val="28"/>
                <w:szCs w:val="22"/>
              </w:rPr>
              <w:t>overnment invest</w:t>
            </w:r>
            <w:r w:rsidR="009414AC">
              <w:rPr>
                <w:rFonts w:asciiTheme="minorHAnsi" w:eastAsiaTheme="minorHAnsi" w:hAnsiTheme="minorHAnsi" w:cstheme="minorHAnsi"/>
                <w:bCs/>
                <w:kern w:val="28"/>
                <w:szCs w:val="22"/>
              </w:rPr>
              <w:t>ment</w:t>
            </w:r>
            <w:r w:rsidR="008A3542" w:rsidRPr="008A3542">
              <w:rPr>
                <w:rFonts w:asciiTheme="minorHAnsi" w:eastAsiaTheme="minorHAnsi" w:hAnsiTheme="minorHAnsi" w:cstheme="minorHAnsi"/>
                <w:bCs/>
                <w:kern w:val="28"/>
                <w:szCs w:val="22"/>
              </w:rPr>
              <w:t xml:space="preserve"> in services to meet need. </w:t>
            </w:r>
            <w:r w:rsidR="0034236A">
              <w:rPr>
                <w:rFonts w:asciiTheme="minorHAnsi" w:eastAsiaTheme="minorHAnsi" w:hAnsiTheme="minorHAnsi" w:cstheme="minorHAnsi"/>
                <w:bCs/>
                <w:kern w:val="28"/>
                <w:szCs w:val="22"/>
              </w:rPr>
              <w:t xml:space="preserve">This phase also includes investment planning. </w:t>
            </w:r>
            <w:r w:rsidR="0045650B">
              <w:rPr>
                <w:rFonts w:asciiTheme="minorHAnsi" w:eastAsiaTheme="minorHAnsi" w:hAnsiTheme="minorHAnsi" w:cstheme="minorHAnsi"/>
                <w:bCs/>
                <w:kern w:val="28"/>
                <w:szCs w:val="22"/>
              </w:rPr>
              <w:t>The STIBBV subsector commissioning Invest phase commenced in July 2023.</w:t>
            </w:r>
          </w:p>
        </w:tc>
      </w:tr>
      <w:tr w:rsidR="00536696" w:rsidRPr="008A3542" w14:paraId="631C2FC9" w14:textId="77777777" w:rsidTr="00935B45">
        <w:tc>
          <w:tcPr>
            <w:tcW w:w="2263" w:type="dxa"/>
            <w:vAlign w:val="center"/>
          </w:tcPr>
          <w:p w14:paraId="75435F26" w14:textId="617A340E" w:rsidR="008A3542" w:rsidRPr="00871ED7" w:rsidRDefault="008A3542" w:rsidP="00E9709E">
            <w:pPr>
              <w:spacing w:before="60" w:after="60" w:line="240" w:lineRule="auto"/>
              <w:rPr>
                <w:rFonts w:asciiTheme="minorHAnsi" w:eastAsiaTheme="minorHAnsi" w:hAnsiTheme="minorHAnsi" w:cstheme="minorHAnsi"/>
                <w:b/>
                <w:kern w:val="28"/>
                <w:szCs w:val="22"/>
              </w:rPr>
            </w:pPr>
            <w:r w:rsidRPr="00871ED7">
              <w:rPr>
                <w:rFonts w:asciiTheme="minorHAnsi" w:eastAsiaTheme="minorHAnsi" w:hAnsiTheme="minorHAnsi" w:cstheme="minorHAnsi"/>
                <w:b/>
                <w:kern w:val="28"/>
                <w:szCs w:val="22"/>
              </w:rPr>
              <w:t xml:space="preserve">Open </w:t>
            </w:r>
            <w:r w:rsidR="001F4CEB">
              <w:rPr>
                <w:rFonts w:asciiTheme="minorHAnsi" w:eastAsiaTheme="minorHAnsi" w:hAnsiTheme="minorHAnsi" w:cstheme="minorHAnsi"/>
                <w:b/>
                <w:kern w:val="28"/>
                <w:szCs w:val="22"/>
              </w:rPr>
              <w:t>g</w:t>
            </w:r>
            <w:r w:rsidRPr="00871ED7">
              <w:rPr>
                <w:rFonts w:asciiTheme="minorHAnsi" w:eastAsiaTheme="minorHAnsi" w:hAnsiTheme="minorHAnsi" w:cstheme="minorHAnsi"/>
                <w:b/>
                <w:kern w:val="28"/>
                <w:szCs w:val="22"/>
              </w:rPr>
              <w:t xml:space="preserve">rant or </w:t>
            </w:r>
            <w:r w:rsidR="001F4CEB">
              <w:rPr>
                <w:rFonts w:asciiTheme="minorHAnsi" w:eastAsiaTheme="minorHAnsi" w:hAnsiTheme="minorHAnsi" w:cstheme="minorHAnsi"/>
                <w:b/>
                <w:kern w:val="28"/>
                <w:szCs w:val="22"/>
              </w:rPr>
              <w:t>o</w:t>
            </w:r>
            <w:r w:rsidRPr="00871ED7">
              <w:rPr>
                <w:rFonts w:asciiTheme="minorHAnsi" w:eastAsiaTheme="minorHAnsi" w:hAnsiTheme="minorHAnsi" w:cstheme="minorHAnsi"/>
                <w:b/>
                <w:kern w:val="28"/>
                <w:szCs w:val="22"/>
              </w:rPr>
              <w:t xml:space="preserve">pen </w:t>
            </w:r>
            <w:r w:rsidR="001F4CEB">
              <w:rPr>
                <w:rFonts w:asciiTheme="minorHAnsi" w:eastAsiaTheme="minorHAnsi" w:hAnsiTheme="minorHAnsi" w:cstheme="minorHAnsi"/>
                <w:b/>
                <w:kern w:val="28"/>
                <w:szCs w:val="22"/>
              </w:rPr>
              <w:t>t</w:t>
            </w:r>
            <w:r w:rsidRPr="00871ED7">
              <w:rPr>
                <w:rFonts w:asciiTheme="minorHAnsi" w:eastAsiaTheme="minorHAnsi" w:hAnsiTheme="minorHAnsi" w:cstheme="minorHAnsi"/>
                <w:b/>
                <w:kern w:val="28"/>
                <w:szCs w:val="22"/>
              </w:rPr>
              <w:t>ender</w:t>
            </w:r>
          </w:p>
        </w:tc>
        <w:tc>
          <w:tcPr>
            <w:tcW w:w="7366" w:type="dxa"/>
          </w:tcPr>
          <w:p w14:paraId="34A6190F" w14:textId="5E066F2E" w:rsidR="00C25BA6" w:rsidRPr="008A3542" w:rsidRDefault="001F4CEB"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 xml:space="preserve">Open grant or open tender </w:t>
            </w:r>
            <w:r w:rsidR="00FD497A">
              <w:rPr>
                <w:rFonts w:asciiTheme="minorHAnsi" w:eastAsiaTheme="minorHAnsi" w:hAnsiTheme="minorHAnsi" w:cstheme="minorHAnsi"/>
                <w:bCs/>
                <w:kern w:val="28"/>
                <w:szCs w:val="22"/>
              </w:rPr>
              <w:t>means a</w:t>
            </w:r>
            <w:r w:rsidR="008A3542" w:rsidRPr="008A3542">
              <w:rPr>
                <w:rFonts w:asciiTheme="minorHAnsi" w:eastAsiaTheme="minorHAnsi" w:hAnsiTheme="minorHAnsi" w:cstheme="minorHAnsi"/>
                <w:bCs/>
                <w:kern w:val="28"/>
                <w:szCs w:val="22"/>
              </w:rPr>
              <w:t>n open, public</w:t>
            </w:r>
            <w:r w:rsidR="00537F84">
              <w:rPr>
                <w:rFonts w:asciiTheme="minorHAnsi" w:eastAsiaTheme="minorHAnsi" w:hAnsiTheme="minorHAnsi" w:cstheme="minorHAnsi"/>
                <w:bCs/>
                <w:kern w:val="28"/>
                <w:szCs w:val="22"/>
              </w:rPr>
              <w:t>ly advertised</w:t>
            </w:r>
            <w:r w:rsidR="008A3542" w:rsidRPr="008A3542">
              <w:rPr>
                <w:rFonts w:asciiTheme="minorHAnsi" w:eastAsiaTheme="minorHAnsi" w:hAnsiTheme="minorHAnsi" w:cstheme="minorHAnsi"/>
                <w:bCs/>
                <w:kern w:val="28"/>
                <w:szCs w:val="22"/>
              </w:rPr>
              <w:t xml:space="preserve"> opportunity </w:t>
            </w:r>
            <w:r w:rsidR="00537F84">
              <w:rPr>
                <w:rFonts w:asciiTheme="minorHAnsi" w:eastAsiaTheme="minorHAnsi" w:hAnsiTheme="minorHAnsi" w:cstheme="minorHAnsi"/>
                <w:bCs/>
                <w:kern w:val="28"/>
                <w:szCs w:val="22"/>
              </w:rPr>
              <w:t>that any o</w:t>
            </w:r>
            <w:r w:rsidR="008A3542" w:rsidRPr="008A3542">
              <w:rPr>
                <w:rFonts w:asciiTheme="minorHAnsi" w:eastAsiaTheme="minorHAnsi" w:hAnsiTheme="minorHAnsi" w:cstheme="minorHAnsi"/>
                <w:bCs/>
                <w:kern w:val="28"/>
                <w:szCs w:val="22"/>
              </w:rPr>
              <w:t>rganisation</w:t>
            </w:r>
            <w:r w:rsidR="00537F84">
              <w:rPr>
                <w:rFonts w:asciiTheme="minorHAnsi" w:eastAsiaTheme="minorHAnsi" w:hAnsiTheme="minorHAnsi" w:cstheme="minorHAnsi"/>
                <w:bCs/>
                <w:kern w:val="28"/>
                <w:szCs w:val="22"/>
              </w:rPr>
              <w:t xml:space="preserve"> can apply for</w:t>
            </w:r>
            <w:r w:rsidR="008A3542" w:rsidRPr="008A3542">
              <w:rPr>
                <w:rFonts w:asciiTheme="minorHAnsi" w:eastAsiaTheme="minorHAnsi" w:hAnsiTheme="minorHAnsi" w:cstheme="minorHAnsi"/>
                <w:bCs/>
                <w:kern w:val="28"/>
                <w:szCs w:val="22"/>
              </w:rPr>
              <w:t xml:space="preserve"> seeking to deliver the specified services. </w:t>
            </w:r>
          </w:p>
        </w:tc>
      </w:tr>
      <w:tr w:rsidR="00115656" w:rsidRPr="008A3542" w14:paraId="200C2A63" w14:textId="77777777" w:rsidTr="00935B45">
        <w:tc>
          <w:tcPr>
            <w:tcW w:w="2263" w:type="dxa"/>
            <w:vAlign w:val="center"/>
          </w:tcPr>
          <w:p w14:paraId="49E98B48" w14:textId="61BE6986" w:rsidR="00115656" w:rsidRPr="00871ED7" w:rsidRDefault="00115656" w:rsidP="00E9709E">
            <w:pPr>
              <w:spacing w:before="60" w:after="60" w:line="240" w:lineRule="auto"/>
              <w:rPr>
                <w:rFonts w:asciiTheme="minorHAnsi" w:eastAsiaTheme="minorHAnsi" w:hAnsiTheme="minorHAnsi" w:cstheme="minorHAnsi"/>
                <w:b/>
                <w:kern w:val="28"/>
                <w:szCs w:val="22"/>
              </w:rPr>
            </w:pPr>
            <w:r>
              <w:rPr>
                <w:rFonts w:asciiTheme="minorHAnsi" w:eastAsiaTheme="minorHAnsi" w:hAnsiTheme="minorHAnsi" w:cstheme="minorHAnsi"/>
                <w:b/>
                <w:kern w:val="28"/>
                <w:szCs w:val="22"/>
              </w:rPr>
              <w:t>Proposal</w:t>
            </w:r>
          </w:p>
        </w:tc>
        <w:tc>
          <w:tcPr>
            <w:tcW w:w="7366" w:type="dxa"/>
          </w:tcPr>
          <w:p w14:paraId="1F9130DC" w14:textId="1CD19E4A" w:rsidR="00115656" w:rsidRDefault="00115656"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A response prepared by an organisation (applicant) to a direct approach grant, select approach grant, open grant or open tender.</w:t>
            </w:r>
          </w:p>
        </w:tc>
      </w:tr>
      <w:tr w:rsidR="00536696" w:rsidRPr="008A3542" w14:paraId="1FAFB28D" w14:textId="77777777" w:rsidTr="00935B45">
        <w:tc>
          <w:tcPr>
            <w:tcW w:w="2263" w:type="dxa"/>
            <w:vAlign w:val="center"/>
          </w:tcPr>
          <w:p w14:paraId="24A9B7D0" w14:textId="450B3DE7" w:rsidR="00FD497A" w:rsidRPr="00871ED7" w:rsidRDefault="00152127" w:rsidP="00E9709E">
            <w:pPr>
              <w:spacing w:before="60" w:after="60" w:line="240" w:lineRule="auto"/>
              <w:rPr>
                <w:rFonts w:asciiTheme="minorHAnsi" w:eastAsiaTheme="minorHAnsi" w:hAnsiTheme="minorHAnsi" w:cstheme="minorHAnsi"/>
                <w:b/>
                <w:kern w:val="28"/>
                <w:szCs w:val="22"/>
              </w:rPr>
            </w:pPr>
            <w:r>
              <w:rPr>
                <w:b/>
                <w:szCs w:val="22"/>
              </w:rPr>
              <w:t>Subs</w:t>
            </w:r>
            <w:r w:rsidR="00FD497A" w:rsidRPr="00871ED7">
              <w:rPr>
                <w:b/>
                <w:szCs w:val="22"/>
              </w:rPr>
              <w:t>ector</w:t>
            </w:r>
          </w:p>
        </w:tc>
        <w:tc>
          <w:tcPr>
            <w:tcW w:w="7366" w:type="dxa"/>
          </w:tcPr>
          <w:p w14:paraId="1DFD764A" w14:textId="569A097A" w:rsidR="00FD497A" w:rsidRPr="008A3542" w:rsidRDefault="001F4CEB" w:rsidP="00E9709E">
            <w:pPr>
              <w:spacing w:before="60" w:after="60" w:line="240" w:lineRule="auto"/>
              <w:rPr>
                <w:rFonts w:asciiTheme="minorHAnsi" w:eastAsiaTheme="minorHAnsi" w:hAnsiTheme="minorHAnsi" w:cstheme="minorHAnsi"/>
                <w:bCs/>
                <w:kern w:val="28"/>
                <w:szCs w:val="22"/>
              </w:rPr>
            </w:pPr>
            <w:r>
              <w:rPr>
                <w:szCs w:val="22"/>
              </w:rPr>
              <w:t xml:space="preserve">The </w:t>
            </w:r>
            <w:r w:rsidR="00FD497A" w:rsidRPr="008A3542">
              <w:rPr>
                <w:szCs w:val="22"/>
              </w:rPr>
              <w:t xml:space="preserve">ACT </w:t>
            </w:r>
            <w:r w:rsidR="00152127">
              <w:rPr>
                <w:szCs w:val="22"/>
              </w:rPr>
              <w:t xml:space="preserve">Sexually Transmissible </w:t>
            </w:r>
            <w:r w:rsidR="00C8768A">
              <w:rPr>
                <w:szCs w:val="22"/>
              </w:rPr>
              <w:t>Infections</w:t>
            </w:r>
            <w:r w:rsidR="00152127">
              <w:rPr>
                <w:szCs w:val="22"/>
              </w:rPr>
              <w:t xml:space="preserve"> and Blood Borne </w:t>
            </w:r>
            <w:r w:rsidR="00114802">
              <w:rPr>
                <w:szCs w:val="22"/>
              </w:rPr>
              <w:t xml:space="preserve">Viruses </w:t>
            </w:r>
            <w:r w:rsidR="00114802" w:rsidRPr="008A3542">
              <w:rPr>
                <w:szCs w:val="22"/>
              </w:rPr>
              <w:t>subsector</w:t>
            </w:r>
            <w:r>
              <w:rPr>
                <w:szCs w:val="22"/>
              </w:rPr>
              <w:t>.</w:t>
            </w:r>
          </w:p>
        </w:tc>
      </w:tr>
      <w:tr w:rsidR="00115656" w:rsidRPr="008A3542" w14:paraId="741D05F6" w14:textId="77777777" w:rsidTr="00935B45">
        <w:tc>
          <w:tcPr>
            <w:tcW w:w="2263" w:type="dxa"/>
            <w:vAlign w:val="center"/>
          </w:tcPr>
          <w:p w14:paraId="73E4D26F" w14:textId="298DD38A" w:rsidR="00115656" w:rsidRDefault="00115656" w:rsidP="00E9709E">
            <w:pPr>
              <w:spacing w:before="60" w:after="60" w:line="240" w:lineRule="auto"/>
              <w:rPr>
                <w:rFonts w:asciiTheme="minorHAnsi" w:eastAsiaTheme="minorHAnsi" w:hAnsiTheme="minorHAnsi" w:cstheme="minorHAnsi"/>
                <w:b/>
                <w:kern w:val="28"/>
                <w:szCs w:val="22"/>
              </w:rPr>
            </w:pPr>
            <w:r w:rsidRPr="00871ED7">
              <w:rPr>
                <w:rFonts w:asciiTheme="minorHAnsi" w:eastAsiaTheme="minorHAnsi" w:hAnsiTheme="minorHAnsi" w:cstheme="minorHAnsi"/>
                <w:b/>
                <w:kern w:val="28"/>
                <w:szCs w:val="22"/>
              </w:rPr>
              <w:t xml:space="preserve">Select </w:t>
            </w:r>
            <w:r>
              <w:rPr>
                <w:rFonts w:asciiTheme="minorHAnsi" w:eastAsiaTheme="minorHAnsi" w:hAnsiTheme="minorHAnsi" w:cstheme="minorHAnsi"/>
                <w:b/>
                <w:kern w:val="28"/>
                <w:szCs w:val="22"/>
              </w:rPr>
              <w:t>a</w:t>
            </w:r>
            <w:r w:rsidRPr="00871ED7">
              <w:rPr>
                <w:rFonts w:asciiTheme="minorHAnsi" w:eastAsiaTheme="minorHAnsi" w:hAnsiTheme="minorHAnsi" w:cstheme="minorHAnsi"/>
                <w:b/>
                <w:kern w:val="28"/>
                <w:szCs w:val="22"/>
              </w:rPr>
              <w:t xml:space="preserve">pproach </w:t>
            </w:r>
            <w:r>
              <w:rPr>
                <w:rFonts w:asciiTheme="minorHAnsi" w:eastAsiaTheme="minorHAnsi" w:hAnsiTheme="minorHAnsi" w:cstheme="minorHAnsi"/>
                <w:b/>
                <w:kern w:val="28"/>
                <w:szCs w:val="22"/>
              </w:rPr>
              <w:t>g</w:t>
            </w:r>
            <w:r w:rsidRPr="00871ED7">
              <w:rPr>
                <w:rFonts w:asciiTheme="minorHAnsi" w:eastAsiaTheme="minorHAnsi" w:hAnsiTheme="minorHAnsi" w:cstheme="minorHAnsi"/>
                <w:b/>
                <w:kern w:val="28"/>
                <w:szCs w:val="22"/>
              </w:rPr>
              <w:t>rant</w:t>
            </w:r>
          </w:p>
        </w:tc>
        <w:tc>
          <w:tcPr>
            <w:tcW w:w="7366" w:type="dxa"/>
          </w:tcPr>
          <w:p w14:paraId="2C69DBAB" w14:textId="28FC008B" w:rsidR="00115656" w:rsidRDefault="00115656"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Select approach grant means inviting</w:t>
            </w:r>
            <w:r w:rsidRPr="008A3542">
              <w:rPr>
                <w:rFonts w:asciiTheme="minorHAnsi" w:eastAsiaTheme="minorHAnsi" w:hAnsiTheme="minorHAnsi" w:cstheme="minorHAnsi"/>
                <w:bCs/>
                <w:kern w:val="28"/>
                <w:szCs w:val="22"/>
              </w:rPr>
              <w:t xml:space="preserve"> a number of organisations to submit</w:t>
            </w:r>
            <w:r>
              <w:rPr>
                <w:rFonts w:asciiTheme="minorHAnsi" w:eastAsiaTheme="minorHAnsi" w:hAnsiTheme="minorHAnsi" w:cstheme="minorHAnsi"/>
                <w:bCs/>
                <w:kern w:val="28"/>
                <w:szCs w:val="22"/>
              </w:rPr>
              <w:t xml:space="preserve"> a</w:t>
            </w:r>
            <w:r w:rsidRPr="008A3542">
              <w:rPr>
                <w:rFonts w:asciiTheme="minorHAnsi" w:eastAsiaTheme="minorHAnsi" w:hAnsiTheme="minorHAnsi" w:cstheme="minorHAnsi"/>
                <w:bCs/>
                <w:kern w:val="28"/>
                <w:szCs w:val="22"/>
              </w:rPr>
              <w:t xml:space="preserve"> grant </w:t>
            </w:r>
            <w:r>
              <w:rPr>
                <w:rFonts w:asciiTheme="minorHAnsi" w:eastAsiaTheme="minorHAnsi" w:hAnsiTheme="minorHAnsi" w:cstheme="minorHAnsi"/>
                <w:bCs/>
                <w:kern w:val="28"/>
                <w:szCs w:val="22"/>
              </w:rPr>
              <w:t>application(s)</w:t>
            </w:r>
            <w:r w:rsidRPr="008A3542">
              <w:rPr>
                <w:rFonts w:asciiTheme="minorHAnsi" w:eastAsiaTheme="minorHAnsi" w:hAnsiTheme="minorHAnsi" w:cstheme="minorHAnsi"/>
                <w:bCs/>
                <w:kern w:val="28"/>
                <w:szCs w:val="22"/>
              </w:rPr>
              <w:t xml:space="preserve"> for a limited number of </w:t>
            </w:r>
            <w:r>
              <w:rPr>
                <w:rFonts w:asciiTheme="minorHAnsi" w:eastAsiaTheme="minorHAnsi" w:hAnsiTheme="minorHAnsi" w:cstheme="minorHAnsi"/>
                <w:bCs/>
                <w:kern w:val="28"/>
                <w:szCs w:val="22"/>
              </w:rPr>
              <w:t>service</w:t>
            </w:r>
            <w:r w:rsidR="00480C13">
              <w:rPr>
                <w:rFonts w:asciiTheme="minorHAnsi" w:eastAsiaTheme="minorHAnsi" w:hAnsiTheme="minorHAnsi" w:cstheme="minorHAnsi"/>
                <w:bCs/>
                <w:kern w:val="28"/>
                <w:szCs w:val="22"/>
              </w:rPr>
              <w:t>s</w:t>
            </w:r>
            <w:r w:rsidRPr="008A3542">
              <w:rPr>
                <w:rFonts w:asciiTheme="minorHAnsi" w:eastAsiaTheme="minorHAnsi" w:hAnsiTheme="minorHAnsi" w:cstheme="minorHAnsi"/>
                <w:bCs/>
                <w:kern w:val="28"/>
                <w:szCs w:val="22"/>
              </w:rPr>
              <w:t>.</w:t>
            </w:r>
          </w:p>
        </w:tc>
      </w:tr>
      <w:tr w:rsidR="007439F7" w:rsidRPr="008A3542" w14:paraId="4E41165F" w14:textId="77777777" w:rsidTr="00935B45">
        <w:tc>
          <w:tcPr>
            <w:tcW w:w="2263" w:type="dxa"/>
            <w:vAlign w:val="center"/>
          </w:tcPr>
          <w:p w14:paraId="769FEAB9" w14:textId="3FB02A50" w:rsidR="007439F7" w:rsidRPr="00871ED7" w:rsidRDefault="007439F7" w:rsidP="00E9709E">
            <w:pPr>
              <w:spacing w:before="60" w:after="60" w:line="240" w:lineRule="auto"/>
              <w:rPr>
                <w:rFonts w:asciiTheme="minorHAnsi" w:eastAsiaTheme="minorHAnsi" w:hAnsiTheme="minorHAnsi" w:cstheme="minorHAnsi"/>
                <w:b/>
                <w:kern w:val="28"/>
                <w:szCs w:val="22"/>
              </w:rPr>
            </w:pPr>
            <w:r>
              <w:rPr>
                <w:rFonts w:asciiTheme="minorHAnsi" w:eastAsiaTheme="minorHAnsi" w:hAnsiTheme="minorHAnsi" w:cstheme="minorHAnsi"/>
                <w:b/>
                <w:kern w:val="28"/>
                <w:szCs w:val="22"/>
              </w:rPr>
              <w:t>STIBBV</w:t>
            </w:r>
          </w:p>
        </w:tc>
        <w:tc>
          <w:tcPr>
            <w:tcW w:w="7366" w:type="dxa"/>
          </w:tcPr>
          <w:p w14:paraId="6FFCBF3A" w14:textId="07D27D83" w:rsidR="007439F7" w:rsidRDefault="007439F7"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 xml:space="preserve">Sexually Transmissible Infections and Blood Borne Viruses – this includes diseases listed in the </w:t>
            </w:r>
            <w:r w:rsidRPr="007439F7">
              <w:rPr>
                <w:rFonts w:asciiTheme="minorHAnsi" w:eastAsiaTheme="minorHAnsi" w:hAnsiTheme="minorHAnsi" w:cstheme="minorHAnsi"/>
                <w:bCs/>
                <w:i/>
                <w:iCs/>
                <w:kern w:val="28"/>
                <w:szCs w:val="22"/>
              </w:rPr>
              <w:t>Hepatitis B, Hepatitis C, HIV and Sexually Transmissible Infections: Statement of Priorities</w:t>
            </w:r>
            <w:r>
              <w:rPr>
                <w:rFonts w:asciiTheme="minorHAnsi" w:eastAsiaTheme="minorHAnsi" w:hAnsiTheme="minorHAnsi" w:cstheme="minorHAnsi"/>
                <w:bCs/>
                <w:kern w:val="28"/>
                <w:szCs w:val="22"/>
              </w:rPr>
              <w:t>.</w:t>
            </w:r>
          </w:p>
        </w:tc>
      </w:tr>
      <w:tr w:rsidR="00115656" w:rsidRPr="008A3542" w14:paraId="361301B3" w14:textId="77777777" w:rsidTr="00935B45">
        <w:tc>
          <w:tcPr>
            <w:tcW w:w="2263" w:type="dxa"/>
            <w:vAlign w:val="center"/>
          </w:tcPr>
          <w:p w14:paraId="767B41EE" w14:textId="328AA9E1" w:rsidR="00115656" w:rsidRPr="00871ED7" w:rsidRDefault="00115656" w:rsidP="00E9709E">
            <w:pPr>
              <w:spacing w:before="60" w:after="60" w:line="240" w:lineRule="auto"/>
              <w:rPr>
                <w:rFonts w:asciiTheme="minorHAnsi" w:eastAsiaTheme="minorHAnsi" w:hAnsiTheme="minorHAnsi" w:cstheme="minorHAnsi"/>
                <w:b/>
                <w:kern w:val="28"/>
                <w:szCs w:val="22"/>
              </w:rPr>
            </w:pPr>
            <w:r>
              <w:rPr>
                <w:rFonts w:asciiTheme="minorHAnsi" w:eastAsiaTheme="minorHAnsi" w:hAnsiTheme="minorHAnsi" w:cstheme="minorHAnsi"/>
                <w:b/>
                <w:kern w:val="28"/>
                <w:szCs w:val="22"/>
              </w:rPr>
              <w:t xml:space="preserve">Strategic Investment </w:t>
            </w:r>
            <w:r w:rsidRPr="00871ED7">
              <w:rPr>
                <w:rFonts w:asciiTheme="minorHAnsi" w:eastAsiaTheme="minorHAnsi" w:hAnsiTheme="minorHAnsi" w:cstheme="minorHAnsi"/>
                <w:b/>
                <w:kern w:val="28"/>
                <w:szCs w:val="22"/>
              </w:rPr>
              <w:t>Plan</w:t>
            </w:r>
          </w:p>
        </w:tc>
        <w:tc>
          <w:tcPr>
            <w:tcW w:w="7366" w:type="dxa"/>
          </w:tcPr>
          <w:p w14:paraId="719D2EA2" w14:textId="7592EE5C" w:rsidR="00115656" w:rsidRDefault="00115656"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 xml:space="preserve">The </w:t>
            </w:r>
            <w:r w:rsidRPr="008A3542">
              <w:rPr>
                <w:rFonts w:asciiTheme="minorHAnsi" w:eastAsiaTheme="minorHAnsi" w:hAnsiTheme="minorHAnsi" w:cstheme="minorHAnsi"/>
                <w:bCs/>
                <w:kern w:val="28"/>
                <w:szCs w:val="22"/>
              </w:rPr>
              <w:t>Strategic Investment Plan</w:t>
            </w:r>
            <w:r>
              <w:rPr>
                <w:rFonts w:asciiTheme="minorHAnsi" w:eastAsiaTheme="minorHAnsi" w:hAnsiTheme="minorHAnsi" w:cstheme="minorHAnsi"/>
                <w:bCs/>
                <w:kern w:val="28"/>
                <w:szCs w:val="22"/>
              </w:rPr>
              <w:t xml:space="preserve"> uses the findings</w:t>
            </w:r>
            <w:r w:rsidR="00480C13">
              <w:rPr>
                <w:rFonts w:asciiTheme="minorHAnsi" w:eastAsiaTheme="minorHAnsi" w:hAnsiTheme="minorHAnsi" w:cstheme="minorHAnsi"/>
                <w:bCs/>
                <w:kern w:val="28"/>
                <w:szCs w:val="22"/>
              </w:rPr>
              <w:t xml:space="preserve"> and insights</w:t>
            </w:r>
            <w:r>
              <w:rPr>
                <w:rFonts w:asciiTheme="minorHAnsi" w:eastAsiaTheme="minorHAnsi" w:hAnsiTheme="minorHAnsi" w:cstheme="minorHAnsi"/>
                <w:bCs/>
                <w:kern w:val="28"/>
                <w:szCs w:val="22"/>
              </w:rPr>
              <w:t xml:space="preserve"> from the commissioning engagement </w:t>
            </w:r>
            <w:r w:rsidR="006563B9">
              <w:rPr>
                <w:rFonts w:asciiTheme="minorHAnsi" w:eastAsiaTheme="minorHAnsi" w:hAnsiTheme="minorHAnsi" w:cstheme="minorHAnsi"/>
                <w:bCs/>
                <w:kern w:val="28"/>
                <w:szCs w:val="22"/>
              </w:rPr>
              <w:t xml:space="preserve">process </w:t>
            </w:r>
            <w:r>
              <w:rPr>
                <w:rFonts w:asciiTheme="minorHAnsi" w:eastAsiaTheme="minorHAnsi" w:hAnsiTheme="minorHAnsi" w:cstheme="minorHAnsi"/>
                <w:bCs/>
                <w:kern w:val="28"/>
                <w:szCs w:val="22"/>
              </w:rPr>
              <w:t xml:space="preserve">to </w:t>
            </w:r>
            <w:r>
              <w:rPr>
                <w:szCs w:val="22"/>
              </w:rPr>
              <w:t xml:space="preserve">set out how and where the </w:t>
            </w:r>
            <w:r w:rsidR="00017997">
              <w:rPr>
                <w:szCs w:val="22"/>
              </w:rPr>
              <w:t>ACT G</w:t>
            </w:r>
            <w:r>
              <w:rPr>
                <w:szCs w:val="22"/>
              </w:rPr>
              <w:t xml:space="preserve">overnment will invest in the </w:t>
            </w:r>
            <w:r w:rsidR="00B01E06">
              <w:rPr>
                <w:szCs w:val="22"/>
              </w:rPr>
              <w:t>future</w:t>
            </w:r>
            <w:r w:rsidRPr="006C70C4">
              <w:rPr>
                <w:szCs w:val="22"/>
              </w:rPr>
              <w:t xml:space="preserve"> </w:t>
            </w:r>
            <w:r w:rsidR="00152127">
              <w:rPr>
                <w:szCs w:val="22"/>
              </w:rPr>
              <w:t xml:space="preserve">STIBBV </w:t>
            </w:r>
            <w:r w:rsidRPr="006C70C4">
              <w:rPr>
                <w:szCs w:val="22"/>
              </w:rPr>
              <w:t xml:space="preserve">service delivery </w:t>
            </w:r>
            <w:r>
              <w:rPr>
                <w:szCs w:val="22"/>
              </w:rPr>
              <w:t>for the ACT.</w:t>
            </w:r>
            <w:r w:rsidRPr="006C70C4">
              <w:rPr>
                <w:szCs w:val="22"/>
              </w:rPr>
              <w:t xml:space="preserve"> </w:t>
            </w:r>
          </w:p>
        </w:tc>
      </w:tr>
      <w:tr w:rsidR="001E45A3" w:rsidRPr="008A3542" w14:paraId="354AB3F2" w14:textId="77777777" w:rsidTr="00935B45">
        <w:tc>
          <w:tcPr>
            <w:tcW w:w="2263" w:type="dxa"/>
            <w:vAlign w:val="center"/>
          </w:tcPr>
          <w:p w14:paraId="1485D093" w14:textId="70E130DB" w:rsidR="001E45A3" w:rsidRDefault="001E45A3" w:rsidP="00E9709E">
            <w:pPr>
              <w:spacing w:before="60" w:after="60" w:line="240" w:lineRule="auto"/>
              <w:rPr>
                <w:rFonts w:asciiTheme="minorHAnsi" w:eastAsiaTheme="minorHAnsi" w:hAnsiTheme="minorHAnsi" w:cstheme="minorHAnsi"/>
                <w:b/>
                <w:kern w:val="28"/>
                <w:szCs w:val="22"/>
              </w:rPr>
            </w:pPr>
            <w:r>
              <w:rPr>
                <w:rFonts w:asciiTheme="minorHAnsi" w:eastAsiaTheme="minorHAnsi" w:hAnsiTheme="minorHAnsi" w:cstheme="minorHAnsi"/>
                <w:b/>
                <w:kern w:val="28"/>
                <w:szCs w:val="22"/>
              </w:rPr>
              <w:lastRenderedPageBreak/>
              <w:t xml:space="preserve">Statement of Priorities </w:t>
            </w:r>
          </w:p>
        </w:tc>
        <w:tc>
          <w:tcPr>
            <w:tcW w:w="7366" w:type="dxa"/>
          </w:tcPr>
          <w:p w14:paraId="6C9F45EE" w14:textId="680E6FE4" w:rsidR="001E45A3" w:rsidRPr="0054033F" w:rsidRDefault="001E45A3" w:rsidP="00E9709E">
            <w:pPr>
              <w:spacing w:before="60" w:after="60" w:line="240" w:lineRule="auto"/>
              <w:rPr>
                <w:rFonts w:asciiTheme="minorHAnsi" w:eastAsiaTheme="minorHAnsi" w:hAnsiTheme="minorHAnsi" w:cstheme="minorHAnsi"/>
                <w:bCs/>
                <w:kern w:val="28"/>
                <w:szCs w:val="22"/>
              </w:rPr>
            </w:pPr>
            <w:r>
              <w:rPr>
                <w:rFonts w:asciiTheme="minorHAnsi" w:eastAsiaTheme="minorHAnsi" w:hAnsiTheme="minorHAnsi" w:cstheme="minorHAnsi"/>
                <w:bCs/>
                <w:kern w:val="28"/>
                <w:szCs w:val="22"/>
              </w:rPr>
              <w:t xml:space="preserve">Refers to the </w:t>
            </w:r>
            <w:bookmarkStart w:id="5" w:name="_Hlk144998587"/>
            <w:r w:rsidR="00772733">
              <w:rPr>
                <w:rFonts w:asciiTheme="minorHAnsi" w:eastAsiaTheme="minorHAnsi" w:hAnsiTheme="minorHAnsi" w:cstheme="minorHAnsi"/>
                <w:bCs/>
                <w:i/>
                <w:iCs/>
                <w:kern w:val="28"/>
                <w:szCs w:val="22"/>
              </w:rPr>
              <w:fldChar w:fldCharType="begin"/>
            </w:r>
            <w:r w:rsidR="00772733">
              <w:rPr>
                <w:rFonts w:asciiTheme="minorHAnsi" w:eastAsiaTheme="minorHAnsi" w:hAnsiTheme="minorHAnsi" w:cstheme="minorHAnsi"/>
                <w:bCs/>
                <w:i/>
                <w:iCs/>
                <w:kern w:val="28"/>
                <w:szCs w:val="22"/>
              </w:rPr>
              <w:instrText>HYPERLINK "https://www.health.act.gov.au/sites/default/files/2018-09/Hepatitis%20B,%20Hepatitis%20C,%20HIV%20and%20Sexually%20Transmissible%20Infections%20ACT%20Statement%20of%20Priorities%202016-2020.pdf"</w:instrText>
            </w:r>
            <w:r w:rsidR="00772733">
              <w:rPr>
                <w:rFonts w:asciiTheme="minorHAnsi" w:eastAsiaTheme="minorHAnsi" w:hAnsiTheme="minorHAnsi" w:cstheme="minorHAnsi"/>
                <w:bCs/>
                <w:i/>
                <w:iCs/>
                <w:kern w:val="28"/>
                <w:szCs w:val="22"/>
              </w:rPr>
            </w:r>
            <w:r w:rsidR="00772733">
              <w:rPr>
                <w:rFonts w:asciiTheme="minorHAnsi" w:eastAsiaTheme="minorHAnsi" w:hAnsiTheme="minorHAnsi" w:cstheme="minorHAnsi"/>
                <w:bCs/>
                <w:i/>
                <w:iCs/>
                <w:kern w:val="28"/>
                <w:szCs w:val="22"/>
              </w:rPr>
              <w:fldChar w:fldCharType="separate"/>
            </w:r>
            <w:r w:rsidRPr="00772733">
              <w:rPr>
                <w:rStyle w:val="Hyperlink"/>
                <w:rFonts w:asciiTheme="minorHAnsi" w:eastAsiaTheme="minorHAnsi" w:hAnsiTheme="minorHAnsi" w:cstheme="minorHAnsi"/>
                <w:bCs/>
                <w:i/>
                <w:iCs/>
                <w:kern w:val="28"/>
                <w:szCs w:val="22"/>
              </w:rPr>
              <w:t xml:space="preserve">Hepatitis B, Hepatitis C, HIV and Sexually Transmissible </w:t>
            </w:r>
            <w:r w:rsidR="0054033F" w:rsidRPr="00772733">
              <w:rPr>
                <w:rStyle w:val="Hyperlink"/>
                <w:rFonts w:asciiTheme="minorHAnsi" w:eastAsiaTheme="minorHAnsi" w:hAnsiTheme="minorHAnsi" w:cstheme="minorHAnsi"/>
                <w:bCs/>
                <w:i/>
                <w:iCs/>
                <w:kern w:val="28"/>
                <w:szCs w:val="22"/>
              </w:rPr>
              <w:t>Infections ACT Statement of Priorities</w:t>
            </w:r>
            <w:bookmarkEnd w:id="5"/>
            <w:r w:rsidR="00772733">
              <w:rPr>
                <w:rFonts w:asciiTheme="minorHAnsi" w:eastAsiaTheme="minorHAnsi" w:hAnsiTheme="minorHAnsi" w:cstheme="minorHAnsi"/>
                <w:bCs/>
                <w:i/>
                <w:iCs/>
                <w:kern w:val="28"/>
                <w:szCs w:val="22"/>
              </w:rPr>
              <w:fldChar w:fldCharType="end"/>
            </w:r>
            <w:r w:rsidR="0054033F">
              <w:rPr>
                <w:rFonts w:asciiTheme="minorHAnsi" w:eastAsiaTheme="minorHAnsi" w:hAnsiTheme="minorHAnsi" w:cstheme="minorHAnsi"/>
                <w:bCs/>
                <w:kern w:val="28"/>
                <w:szCs w:val="22"/>
              </w:rPr>
              <w:t>.</w:t>
            </w:r>
            <w:r w:rsidR="00772733">
              <w:rPr>
                <w:rFonts w:asciiTheme="minorHAnsi" w:eastAsiaTheme="minorHAnsi" w:hAnsiTheme="minorHAnsi" w:cstheme="minorHAnsi"/>
                <w:bCs/>
                <w:kern w:val="28"/>
                <w:szCs w:val="22"/>
              </w:rPr>
              <w:t xml:space="preserve"> The 2016-2020 version is still current</w:t>
            </w:r>
            <w:r w:rsidR="00935B45">
              <w:rPr>
                <w:rFonts w:asciiTheme="minorHAnsi" w:eastAsiaTheme="minorHAnsi" w:hAnsiTheme="minorHAnsi" w:cstheme="minorHAnsi"/>
                <w:bCs/>
                <w:kern w:val="28"/>
                <w:szCs w:val="22"/>
              </w:rPr>
              <w:t>,</w:t>
            </w:r>
            <w:r w:rsidR="00772733">
              <w:rPr>
                <w:rFonts w:asciiTheme="minorHAnsi" w:eastAsiaTheme="minorHAnsi" w:hAnsiTheme="minorHAnsi" w:cstheme="minorHAnsi"/>
                <w:bCs/>
                <w:kern w:val="28"/>
                <w:szCs w:val="22"/>
              </w:rPr>
              <w:t xml:space="preserve"> pending </w:t>
            </w:r>
            <w:r w:rsidR="00935B45">
              <w:rPr>
                <w:rFonts w:asciiTheme="minorHAnsi" w:eastAsiaTheme="minorHAnsi" w:hAnsiTheme="minorHAnsi" w:cstheme="minorHAnsi"/>
                <w:bCs/>
                <w:kern w:val="28"/>
                <w:szCs w:val="22"/>
              </w:rPr>
              <w:t>publication</w:t>
            </w:r>
            <w:r w:rsidR="00772733">
              <w:rPr>
                <w:rFonts w:asciiTheme="minorHAnsi" w:eastAsiaTheme="minorHAnsi" w:hAnsiTheme="minorHAnsi" w:cstheme="minorHAnsi"/>
                <w:bCs/>
                <w:kern w:val="28"/>
                <w:szCs w:val="22"/>
              </w:rPr>
              <w:t xml:space="preserve"> of the next version of the Statement of Priorities in 2024.</w:t>
            </w:r>
          </w:p>
        </w:tc>
      </w:tr>
    </w:tbl>
    <w:p w14:paraId="54F9AFE3" w14:textId="7E087822" w:rsidR="002E12C4" w:rsidRPr="005A3EF5" w:rsidRDefault="002E12C4" w:rsidP="002C5317">
      <w:pPr>
        <w:pStyle w:val="Heading1"/>
      </w:pPr>
      <w:bookmarkStart w:id="6" w:name="_Toc144494373"/>
      <w:bookmarkStart w:id="7" w:name="_Toc117249102"/>
      <w:bookmarkEnd w:id="2"/>
      <w:r w:rsidRPr="005A3EF5">
        <w:t>Introduction</w:t>
      </w:r>
      <w:bookmarkEnd w:id="6"/>
    </w:p>
    <w:p w14:paraId="6CAB2FFB" w14:textId="745C3A4A" w:rsidR="0030726B" w:rsidRPr="0023064E" w:rsidRDefault="0030726B" w:rsidP="006A1CC9">
      <w:pPr>
        <w:rPr>
          <w:rFonts w:asciiTheme="minorHAnsi" w:hAnsiTheme="minorHAnsi" w:cstheme="minorHAnsi"/>
          <w:szCs w:val="22"/>
        </w:rPr>
      </w:pPr>
      <w:r w:rsidRPr="0023064E">
        <w:rPr>
          <w:rFonts w:asciiTheme="minorHAnsi" w:hAnsiTheme="minorHAnsi" w:cstheme="minorHAnsi"/>
          <w:szCs w:val="22"/>
        </w:rPr>
        <w:t xml:space="preserve">This Strategic Investment Plan (SIP) signals commencement of the </w:t>
      </w:r>
      <w:r w:rsidR="00AB004C">
        <w:rPr>
          <w:rFonts w:asciiTheme="minorHAnsi" w:hAnsiTheme="minorHAnsi" w:cstheme="minorHAnsi"/>
          <w:szCs w:val="22"/>
        </w:rPr>
        <w:t>i</w:t>
      </w:r>
      <w:r w:rsidR="00AB004C" w:rsidRPr="0023064E">
        <w:rPr>
          <w:rFonts w:asciiTheme="minorHAnsi" w:hAnsiTheme="minorHAnsi" w:cstheme="minorHAnsi"/>
          <w:szCs w:val="22"/>
        </w:rPr>
        <w:t xml:space="preserve">nvest </w:t>
      </w:r>
      <w:r w:rsidRPr="0023064E">
        <w:rPr>
          <w:rFonts w:asciiTheme="minorHAnsi" w:hAnsiTheme="minorHAnsi" w:cstheme="minorHAnsi"/>
          <w:szCs w:val="22"/>
        </w:rPr>
        <w:t xml:space="preserve">phase of the STIBBV commissioning cycle. </w:t>
      </w:r>
      <w:r w:rsidR="00974182">
        <w:rPr>
          <w:rFonts w:asciiTheme="minorHAnsi" w:hAnsiTheme="minorHAnsi" w:cstheme="minorHAnsi"/>
          <w:szCs w:val="22"/>
        </w:rPr>
        <w:t>The i</w:t>
      </w:r>
      <w:r w:rsidRPr="0023064E">
        <w:rPr>
          <w:rFonts w:asciiTheme="minorHAnsi" w:hAnsiTheme="minorHAnsi" w:cstheme="minorHAnsi"/>
          <w:szCs w:val="22"/>
        </w:rPr>
        <w:t xml:space="preserve">nvest </w:t>
      </w:r>
      <w:r w:rsidR="00974182">
        <w:rPr>
          <w:rFonts w:asciiTheme="minorHAnsi" w:hAnsiTheme="minorHAnsi" w:cstheme="minorHAnsi"/>
          <w:szCs w:val="22"/>
        </w:rPr>
        <w:t xml:space="preserve">phase </w:t>
      </w:r>
      <w:r w:rsidRPr="0023064E">
        <w:rPr>
          <w:rFonts w:asciiTheme="minorHAnsi" w:hAnsiTheme="minorHAnsi" w:cstheme="minorHAnsi"/>
          <w:szCs w:val="22"/>
        </w:rPr>
        <w:t xml:space="preserve">builds upon the key insights from work and engagement undertaken in the </w:t>
      </w:r>
      <w:r w:rsidR="00AB004C">
        <w:rPr>
          <w:rFonts w:asciiTheme="minorHAnsi" w:hAnsiTheme="minorHAnsi" w:cstheme="minorHAnsi"/>
          <w:szCs w:val="22"/>
        </w:rPr>
        <w:t>s</w:t>
      </w:r>
      <w:r w:rsidR="00AB004C" w:rsidRPr="0023064E">
        <w:rPr>
          <w:rFonts w:asciiTheme="minorHAnsi" w:hAnsiTheme="minorHAnsi" w:cstheme="minorHAnsi"/>
          <w:szCs w:val="22"/>
        </w:rPr>
        <w:t xml:space="preserve">trategise </w:t>
      </w:r>
      <w:r w:rsidRPr="0023064E">
        <w:rPr>
          <w:rFonts w:asciiTheme="minorHAnsi" w:hAnsiTheme="minorHAnsi" w:cstheme="minorHAnsi"/>
          <w:szCs w:val="22"/>
        </w:rPr>
        <w:t xml:space="preserve">and </w:t>
      </w:r>
      <w:r w:rsidR="00AB004C">
        <w:rPr>
          <w:rFonts w:asciiTheme="minorHAnsi" w:hAnsiTheme="minorHAnsi" w:cstheme="minorHAnsi"/>
          <w:szCs w:val="22"/>
        </w:rPr>
        <w:t>d</w:t>
      </w:r>
      <w:r w:rsidR="00AB004C" w:rsidRPr="0023064E">
        <w:rPr>
          <w:rFonts w:asciiTheme="minorHAnsi" w:hAnsiTheme="minorHAnsi" w:cstheme="minorHAnsi"/>
          <w:szCs w:val="22"/>
        </w:rPr>
        <w:t xml:space="preserve">esign </w:t>
      </w:r>
      <w:r w:rsidRPr="0023064E">
        <w:rPr>
          <w:rFonts w:asciiTheme="minorHAnsi" w:hAnsiTheme="minorHAnsi" w:cstheme="minorHAnsi"/>
          <w:szCs w:val="22"/>
        </w:rPr>
        <w:t>phases of commissioning and sets</w:t>
      </w:r>
      <w:r w:rsidR="00052B2A">
        <w:rPr>
          <w:rFonts w:asciiTheme="minorHAnsi" w:hAnsiTheme="minorHAnsi" w:cstheme="minorHAnsi"/>
          <w:szCs w:val="22"/>
        </w:rPr>
        <w:t xml:space="preserve"> the priorities for investment within the subsector. </w:t>
      </w:r>
    </w:p>
    <w:p w14:paraId="341A682A" w14:textId="03F48954" w:rsidR="0030726B" w:rsidRPr="0023064E" w:rsidRDefault="002E12C4" w:rsidP="006A1CC9">
      <w:pPr>
        <w:rPr>
          <w:rFonts w:asciiTheme="minorHAnsi" w:hAnsiTheme="minorHAnsi" w:cstheme="minorHAnsi"/>
          <w:szCs w:val="22"/>
        </w:rPr>
      </w:pPr>
      <w:r>
        <w:rPr>
          <w:rFonts w:asciiTheme="minorHAnsi" w:hAnsiTheme="minorHAnsi" w:cstheme="minorHAnsi"/>
          <w:szCs w:val="22"/>
        </w:rPr>
        <w:t xml:space="preserve">The </w:t>
      </w:r>
      <w:r w:rsidR="0030726B">
        <w:rPr>
          <w:rFonts w:asciiTheme="minorHAnsi" w:hAnsiTheme="minorHAnsi" w:cstheme="minorHAnsi"/>
          <w:szCs w:val="22"/>
        </w:rPr>
        <w:t xml:space="preserve">SIP </w:t>
      </w:r>
      <w:r>
        <w:rPr>
          <w:rFonts w:asciiTheme="minorHAnsi" w:hAnsiTheme="minorHAnsi" w:cstheme="minorHAnsi"/>
          <w:szCs w:val="22"/>
        </w:rPr>
        <w:t>outlines</w:t>
      </w:r>
      <w:r w:rsidRPr="009902CA">
        <w:rPr>
          <w:rFonts w:asciiTheme="minorHAnsi" w:hAnsiTheme="minorHAnsi" w:cstheme="minorHAnsi"/>
          <w:szCs w:val="22"/>
        </w:rPr>
        <w:t xml:space="preserve"> how engagement of </w:t>
      </w:r>
      <w:r>
        <w:rPr>
          <w:rFonts w:asciiTheme="minorHAnsi" w:hAnsiTheme="minorHAnsi" w:cstheme="minorHAnsi"/>
          <w:szCs w:val="22"/>
        </w:rPr>
        <w:t xml:space="preserve">health and community </w:t>
      </w:r>
      <w:r w:rsidR="00080BE0">
        <w:rPr>
          <w:rFonts w:asciiTheme="minorHAnsi" w:hAnsiTheme="minorHAnsi" w:cstheme="minorHAnsi"/>
          <w:szCs w:val="22"/>
        </w:rPr>
        <w:t>N</w:t>
      </w:r>
      <w:r>
        <w:rPr>
          <w:rFonts w:asciiTheme="minorHAnsi" w:hAnsiTheme="minorHAnsi" w:cstheme="minorHAnsi"/>
          <w:szCs w:val="22"/>
        </w:rPr>
        <w:t>on-</w:t>
      </w:r>
      <w:r w:rsidR="00080BE0">
        <w:rPr>
          <w:rFonts w:asciiTheme="minorHAnsi" w:hAnsiTheme="minorHAnsi" w:cstheme="minorHAnsi"/>
          <w:szCs w:val="22"/>
        </w:rPr>
        <w:t>G</w:t>
      </w:r>
      <w:r>
        <w:rPr>
          <w:rFonts w:asciiTheme="minorHAnsi" w:hAnsiTheme="minorHAnsi" w:cstheme="minorHAnsi"/>
          <w:szCs w:val="22"/>
        </w:rPr>
        <w:t xml:space="preserve">overnment </w:t>
      </w:r>
      <w:r w:rsidR="00080BE0">
        <w:rPr>
          <w:rFonts w:asciiTheme="minorHAnsi" w:hAnsiTheme="minorHAnsi" w:cstheme="minorHAnsi"/>
          <w:szCs w:val="22"/>
        </w:rPr>
        <w:t>O</w:t>
      </w:r>
      <w:r>
        <w:rPr>
          <w:rFonts w:asciiTheme="minorHAnsi" w:hAnsiTheme="minorHAnsi" w:cstheme="minorHAnsi"/>
          <w:szCs w:val="22"/>
        </w:rPr>
        <w:t>rganisations (NGOs)</w:t>
      </w:r>
      <w:r w:rsidRPr="009902CA">
        <w:rPr>
          <w:rFonts w:asciiTheme="minorHAnsi" w:hAnsiTheme="minorHAnsi" w:cstheme="minorHAnsi"/>
          <w:szCs w:val="22"/>
        </w:rPr>
        <w:t xml:space="preserve">, people with lived </w:t>
      </w:r>
      <w:r>
        <w:rPr>
          <w:rFonts w:asciiTheme="minorHAnsi" w:hAnsiTheme="minorHAnsi" w:cstheme="minorHAnsi"/>
          <w:szCs w:val="22"/>
        </w:rPr>
        <w:t xml:space="preserve">and living </w:t>
      </w:r>
      <w:r w:rsidRPr="009902CA">
        <w:rPr>
          <w:rFonts w:asciiTheme="minorHAnsi" w:hAnsiTheme="minorHAnsi" w:cstheme="minorHAnsi"/>
          <w:szCs w:val="22"/>
        </w:rPr>
        <w:t>experience, and</w:t>
      </w:r>
      <w:r>
        <w:rPr>
          <w:rFonts w:asciiTheme="minorHAnsi" w:hAnsiTheme="minorHAnsi" w:cstheme="minorHAnsi"/>
          <w:szCs w:val="22"/>
        </w:rPr>
        <w:t xml:space="preserve"> other </w:t>
      </w:r>
      <w:r w:rsidRPr="009902CA">
        <w:rPr>
          <w:rFonts w:asciiTheme="minorHAnsi" w:hAnsiTheme="minorHAnsi" w:cstheme="minorHAnsi"/>
          <w:szCs w:val="22"/>
        </w:rPr>
        <w:t xml:space="preserve">stakeholders </w:t>
      </w:r>
      <w:r>
        <w:rPr>
          <w:rFonts w:asciiTheme="minorHAnsi" w:hAnsiTheme="minorHAnsi" w:cstheme="minorHAnsi"/>
          <w:szCs w:val="22"/>
        </w:rPr>
        <w:t xml:space="preserve">has informed </w:t>
      </w:r>
      <w:r w:rsidRPr="009902CA">
        <w:rPr>
          <w:rFonts w:asciiTheme="minorHAnsi" w:hAnsiTheme="minorHAnsi" w:cstheme="minorHAnsi"/>
          <w:szCs w:val="22"/>
        </w:rPr>
        <w:t xml:space="preserve">the </w:t>
      </w:r>
      <w:r>
        <w:rPr>
          <w:rFonts w:asciiTheme="minorHAnsi" w:hAnsiTheme="minorHAnsi" w:cstheme="minorHAnsi"/>
          <w:szCs w:val="22"/>
        </w:rPr>
        <w:t>i</w:t>
      </w:r>
      <w:r w:rsidRPr="009902CA">
        <w:rPr>
          <w:rFonts w:asciiTheme="minorHAnsi" w:hAnsiTheme="minorHAnsi" w:cstheme="minorHAnsi"/>
          <w:szCs w:val="22"/>
        </w:rPr>
        <w:t xml:space="preserve">nvest </w:t>
      </w:r>
      <w:r>
        <w:rPr>
          <w:rFonts w:asciiTheme="minorHAnsi" w:hAnsiTheme="minorHAnsi" w:cstheme="minorHAnsi"/>
          <w:szCs w:val="22"/>
        </w:rPr>
        <w:t>p</w:t>
      </w:r>
      <w:r w:rsidRPr="009902CA">
        <w:rPr>
          <w:rFonts w:asciiTheme="minorHAnsi" w:hAnsiTheme="minorHAnsi" w:cstheme="minorHAnsi"/>
          <w:szCs w:val="22"/>
        </w:rPr>
        <w:t>hase</w:t>
      </w:r>
      <w:r>
        <w:rPr>
          <w:rFonts w:asciiTheme="minorHAnsi" w:hAnsiTheme="minorHAnsi" w:cstheme="minorHAnsi"/>
          <w:szCs w:val="22"/>
        </w:rPr>
        <w:t xml:space="preserve"> of the sexually transmissible infections and blood borne viruses (STIBBV) commissioning cycle. It provides a summary of the nature of services the ACT Health Directorate (ACTHD) intends to invest in for this cycle, as well as guidance on the intended process</w:t>
      </w:r>
      <w:r w:rsidR="0030726B">
        <w:rPr>
          <w:rFonts w:asciiTheme="minorHAnsi" w:hAnsiTheme="minorHAnsi" w:cstheme="minorHAnsi"/>
          <w:szCs w:val="22"/>
        </w:rPr>
        <w:t xml:space="preserve"> and subsequent timeframes</w:t>
      </w:r>
      <w:r>
        <w:rPr>
          <w:rFonts w:asciiTheme="minorHAnsi" w:hAnsiTheme="minorHAnsi" w:cstheme="minorHAnsi"/>
          <w:szCs w:val="22"/>
        </w:rPr>
        <w:t>.</w:t>
      </w:r>
      <w:r w:rsidR="0030726B" w:rsidRPr="0023064E">
        <w:rPr>
          <w:rFonts w:asciiTheme="minorHAnsi" w:hAnsiTheme="minorHAnsi" w:cstheme="minorHAnsi"/>
          <w:szCs w:val="22"/>
        </w:rPr>
        <w:t xml:space="preserve"> </w:t>
      </w:r>
      <w:r w:rsidR="006A4832">
        <w:rPr>
          <w:rFonts w:asciiTheme="minorHAnsi" w:hAnsiTheme="minorHAnsi" w:cstheme="minorHAnsi"/>
          <w:szCs w:val="22"/>
        </w:rPr>
        <w:t>The</w:t>
      </w:r>
      <w:r w:rsidR="0030726B" w:rsidRPr="0023064E">
        <w:rPr>
          <w:rFonts w:asciiTheme="minorHAnsi" w:hAnsiTheme="minorHAnsi" w:cstheme="minorHAnsi"/>
          <w:szCs w:val="22"/>
        </w:rPr>
        <w:t xml:space="preserve"> </w:t>
      </w:r>
      <w:r w:rsidR="006A4832">
        <w:rPr>
          <w:rFonts w:asciiTheme="minorHAnsi" w:hAnsiTheme="minorHAnsi" w:cstheme="minorHAnsi"/>
          <w:szCs w:val="22"/>
        </w:rPr>
        <w:t xml:space="preserve">STIBBV </w:t>
      </w:r>
      <w:r w:rsidR="0030726B" w:rsidRPr="0023064E">
        <w:rPr>
          <w:rFonts w:asciiTheme="minorHAnsi" w:hAnsiTheme="minorHAnsi" w:cstheme="minorHAnsi"/>
          <w:szCs w:val="22"/>
        </w:rPr>
        <w:t xml:space="preserve">Deliver phase </w:t>
      </w:r>
      <w:r w:rsidR="006A4832">
        <w:rPr>
          <w:rFonts w:asciiTheme="minorHAnsi" w:hAnsiTheme="minorHAnsi" w:cstheme="minorHAnsi"/>
          <w:szCs w:val="22"/>
        </w:rPr>
        <w:t xml:space="preserve">will </w:t>
      </w:r>
      <w:r w:rsidR="0030726B" w:rsidRPr="0023064E">
        <w:rPr>
          <w:rFonts w:asciiTheme="minorHAnsi" w:hAnsiTheme="minorHAnsi" w:cstheme="minorHAnsi"/>
          <w:szCs w:val="22"/>
        </w:rPr>
        <w:t xml:space="preserve">commence </w:t>
      </w:r>
      <w:r w:rsidR="006A4832">
        <w:rPr>
          <w:rFonts w:asciiTheme="minorHAnsi" w:hAnsiTheme="minorHAnsi" w:cstheme="minorHAnsi"/>
          <w:szCs w:val="22"/>
        </w:rPr>
        <w:t>on 1</w:t>
      </w:r>
      <w:r w:rsidR="0030726B" w:rsidRPr="0023064E">
        <w:rPr>
          <w:rFonts w:asciiTheme="minorHAnsi" w:hAnsiTheme="minorHAnsi" w:cstheme="minorHAnsi"/>
          <w:szCs w:val="22"/>
        </w:rPr>
        <w:t xml:space="preserve"> </w:t>
      </w:r>
      <w:r w:rsidR="007437DC">
        <w:rPr>
          <w:rFonts w:asciiTheme="minorHAnsi" w:hAnsiTheme="minorHAnsi" w:cstheme="minorHAnsi"/>
          <w:szCs w:val="22"/>
        </w:rPr>
        <w:t>May</w:t>
      </w:r>
      <w:r w:rsidR="0030726B" w:rsidRPr="0023064E">
        <w:rPr>
          <w:rFonts w:asciiTheme="minorHAnsi" w:hAnsiTheme="minorHAnsi" w:cstheme="minorHAnsi"/>
          <w:szCs w:val="22"/>
        </w:rPr>
        <w:t xml:space="preserve"> 2024, </w:t>
      </w:r>
      <w:r w:rsidR="006A4832">
        <w:rPr>
          <w:rFonts w:asciiTheme="minorHAnsi" w:hAnsiTheme="minorHAnsi" w:cstheme="minorHAnsi"/>
          <w:szCs w:val="22"/>
        </w:rPr>
        <w:t xml:space="preserve">and investment approaches outlined in this SIP will </w:t>
      </w:r>
      <w:r w:rsidR="0030726B" w:rsidRPr="0023064E">
        <w:rPr>
          <w:rFonts w:asciiTheme="minorHAnsi" w:hAnsiTheme="minorHAnsi" w:cstheme="minorHAnsi"/>
          <w:szCs w:val="22"/>
        </w:rPr>
        <w:t xml:space="preserve">ensure a viable and sustainable subsector for </w:t>
      </w:r>
      <w:r w:rsidR="006A4832">
        <w:rPr>
          <w:rFonts w:asciiTheme="minorHAnsi" w:hAnsiTheme="minorHAnsi" w:cstheme="minorHAnsi"/>
          <w:szCs w:val="22"/>
        </w:rPr>
        <w:t>term of cycle 1 STIBBV investment.</w:t>
      </w:r>
    </w:p>
    <w:p w14:paraId="233BC254" w14:textId="653E0205" w:rsidR="002E12C4" w:rsidRDefault="002E12C4" w:rsidP="006A1CC9">
      <w:pPr>
        <w:rPr>
          <w:rFonts w:asciiTheme="minorHAnsi" w:hAnsiTheme="minorHAnsi" w:cstheme="minorHAnsi"/>
          <w:szCs w:val="22"/>
        </w:rPr>
      </w:pPr>
      <w:r w:rsidRPr="009902CA">
        <w:rPr>
          <w:rFonts w:asciiTheme="minorHAnsi" w:hAnsiTheme="minorHAnsi" w:cstheme="minorHAnsi"/>
          <w:szCs w:val="22"/>
        </w:rPr>
        <w:t xml:space="preserve">The aim of the </w:t>
      </w:r>
      <w:r>
        <w:rPr>
          <w:rFonts w:asciiTheme="minorHAnsi" w:hAnsiTheme="minorHAnsi" w:cstheme="minorHAnsi"/>
          <w:szCs w:val="22"/>
        </w:rPr>
        <w:t>STIBBV commissioning invest phase</w:t>
      </w:r>
      <w:r w:rsidRPr="009902CA">
        <w:rPr>
          <w:rFonts w:asciiTheme="minorHAnsi" w:hAnsiTheme="minorHAnsi" w:cstheme="minorHAnsi"/>
          <w:szCs w:val="22"/>
        </w:rPr>
        <w:t xml:space="preserve"> is for ACTHD to purchase the right services</w:t>
      </w:r>
      <w:r>
        <w:rPr>
          <w:rFonts w:asciiTheme="minorHAnsi" w:hAnsiTheme="minorHAnsi" w:cstheme="minorHAnsi"/>
          <w:szCs w:val="22"/>
        </w:rPr>
        <w:t>,</w:t>
      </w:r>
      <w:r w:rsidRPr="009902CA">
        <w:rPr>
          <w:rFonts w:asciiTheme="minorHAnsi" w:hAnsiTheme="minorHAnsi" w:cstheme="minorHAnsi"/>
          <w:szCs w:val="22"/>
        </w:rPr>
        <w:t xml:space="preserve"> from the right providers</w:t>
      </w:r>
      <w:r>
        <w:rPr>
          <w:rFonts w:asciiTheme="minorHAnsi" w:hAnsiTheme="minorHAnsi" w:cstheme="minorHAnsi"/>
          <w:szCs w:val="22"/>
        </w:rPr>
        <w:t>,</w:t>
      </w:r>
      <w:r w:rsidRPr="009902CA">
        <w:rPr>
          <w:rFonts w:asciiTheme="minorHAnsi" w:hAnsiTheme="minorHAnsi" w:cstheme="minorHAnsi"/>
          <w:szCs w:val="22"/>
        </w:rPr>
        <w:t xml:space="preserve"> at the right price</w:t>
      </w:r>
      <w:r>
        <w:rPr>
          <w:rFonts w:asciiTheme="minorHAnsi" w:hAnsiTheme="minorHAnsi" w:cstheme="minorHAnsi"/>
          <w:szCs w:val="22"/>
        </w:rPr>
        <w:t>,</w:t>
      </w:r>
      <w:r w:rsidRPr="009902CA">
        <w:rPr>
          <w:rFonts w:asciiTheme="minorHAnsi" w:hAnsiTheme="minorHAnsi" w:cstheme="minorHAnsi"/>
          <w:szCs w:val="22"/>
        </w:rPr>
        <w:t xml:space="preserve"> through a fair and transparent process</w:t>
      </w:r>
      <w:r>
        <w:rPr>
          <w:rFonts w:asciiTheme="minorHAnsi" w:hAnsiTheme="minorHAnsi" w:cstheme="minorHAnsi"/>
          <w:szCs w:val="22"/>
        </w:rPr>
        <w:t>, and ensure the Canberra community has access to the services they need, when they need them.</w:t>
      </w:r>
    </w:p>
    <w:p w14:paraId="4267DA95" w14:textId="77777777" w:rsidR="0030726B" w:rsidRPr="00195E7B" w:rsidRDefault="0030726B" w:rsidP="006A1CC9">
      <w:pPr>
        <w:spacing w:line="240" w:lineRule="auto"/>
        <w:rPr>
          <w:szCs w:val="22"/>
        </w:rPr>
      </w:pPr>
    </w:p>
    <w:p w14:paraId="5F9D40F1" w14:textId="70D074ED" w:rsidR="006C70C4" w:rsidRPr="006C70C4" w:rsidRDefault="002E12C4" w:rsidP="002C5317">
      <w:pPr>
        <w:pStyle w:val="Heading1"/>
      </w:pPr>
      <w:bookmarkStart w:id="8" w:name="_Toc144494374"/>
      <w:r w:rsidRPr="005A3EF5">
        <w:t xml:space="preserve">STIBBV </w:t>
      </w:r>
      <w:r w:rsidR="0039726A">
        <w:t>c</w:t>
      </w:r>
      <w:r w:rsidR="006C70C4" w:rsidRPr="005A3EF5">
        <w:t>ommissioning</w:t>
      </w:r>
      <w:r w:rsidRPr="005A3EF5">
        <w:t xml:space="preserve"> </w:t>
      </w:r>
      <w:r w:rsidR="0039726A">
        <w:t>c</w:t>
      </w:r>
      <w:r w:rsidRPr="005A3EF5">
        <w:t>ycle in context</w:t>
      </w:r>
      <w:bookmarkEnd w:id="8"/>
      <w:r w:rsidR="006C70C4" w:rsidRPr="006C70C4">
        <w:t xml:space="preserve"> </w:t>
      </w:r>
      <w:bookmarkEnd w:id="7"/>
    </w:p>
    <w:p w14:paraId="55D6F472" w14:textId="5E2C5E6F" w:rsidR="00281031" w:rsidRDefault="002E12C4" w:rsidP="006A1CC9">
      <w:pPr>
        <w:rPr>
          <w:rFonts w:asciiTheme="minorHAnsi" w:eastAsia="Source Sans Pro" w:hAnsiTheme="minorHAnsi" w:cstheme="minorBidi"/>
          <w:color w:val="000000" w:themeColor="text1"/>
        </w:rPr>
      </w:pPr>
      <w:r w:rsidRPr="119FA517">
        <w:rPr>
          <w:rFonts w:asciiTheme="minorHAnsi" w:hAnsiTheme="minorHAnsi" w:cstheme="minorBidi"/>
        </w:rPr>
        <w:t>ACTHD</w:t>
      </w:r>
      <w:r w:rsidRPr="119FA517">
        <w:rPr>
          <w:rFonts w:asciiTheme="minorHAnsi" w:eastAsia="Source Sans Pro" w:hAnsiTheme="minorHAnsi" w:cstheme="minorBidi"/>
          <w:color w:val="000000" w:themeColor="text1"/>
        </w:rPr>
        <w:t xml:space="preserve"> is working with </w:t>
      </w:r>
      <w:r w:rsidRPr="119FA517">
        <w:rPr>
          <w:rFonts w:asciiTheme="minorHAnsi" w:hAnsiTheme="minorHAnsi" w:cstheme="minorBidi"/>
        </w:rPr>
        <w:t>health and community NGOs, people with lived and living experience, and other stakeholders</w:t>
      </w:r>
      <w:r w:rsidRPr="119FA517">
        <w:rPr>
          <w:rFonts w:asciiTheme="minorHAnsi" w:eastAsia="Source Sans Pro" w:hAnsiTheme="minorHAnsi" w:cstheme="minorBidi"/>
          <w:color w:val="000000" w:themeColor="text1"/>
        </w:rPr>
        <w:t xml:space="preserve"> to design the future of the ACT-Government-funded </w:t>
      </w:r>
      <w:r>
        <w:rPr>
          <w:rFonts w:asciiTheme="minorHAnsi" w:eastAsia="Source Sans Pro" w:hAnsiTheme="minorHAnsi" w:cstheme="minorBidi"/>
          <w:color w:val="000000" w:themeColor="text1"/>
        </w:rPr>
        <w:t>STIBBV</w:t>
      </w:r>
      <w:r w:rsidRPr="119FA517">
        <w:rPr>
          <w:rFonts w:asciiTheme="minorHAnsi" w:eastAsia="Source Sans Pro" w:hAnsiTheme="minorHAnsi" w:cstheme="minorBidi"/>
          <w:color w:val="000000" w:themeColor="text1"/>
        </w:rPr>
        <w:t xml:space="preserve"> </w:t>
      </w:r>
      <w:r>
        <w:rPr>
          <w:rFonts w:asciiTheme="minorHAnsi" w:eastAsia="Source Sans Pro" w:hAnsiTheme="minorHAnsi" w:cstheme="minorBidi"/>
          <w:color w:val="000000" w:themeColor="text1"/>
        </w:rPr>
        <w:t>services. STIBBV NGO service investment will culminate in a mix of</w:t>
      </w:r>
      <w:r w:rsidR="00281031">
        <w:rPr>
          <w:rFonts w:asciiTheme="minorHAnsi" w:eastAsia="Source Sans Pro" w:hAnsiTheme="minorHAnsi" w:cstheme="minorBidi"/>
          <w:color w:val="000000" w:themeColor="text1"/>
        </w:rPr>
        <w:t xml:space="preserve"> prevention and harm reduction, support and advocacy, health promotion and education, community development and engagement, workforce development</w:t>
      </w:r>
      <w:r w:rsidR="00935B45">
        <w:rPr>
          <w:rFonts w:asciiTheme="minorHAnsi" w:eastAsia="Source Sans Pro" w:hAnsiTheme="minorHAnsi" w:cstheme="minorBidi"/>
          <w:color w:val="000000" w:themeColor="text1"/>
        </w:rPr>
        <w:t xml:space="preserve"> </w:t>
      </w:r>
      <w:r w:rsidR="00281031">
        <w:rPr>
          <w:rFonts w:asciiTheme="minorHAnsi" w:eastAsia="Source Sans Pro" w:hAnsiTheme="minorHAnsi" w:cstheme="minorBidi"/>
          <w:color w:val="000000" w:themeColor="text1"/>
        </w:rPr>
        <w:t>and clinical services.</w:t>
      </w:r>
    </w:p>
    <w:p w14:paraId="343A2600" w14:textId="77777777" w:rsidR="002E12C4" w:rsidRPr="009902CA" w:rsidRDefault="002E12C4" w:rsidP="006A1CC9">
      <w:pPr>
        <w:rPr>
          <w:rFonts w:asciiTheme="minorHAnsi" w:eastAsia="Source Sans Pro" w:hAnsiTheme="minorHAnsi" w:cstheme="minorHAnsi"/>
          <w:color w:val="000000" w:themeColor="text1"/>
          <w:szCs w:val="22"/>
        </w:rPr>
      </w:pPr>
      <w:r w:rsidRPr="009902CA">
        <w:rPr>
          <w:rFonts w:asciiTheme="minorHAnsi" w:eastAsia="Source Sans Pro" w:hAnsiTheme="minorHAnsi" w:cstheme="minorHAnsi"/>
          <w:color w:val="000000" w:themeColor="text1"/>
          <w:szCs w:val="22"/>
        </w:rPr>
        <w:t xml:space="preserve">ACTHD is committed to working collaboratively to shape and deliver services </w:t>
      </w:r>
      <w:r>
        <w:rPr>
          <w:rFonts w:asciiTheme="minorHAnsi" w:eastAsia="Source Sans Pro" w:hAnsiTheme="minorHAnsi" w:cstheme="minorHAnsi"/>
          <w:color w:val="000000" w:themeColor="text1"/>
          <w:szCs w:val="22"/>
        </w:rPr>
        <w:t>that meet community needs through the ACT whole of government commissioning approach.</w:t>
      </w:r>
    </w:p>
    <w:p w14:paraId="35D0976E" w14:textId="18E11957" w:rsidR="002E12C4" w:rsidRDefault="002E12C4" w:rsidP="006A1CC9">
      <w:pPr>
        <w:rPr>
          <w:szCs w:val="22"/>
        </w:rPr>
      </w:pPr>
      <w:r w:rsidRPr="009A2B69">
        <w:rPr>
          <w:szCs w:val="22"/>
        </w:rPr>
        <w:t>Commissioning is a</w:t>
      </w:r>
      <w:r>
        <w:rPr>
          <w:szCs w:val="22"/>
        </w:rPr>
        <w:t>n approach</w:t>
      </w:r>
      <w:r w:rsidRPr="009A2B69">
        <w:rPr>
          <w:szCs w:val="22"/>
        </w:rPr>
        <w:t xml:space="preserve"> through which </w:t>
      </w:r>
      <w:r>
        <w:rPr>
          <w:szCs w:val="22"/>
        </w:rPr>
        <w:t>ACTHD and stakeholders</w:t>
      </w:r>
      <w:r w:rsidRPr="009A2B69">
        <w:rPr>
          <w:szCs w:val="22"/>
        </w:rPr>
        <w:t xml:space="preserve"> examine community needs </w:t>
      </w:r>
      <w:r>
        <w:rPr>
          <w:szCs w:val="22"/>
        </w:rPr>
        <w:t xml:space="preserve">and </w:t>
      </w:r>
      <w:r w:rsidRPr="009A2B69">
        <w:rPr>
          <w:szCs w:val="22"/>
        </w:rPr>
        <w:t>collaborate to address service gaps</w:t>
      </w:r>
      <w:r>
        <w:rPr>
          <w:szCs w:val="22"/>
        </w:rPr>
        <w:t>,</w:t>
      </w:r>
      <w:r w:rsidRPr="009A2B69">
        <w:rPr>
          <w:szCs w:val="22"/>
        </w:rPr>
        <w:t xml:space="preserve"> and explore opportunities to provide services</w:t>
      </w:r>
      <w:r>
        <w:rPr>
          <w:szCs w:val="22"/>
        </w:rPr>
        <w:t xml:space="preserve"> and programs</w:t>
      </w:r>
      <w:r w:rsidRPr="009A2B69">
        <w:rPr>
          <w:szCs w:val="22"/>
        </w:rPr>
        <w:t xml:space="preserve"> in new ways. </w:t>
      </w:r>
      <w:r w:rsidRPr="009902CA">
        <w:rPr>
          <w:rFonts w:asciiTheme="minorHAnsi" w:eastAsia="Source Sans Pro" w:hAnsiTheme="minorHAnsi" w:cstheme="minorHAnsi"/>
          <w:color w:val="000000" w:themeColor="text1"/>
          <w:szCs w:val="22"/>
        </w:rPr>
        <w:t xml:space="preserve">A full list of </w:t>
      </w:r>
      <w:r>
        <w:rPr>
          <w:rFonts w:asciiTheme="minorHAnsi" w:eastAsia="Source Sans Pro" w:hAnsiTheme="minorHAnsi" w:cstheme="minorHAnsi"/>
          <w:color w:val="000000" w:themeColor="text1"/>
          <w:szCs w:val="22"/>
        </w:rPr>
        <w:t>organisations</w:t>
      </w:r>
      <w:r w:rsidRPr="009902CA">
        <w:rPr>
          <w:rFonts w:asciiTheme="minorHAnsi" w:eastAsia="Source Sans Pro" w:hAnsiTheme="minorHAnsi" w:cstheme="minorHAnsi"/>
          <w:color w:val="000000" w:themeColor="text1"/>
          <w:szCs w:val="22"/>
        </w:rPr>
        <w:t xml:space="preserve"> involved in the </w:t>
      </w:r>
      <w:r>
        <w:rPr>
          <w:rFonts w:asciiTheme="minorHAnsi" w:eastAsia="Source Sans Pro" w:hAnsiTheme="minorHAnsi" w:cstheme="minorHAnsi"/>
          <w:color w:val="000000" w:themeColor="text1"/>
          <w:szCs w:val="22"/>
        </w:rPr>
        <w:t>STIBBV c</w:t>
      </w:r>
      <w:r w:rsidRPr="009902CA">
        <w:rPr>
          <w:rFonts w:asciiTheme="minorHAnsi" w:eastAsia="Source Sans Pro" w:hAnsiTheme="minorHAnsi" w:cstheme="minorHAnsi"/>
          <w:color w:val="000000" w:themeColor="text1"/>
          <w:szCs w:val="22"/>
        </w:rPr>
        <w:t xml:space="preserve">ommissioning cycle to date can be found at </w:t>
      </w:r>
      <w:r w:rsidRPr="009902CA">
        <w:rPr>
          <w:rFonts w:asciiTheme="minorHAnsi" w:eastAsia="Source Sans Pro" w:hAnsiTheme="minorHAnsi" w:cstheme="minorHAnsi"/>
          <w:color w:val="000000" w:themeColor="text1"/>
          <w:szCs w:val="22"/>
          <w:u w:val="single"/>
        </w:rPr>
        <w:t xml:space="preserve">Appendix </w:t>
      </w:r>
      <w:r w:rsidR="001360BF">
        <w:rPr>
          <w:rFonts w:asciiTheme="minorHAnsi" w:eastAsia="Source Sans Pro" w:hAnsiTheme="minorHAnsi" w:cstheme="minorHAnsi"/>
          <w:color w:val="000000" w:themeColor="text1"/>
          <w:szCs w:val="22"/>
          <w:u w:val="single"/>
        </w:rPr>
        <w:t>A</w:t>
      </w:r>
      <w:r w:rsidRPr="009902CA">
        <w:rPr>
          <w:rFonts w:asciiTheme="minorHAnsi" w:eastAsia="Source Sans Pro" w:hAnsiTheme="minorHAnsi" w:cstheme="minorHAnsi"/>
          <w:color w:val="000000" w:themeColor="text1"/>
          <w:szCs w:val="22"/>
        </w:rPr>
        <w:t>.</w:t>
      </w:r>
    </w:p>
    <w:p w14:paraId="1E4E311A" w14:textId="11753E5F" w:rsidR="002E12C4" w:rsidRDefault="002E12C4" w:rsidP="006A1CC9">
      <w:pPr>
        <w:rPr>
          <w:rFonts w:asciiTheme="minorHAnsi" w:eastAsia="Source Sans Pro" w:hAnsiTheme="minorHAnsi" w:cstheme="minorHAnsi"/>
          <w:color w:val="000000" w:themeColor="text1"/>
          <w:szCs w:val="22"/>
        </w:rPr>
      </w:pPr>
      <w:r>
        <w:rPr>
          <w:rFonts w:asciiTheme="minorHAnsi" w:eastAsia="Source Sans Pro" w:hAnsiTheme="minorHAnsi" w:cstheme="minorHAnsi"/>
          <w:color w:val="000000" w:themeColor="text1"/>
          <w:szCs w:val="22"/>
        </w:rPr>
        <w:t>The STIBBV c</w:t>
      </w:r>
      <w:r w:rsidRPr="009902CA">
        <w:rPr>
          <w:rFonts w:asciiTheme="minorHAnsi" w:eastAsia="Source Sans Pro" w:hAnsiTheme="minorHAnsi" w:cstheme="minorHAnsi"/>
          <w:color w:val="000000" w:themeColor="text1"/>
          <w:szCs w:val="22"/>
        </w:rPr>
        <w:t>ommissioning cycle</w:t>
      </w:r>
      <w:r>
        <w:rPr>
          <w:rFonts w:asciiTheme="minorHAnsi" w:eastAsia="Source Sans Pro" w:hAnsiTheme="minorHAnsi" w:cstheme="minorHAnsi"/>
          <w:color w:val="000000" w:themeColor="text1"/>
          <w:szCs w:val="22"/>
        </w:rPr>
        <w:t xml:space="preserve"> began under the first iteration of the commissioning approach as outlined in the ‘</w:t>
      </w:r>
      <w:r w:rsidRPr="00EE6656">
        <w:rPr>
          <w:rFonts w:asciiTheme="minorHAnsi" w:eastAsia="Source Sans Pro" w:hAnsiTheme="minorHAnsi" w:cstheme="minorHAnsi"/>
          <w:i/>
          <w:iCs/>
          <w:color w:val="000000" w:themeColor="text1"/>
          <w:szCs w:val="22"/>
        </w:rPr>
        <w:t>Commissioning Roadmap</w:t>
      </w:r>
      <w:r>
        <w:rPr>
          <w:rFonts w:asciiTheme="minorHAnsi" w:eastAsia="Source Sans Pro" w:hAnsiTheme="minorHAnsi" w:cstheme="minorHAnsi"/>
          <w:i/>
          <w:iCs/>
          <w:color w:val="000000" w:themeColor="text1"/>
          <w:szCs w:val="22"/>
        </w:rPr>
        <w:t xml:space="preserve"> for NGO Services in the Community 2021-2023’</w:t>
      </w:r>
      <w:r>
        <w:rPr>
          <w:rFonts w:asciiTheme="minorHAnsi" w:eastAsia="Source Sans Pro" w:hAnsiTheme="minorHAnsi" w:cstheme="minorHAnsi"/>
          <w:color w:val="000000" w:themeColor="text1"/>
          <w:szCs w:val="22"/>
        </w:rPr>
        <w:t>, and</w:t>
      </w:r>
      <w:r w:rsidRPr="009902CA">
        <w:rPr>
          <w:rFonts w:asciiTheme="minorHAnsi" w:eastAsia="Source Sans Pro" w:hAnsiTheme="minorHAnsi" w:cstheme="minorHAnsi"/>
          <w:color w:val="000000" w:themeColor="text1"/>
          <w:szCs w:val="22"/>
        </w:rPr>
        <w:t xml:space="preserve"> </w:t>
      </w:r>
      <w:r>
        <w:rPr>
          <w:rFonts w:asciiTheme="minorHAnsi" w:eastAsia="Source Sans Pro" w:hAnsiTheme="minorHAnsi" w:cstheme="minorHAnsi"/>
          <w:color w:val="000000" w:themeColor="text1"/>
          <w:szCs w:val="22"/>
        </w:rPr>
        <w:t>has since been refreshed through the ‘</w:t>
      </w:r>
      <w:hyperlink r:id="rId24" w:history="1">
        <w:r w:rsidRPr="00FC7CBA">
          <w:rPr>
            <w:rStyle w:val="Hyperlink"/>
            <w:rFonts w:asciiTheme="minorHAnsi" w:eastAsia="Source Sans Pro" w:hAnsiTheme="minorHAnsi" w:cstheme="minorHAnsi"/>
            <w:i/>
            <w:iCs/>
            <w:szCs w:val="22"/>
          </w:rPr>
          <w:t>Commission Roadmap 2022-2024</w:t>
        </w:r>
      </w:hyperlink>
      <w:r>
        <w:rPr>
          <w:rFonts w:asciiTheme="minorHAnsi" w:eastAsia="Source Sans Pro" w:hAnsiTheme="minorHAnsi" w:cstheme="minorHAnsi"/>
          <w:color w:val="000000" w:themeColor="text1"/>
          <w:szCs w:val="22"/>
        </w:rPr>
        <w:t>’</w:t>
      </w:r>
      <w:r w:rsidRPr="009902CA">
        <w:rPr>
          <w:rFonts w:asciiTheme="minorHAnsi" w:eastAsia="Source Sans Pro" w:hAnsiTheme="minorHAnsi" w:cstheme="minorHAnsi"/>
          <w:color w:val="000000" w:themeColor="text1"/>
          <w:szCs w:val="22"/>
        </w:rPr>
        <w:t>.</w:t>
      </w:r>
      <w:r>
        <w:rPr>
          <w:rFonts w:asciiTheme="minorHAnsi" w:eastAsia="Source Sans Pro" w:hAnsiTheme="minorHAnsi" w:cstheme="minorHAnsi"/>
          <w:color w:val="000000" w:themeColor="text1"/>
          <w:szCs w:val="22"/>
        </w:rPr>
        <w:t xml:space="preserve"> A summary of the development of the ACT whole of government commissioning approach can be found on the </w:t>
      </w:r>
      <w:hyperlink r:id="rId25" w:history="1">
        <w:r w:rsidR="00AB004C">
          <w:rPr>
            <w:rStyle w:val="Hyperlink"/>
            <w:rFonts w:asciiTheme="minorHAnsi" w:eastAsia="Source Sans Pro" w:hAnsiTheme="minorHAnsi" w:cstheme="minorHAnsi"/>
            <w:szCs w:val="22"/>
          </w:rPr>
          <w:t>C</w:t>
        </w:r>
        <w:r w:rsidRPr="00FC7CBA">
          <w:rPr>
            <w:rStyle w:val="Hyperlink"/>
            <w:rFonts w:asciiTheme="minorHAnsi" w:eastAsia="Source Sans Pro" w:hAnsiTheme="minorHAnsi" w:cstheme="minorHAnsi"/>
            <w:szCs w:val="22"/>
          </w:rPr>
          <w:t>ommissioning website</w:t>
        </w:r>
      </w:hyperlink>
      <w:r>
        <w:rPr>
          <w:rFonts w:asciiTheme="minorHAnsi" w:eastAsia="Source Sans Pro" w:hAnsiTheme="minorHAnsi" w:cstheme="minorHAnsi"/>
          <w:color w:val="000000" w:themeColor="text1"/>
          <w:szCs w:val="22"/>
        </w:rPr>
        <w:t>.</w:t>
      </w:r>
    </w:p>
    <w:p w14:paraId="0F1B1DE5" w14:textId="588990EB" w:rsidR="002E12C4" w:rsidRDefault="002E12C4" w:rsidP="00195E7B">
      <w:pPr>
        <w:spacing w:before="120" w:after="0" w:line="240" w:lineRule="auto"/>
        <w:jc w:val="center"/>
      </w:pPr>
      <w:r w:rsidRPr="0083237C">
        <w:rPr>
          <w:noProof/>
        </w:rPr>
        <w:lastRenderedPageBreak/>
        <w:drawing>
          <wp:inline distT="0" distB="0" distL="0" distR="0" wp14:anchorId="13033C86" wp14:editId="514C8C6F">
            <wp:extent cx="4272161" cy="238169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293372" cy="2393518"/>
                    </a:xfrm>
                    <a:prstGeom prst="rect">
                      <a:avLst/>
                    </a:prstGeom>
                  </pic:spPr>
                </pic:pic>
              </a:graphicData>
            </a:graphic>
          </wp:inline>
        </w:drawing>
      </w:r>
    </w:p>
    <w:p w14:paraId="4C27ABA6" w14:textId="77777777" w:rsidR="00195E7B" w:rsidRDefault="00195E7B" w:rsidP="00195E7B">
      <w:pPr>
        <w:spacing w:before="120" w:after="0" w:line="240" w:lineRule="auto"/>
        <w:jc w:val="center"/>
        <w:rPr>
          <w:szCs w:val="22"/>
        </w:rPr>
      </w:pPr>
      <w:r w:rsidRPr="006C70C4">
        <w:rPr>
          <w:b/>
          <w:bCs/>
          <w:szCs w:val="22"/>
        </w:rPr>
        <w:t xml:space="preserve">Figure </w:t>
      </w:r>
      <w:r>
        <w:rPr>
          <w:b/>
          <w:bCs/>
          <w:szCs w:val="22"/>
        </w:rPr>
        <w:t>1</w:t>
      </w:r>
      <w:r w:rsidRPr="006C70C4">
        <w:rPr>
          <w:b/>
          <w:bCs/>
          <w:szCs w:val="22"/>
        </w:rPr>
        <w:t xml:space="preserve">: </w:t>
      </w:r>
      <w:r>
        <w:rPr>
          <w:b/>
          <w:bCs/>
          <w:szCs w:val="22"/>
        </w:rPr>
        <w:t>Commissioning cycle and phases</w:t>
      </w:r>
    </w:p>
    <w:p w14:paraId="0A8AE2F0" w14:textId="26C67653" w:rsidR="000466F5" w:rsidRPr="00195E7B" w:rsidRDefault="000466F5" w:rsidP="00195E7B">
      <w:pPr>
        <w:spacing w:before="120" w:after="0" w:line="240" w:lineRule="auto"/>
        <w:rPr>
          <w:szCs w:val="22"/>
        </w:rPr>
      </w:pPr>
    </w:p>
    <w:p w14:paraId="13B85B9C" w14:textId="12793913" w:rsidR="00104DE7" w:rsidRPr="005A3EF5" w:rsidRDefault="00104DE7" w:rsidP="002C5317">
      <w:pPr>
        <w:pStyle w:val="Heading1"/>
      </w:pPr>
      <w:bookmarkStart w:id="9" w:name="_Toc144494375"/>
      <w:r w:rsidRPr="005A3EF5">
        <w:t xml:space="preserve">Current STIBBV </w:t>
      </w:r>
      <w:r w:rsidR="001B69E5" w:rsidRPr="005A3EF5">
        <w:t xml:space="preserve">service </w:t>
      </w:r>
      <w:r w:rsidR="003808FD" w:rsidRPr="005A3EF5">
        <w:t>sector</w:t>
      </w:r>
      <w:bookmarkEnd w:id="9"/>
      <w:r w:rsidRPr="005A3EF5">
        <w:t xml:space="preserve"> </w:t>
      </w:r>
    </w:p>
    <w:p w14:paraId="45E5D5F4" w14:textId="41FDD721" w:rsidR="007060A6" w:rsidRDefault="007060A6" w:rsidP="006A1CC9">
      <w:pPr>
        <w:spacing w:line="259" w:lineRule="auto"/>
      </w:pPr>
      <w:r>
        <w:rPr>
          <w:rFonts w:eastAsia="Calibri" w:cs="Calibri"/>
          <w:szCs w:val="22"/>
          <w:lang w:val="en-GB"/>
        </w:rPr>
        <w:t>STIBBV</w:t>
      </w:r>
      <w:r w:rsidRPr="66CDCC97">
        <w:rPr>
          <w:rFonts w:eastAsia="Calibri" w:cs="Calibri"/>
          <w:szCs w:val="22"/>
          <w:lang w:val="en-GB"/>
        </w:rPr>
        <w:t xml:space="preserve"> services in the ACT are delivered by a mix of </w:t>
      </w:r>
      <w:r w:rsidR="00080BE0">
        <w:rPr>
          <w:rFonts w:eastAsia="Calibri" w:cs="Calibri"/>
          <w:szCs w:val="22"/>
          <w:lang w:val="en-GB"/>
        </w:rPr>
        <w:t>Government</w:t>
      </w:r>
      <w:r w:rsidR="00080BE0" w:rsidRPr="66CDCC97">
        <w:rPr>
          <w:rFonts w:eastAsia="Calibri" w:cs="Calibri"/>
          <w:szCs w:val="22"/>
          <w:lang w:val="en-GB"/>
        </w:rPr>
        <w:t xml:space="preserve"> </w:t>
      </w:r>
      <w:r w:rsidRPr="66CDCC97">
        <w:rPr>
          <w:rFonts w:eastAsia="Calibri" w:cs="Calibri"/>
          <w:szCs w:val="22"/>
          <w:lang w:val="en-GB"/>
        </w:rPr>
        <w:t>organisations</w:t>
      </w:r>
      <w:r>
        <w:rPr>
          <w:rFonts w:eastAsia="Calibri" w:cs="Calibri"/>
          <w:szCs w:val="22"/>
          <w:lang w:val="en-GB"/>
        </w:rPr>
        <w:t>,</w:t>
      </w:r>
      <w:r w:rsidRPr="66CDCC97">
        <w:rPr>
          <w:rFonts w:eastAsia="Calibri" w:cs="Calibri"/>
          <w:szCs w:val="22"/>
          <w:lang w:val="en-GB"/>
        </w:rPr>
        <w:t xml:space="preserve"> NGOs</w:t>
      </w:r>
      <w:r>
        <w:rPr>
          <w:rFonts w:eastAsia="Calibri" w:cs="Calibri"/>
          <w:szCs w:val="22"/>
          <w:lang w:val="en-GB"/>
        </w:rPr>
        <w:t xml:space="preserve"> and private providers.</w:t>
      </w:r>
      <w:r w:rsidRPr="66CDCC97">
        <w:rPr>
          <w:rFonts w:eastAsia="Calibri" w:cs="Calibri"/>
          <w:szCs w:val="22"/>
          <w:lang w:val="en-GB"/>
        </w:rPr>
        <w:t xml:space="preserve"> </w:t>
      </w:r>
      <w:r>
        <w:rPr>
          <w:rFonts w:eastAsia="Calibri" w:cs="Calibri"/>
          <w:szCs w:val="22"/>
          <w:lang w:val="en-GB"/>
        </w:rPr>
        <w:t xml:space="preserve">Public and NGO services </w:t>
      </w:r>
      <w:r w:rsidRPr="66CDCC97">
        <w:rPr>
          <w:rFonts w:eastAsia="Calibri" w:cs="Calibri"/>
          <w:szCs w:val="22"/>
          <w:lang w:val="en-GB"/>
        </w:rPr>
        <w:t xml:space="preserve">are </w:t>
      </w:r>
      <w:r>
        <w:rPr>
          <w:rFonts w:eastAsia="Calibri" w:cs="Calibri"/>
          <w:szCs w:val="22"/>
          <w:lang w:val="en-GB"/>
        </w:rPr>
        <w:t xml:space="preserve">generally </w:t>
      </w:r>
      <w:r w:rsidRPr="66CDCC97">
        <w:rPr>
          <w:rFonts w:eastAsia="Calibri" w:cs="Calibri"/>
          <w:szCs w:val="22"/>
          <w:lang w:val="en-GB"/>
        </w:rPr>
        <w:t xml:space="preserve">provided free or at low cost to clients. </w:t>
      </w:r>
    </w:p>
    <w:p w14:paraId="3FF546A3" w14:textId="559672F6" w:rsidR="001E6F68" w:rsidRDefault="00152127" w:rsidP="006A1CC9">
      <w:r>
        <w:t xml:space="preserve">ACTHD </w:t>
      </w:r>
      <w:r w:rsidR="007060A6">
        <w:t xml:space="preserve">currently </w:t>
      </w:r>
      <w:r>
        <w:t>fund</w:t>
      </w:r>
      <w:r w:rsidR="00A46936">
        <w:t>s</w:t>
      </w:r>
      <w:r>
        <w:t xml:space="preserve"> </w:t>
      </w:r>
      <w:r w:rsidR="005E635F">
        <w:t>four</w:t>
      </w:r>
      <w:r>
        <w:t xml:space="preserve"> non-government organisations</w:t>
      </w:r>
      <w:r w:rsidR="00A46936">
        <w:t xml:space="preserve"> within the STIBBV subsector: </w:t>
      </w:r>
      <w:r>
        <w:t>Meridian Incorporated, Sexual Health and Family Planning ACT (SHFPACT), Hepatitis ACT, and</w:t>
      </w:r>
      <w:r w:rsidR="0036604B">
        <w:t xml:space="preserve"> ASHM Health (formerly</w:t>
      </w:r>
      <w:r>
        <w:t xml:space="preserve"> </w:t>
      </w:r>
      <w:r w:rsidR="0036604B">
        <w:t xml:space="preserve">the </w:t>
      </w:r>
      <w:r>
        <w:t>Australasian Society for HIV, Viral Hepatitis and Sexual Health Medicine (ASHM)</w:t>
      </w:r>
      <w:r w:rsidR="006A1DEC">
        <w:t>)</w:t>
      </w:r>
      <w:r>
        <w:t xml:space="preserve">. </w:t>
      </w:r>
      <w:r w:rsidR="009638C0" w:rsidRPr="00935B45">
        <w:t>Services are delivered to reflect the policy and legislative goals and requirements outlined in the Hepatitis B, Hepatitis C, HIV and Sexually transmissible Infections: ACT Statement of Priorities and the overarching</w:t>
      </w:r>
      <w:r w:rsidR="009638C0">
        <w:t xml:space="preserve"> </w:t>
      </w:r>
      <w:hyperlink w:anchor="_STIBBV_investment_priorities" w:history="1">
        <w:r w:rsidR="009638C0" w:rsidRPr="009638C0">
          <w:rPr>
            <w:rStyle w:val="Hyperlink"/>
          </w:rPr>
          <w:t>National Strategies</w:t>
        </w:r>
      </w:hyperlink>
      <w:r w:rsidR="005E268B">
        <w:t xml:space="preserve"> (see </w:t>
      </w:r>
      <w:r w:rsidR="005E268B" w:rsidRPr="00935B45">
        <w:rPr>
          <w:i/>
          <w:iCs/>
        </w:rPr>
        <w:t>STIBBV Investment Priorities</w:t>
      </w:r>
      <w:r w:rsidR="005E268B">
        <w:t>).</w:t>
      </w:r>
    </w:p>
    <w:p w14:paraId="53F833FD" w14:textId="0F0A86BB" w:rsidR="00A444F9" w:rsidRPr="0023064E" w:rsidRDefault="007060A6" w:rsidP="002C5317">
      <w:pPr>
        <w:pStyle w:val="Heading1"/>
      </w:pPr>
      <w:bookmarkStart w:id="10" w:name="_Toc144494376"/>
      <w:r w:rsidRPr="005A3EF5">
        <w:t>STIBBV burden of disease</w:t>
      </w:r>
      <w:bookmarkEnd w:id="10"/>
      <w:r w:rsidRPr="005A3EF5">
        <w:t xml:space="preserve"> </w:t>
      </w:r>
    </w:p>
    <w:p w14:paraId="23AFB67F" w14:textId="456F9736" w:rsidR="007060A6" w:rsidRPr="002817A0" w:rsidRDefault="007060A6" w:rsidP="0010774F">
      <w:pPr>
        <w:spacing w:before="120" w:after="0" w:line="240" w:lineRule="auto"/>
        <w:rPr>
          <w:rFonts w:asciiTheme="majorHAnsi" w:eastAsiaTheme="minorHAnsi" w:hAnsiTheme="majorHAnsi" w:cs="Calibri"/>
          <w:color w:val="7030A0"/>
          <w:sz w:val="28"/>
          <w:szCs w:val="22"/>
        </w:rPr>
      </w:pPr>
      <w:r w:rsidRPr="002817A0">
        <w:rPr>
          <w:rFonts w:asciiTheme="majorHAnsi" w:eastAsiaTheme="minorHAnsi" w:hAnsiTheme="majorHAnsi" w:cs="Calibri"/>
          <w:color w:val="7030A0"/>
          <w:sz w:val="28"/>
          <w:szCs w:val="22"/>
        </w:rPr>
        <w:t>Sexually Transmissible Infections</w:t>
      </w:r>
      <w:r w:rsidR="00B63D30" w:rsidRPr="002817A0">
        <w:rPr>
          <w:rFonts w:asciiTheme="majorHAnsi" w:eastAsiaTheme="minorHAnsi" w:hAnsiTheme="majorHAnsi" w:cs="Calibri"/>
          <w:color w:val="7030A0"/>
          <w:sz w:val="28"/>
          <w:szCs w:val="22"/>
        </w:rPr>
        <w:t xml:space="preserve"> (STI)</w:t>
      </w:r>
      <w:r w:rsidRPr="002817A0">
        <w:rPr>
          <w:rFonts w:asciiTheme="majorHAnsi" w:eastAsiaTheme="minorHAnsi" w:hAnsiTheme="majorHAnsi" w:cs="Calibri"/>
          <w:color w:val="7030A0"/>
          <w:sz w:val="28"/>
          <w:szCs w:val="22"/>
        </w:rPr>
        <w:t xml:space="preserve"> </w:t>
      </w:r>
    </w:p>
    <w:p w14:paraId="26F8EBAC" w14:textId="4519A922" w:rsidR="007060A6" w:rsidRDefault="007060A6" w:rsidP="006A1CC9">
      <w:r w:rsidRPr="00984678">
        <w:t xml:space="preserve">Untreated </w:t>
      </w:r>
      <w:r>
        <w:t xml:space="preserve">STIs </w:t>
      </w:r>
      <w:r w:rsidRPr="00984678">
        <w:t xml:space="preserve">are associated with an increased risk of pelvic inflammatory disease, ectopic pregnancy and infertility. They are also associated with adverse maternal and neonatal outcomes, such as premature rupture of membranes, premature delivery, low birth weight, and neonatal death. </w:t>
      </w:r>
      <w:r>
        <w:t xml:space="preserve">Treatments are available for </w:t>
      </w:r>
      <w:r w:rsidR="00540803">
        <w:t xml:space="preserve">most </w:t>
      </w:r>
      <w:r>
        <w:t xml:space="preserve">STIs and depend on the stage of the disease progression. Education and advocacy around safe sex practices </w:t>
      </w:r>
      <w:r w:rsidR="00BD5A4E">
        <w:t>and the positive promotion of health seeking behaviours</w:t>
      </w:r>
      <w:r>
        <w:t xml:space="preserve"> is crucial in preventing acquisition and onward transmission of STIs</w:t>
      </w:r>
      <w:r w:rsidR="00080BE0">
        <w:t>, and to drive regular STI testing.</w:t>
      </w:r>
      <w:r>
        <w:t xml:space="preserve"> </w:t>
      </w:r>
    </w:p>
    <w:p w14:paraId="3C0002E3" w14:textId="58C34CF9" w:rsidR="00282D73" w:rsidRDefault="007D4D6B" w:rsidP="006A1CC9">
      <w:r>
        <w:t>In alignment with the Statement of Priorities and National Strategies, t</w:t>
      </w:r>
      <w:r w:rsidR="00282D73">
        <w:t xml:space="preserve">he </w:t>
      </w:r>
      <w:r w:rsidR="0045650B">
        <w:t xml:space="preserve">ACT’s </w:t>
      </w:r>
      <w:r w:rsidR="00282D73">
        <w:t xml:space="preserve">policy focus for monitoring STI transmission </w:t>
      </w:r>
      <w:r w:rsidR="0045650B">
        <w:t>includes</w:t>
      </w:r>
      <w:r w:rsidR="00282D73">
        <w:t xml:space="preserve"> chlamydia, gonorrhoea and syphilis</w:t>
      </w:r>
      <w:r w:rsidR="000916F1">
        <w:t>,</w:t>
      </w:r>
      <w:r w:rsidR="00282D73">
        <w:t xml:space="preserve"> which are notifiable conditions in the ACT</w:t>
      </w:r>
      <w:r w:rsidR="000916F1">
        <w:t>,</w:t>
      </w:r>
      <w:r w:rsidR="00282D73">
        <w:t xml:space="preserve"> and the availability of effective national vaccination programs (human papillomavirus and </w:t>
      </w:r>
      <w:r w:rsidR="00281AE6">
        <w:t>h</w:t>
      </w:r>
      <w:r w:rsidR="00282D73">
        <w:t>epatitis B</w:t>
      </w:r>
      <w:r w:rsidR="001E25F8">
        <w:rPr>
          <w:rStyle w:val="FootnoteReference"/>
        </w:rPr>
        <w:footnoteReference w:id="2"/>
      </w:r>
      <w:r w:rsidR="00282D73">
        <w:t>)</w:t>
      </w:r>
      <w:r w:rsidR="00E068B4">
        <w:t>.</w:t>
      </w:r>
      <w:r>
        <w:t xml:space="preserve"> </w:t>
      </w:r>
      <w:r w:rsidR="009C444F">
        <w:t xml:space="preserve">The following section </w:t>
      </w:r>
      <w:r>
        <w:t xml:space="preserve">includes </w:t>
      </w:r>
      <w:r w:rsidR="009C444F">
        <w:t>ACT data from the</w:t>
      </w:r>
      <w:r w:rsidR="00576E8C">
        <w:t xml:space="preserve"> Kirby Institute (UNSW) </w:t>
      </w:r>
      <w:r w:rsidR="00576E8C" w:rsidRPr="00935B45">
        <w:rPr>
          <w:i/>
          <w:iCs/>
        </w:rPr>
        <w:t>Sexually transmissible infections and blood-borne viruses in the ACT: Surveillance Report 2020</w:t>
      </w:r>
      <w:r w:rsidR="00576E8C">
        <w:t xml:space="preserve"> (</w:t>
      </w:r>
      <w:r w:rsidR="00143EE8">
        <w:t>r</w:t>
      </w:r>
      <w:r w:rsidR="00576E8C">
        <w:t>eport in preparation)</w:t>
      </w:r>
      <w:r>
        <w:t>.</w:t>
      </w:r>
    </w:p>
    <w:p w14:paraId="676E7BF9" w14:textId="77777777" w:rsidR="00282D73" w:rsidRDefault="00282D73" w:rsidP="00E9709E"/>
    <w:p w14:paraId="654D01CB" w14:textId="4D78F994" w:rsidR="007060A6" w:rsidRPr="0039430E" w:rsidRDefault="007060A6" w:rsidP="00E9709E">
      <w:pPr>
        <w:ind w:left="360"/>
        <w:rPr>
          <w:i/>
          <w:iCs/>
        </w:rPr>
      </w:pPr>
      <w:r w:rsidRPr="0039430E">
        <w:rPr>
          <w:i/>
          <w:iCs/>
        </w:rPr>
        <w:lastRenderedPageBreak/>
        <w:t xml:space="preserve">Syphilis </w:t>
      </w:r>
    </w:p>
    <w:p w14:paraId="564AA488" w14:textId="4820AD65" w:rsidR="007060A6" w:rsidRDefault="007060A6" w:rsidP="00E9709E">
      <w:pPr>
        <w:pStyle w:val="ListParagraph"/>
        <w:numPr>
          <w:ilvl w:val="0"/>
          <w:numId w:val="22"/>
        </w:numPr>
        <w:spacing w:line="259" w:lineRule="auto"/>
        <w:ind w:left="1080"/>
        <w:contextualSpacing w:val="0"/>
      </w:pPr>
      <w:r w:rsidRPr="5A62D345">
        <w:t>The number of infectious syphilis notifications increased by 70% between 2017 and 2020 (33</w:t>
      </w:r>
      <w:r w:rsidR="002817A0">
        <w:t> </w:t>
      </w:r>
      <w:r w:rsidRPr="5A62D345">
        <w:t>notifications in 2017 and 56 notifications in 2020)</w:t>
      </w:r>
      <w:r w:rsidR="00576E8C">
        <w:rPr>
          <w:rStyle w:val="FootnoteReference"/>
          <w:rFonts w:cstheme="minorHAnsi"/>
          <w:color w:val="212121"/>
          <w:shd w:val="clear" w:color="auto" w:fill="FFFFFF"/>
        </w:rPr>
        <w:footnoteReference w:id="3"/>
      </w:r>
      <w:r w:rsidR="00D96206">
        <w:rPr>
          <w:rFonts w:cstheme="minorHAnsi"/>
          <w:color w:val="212121"/>
          <w:shd w:val="clear" w:color="auto" w:fill="FFFFFF"/>
        </w:rPr>
        <w:t>.</w:t>
      </w:r>
    </w:p>
    <w:p w14:paraId="666AFB32" w14:textId="28A8E112" w:rsidR="00622E21" w:rsidRDefault="00881E14" w:rsidP="00E9709E">
      <w:pPr>
        <w:pStyle w:val="ListParagraph"/>
        <w:numPr>
          <w:ilvl w:val="0"/>
          <w:numId w:val="22"/>
        </w:numPr>
        <w:spacing w:line="259" w:lineRule="auto"/>
        <w:ind w:left="1080"/>
        <w:contextualSpacing w:val="0"/>
      </w:pPr>
      <w:r>
        <w:t>Increases in cases among women of reproductive age has led to a</w:t>
      </w:r>
      <w:r w:rsidR="004B534B">
        <w:t>n</w:t>
      </w:r>
      <w:r>
        <w:t xml:space="preserve"> increase in congenital syphilis notifications, with 17 cases diagnosed nationally in 2020</w:t>
      </w:r>
      <w:r w:rsidR="005E268B">
        <w:t>.</w:t>
      </w:r>
    </w:p>
    <w:p w14:paraId="0896E2CE" w14:textId="36DD4FD1" w:rsidR="007060A6" w:rsidRPr="002817A0" w:rsidRDefault="00C67331" w:rsidP="00935B45">
      <w:pPr>
        <w:pStyle w:val="ListParagraph"/>
        <w:numPr>
          <w:ilvl w:val="0"/>
          <w:numId w:val="22"/>
        </w:numPr>
        <w:spacing w:line="259" w:lineRule="auto"/>
        <w:ind w:left="1080"/>
      </w:pPr>
      <w:r w:rsidRPr="00935B45">
        <w:t>The majority of infectious syphilis notifications in the ACT are in males, the proportion similar to the national level of 82% of notifications</w:t>
      </w:r>
      <w:r w:rsidRPr="00935B45">
        <w:rPr>
          <w:rStyle w:val="FootnoteReference"/>
        </w:rPr>
        <w:footnoteReference w:id="4"/>
      </w:r>
      <w:r w:rsidRPr="00935B45">
        <w:t xml:space="preserve">. </w:t>
      </w:r>
      <w:r w:rsidR="007060A6" w:rsidRPr="00C67331">
        <w:t>Nationally, notifications of infectious syphilis have been rising amongst females.</w:t>
      </w:r>
      <w:r w:rsidR="00633691">
        <w:br/>
      </w:r>
    </w:p>
    <w:p w14:paraId="1F87B3CF" w14:textId="634BE68E" w:rsidR="007060A6" w:rsidRPr="002817A0" w:rsidRDefault="007060A6" w:rsidP="00E9709E">
      <w:pPr>
        <w:pStyle w:val="ListParagraph"/>
        <w:numPr>
          <w:ilvl w:val="0"/>
          <w:numId w:val="22"/>
        </w:numPr>
        <w:spacing w:line="259" w:lineRule="auto"/>
        <w:ind w:left="1080"/>
        <w:contextualSpacing w:val="0"/>
      </w:pPr>
      <w:r w:rsidRPr="002817A0">
        <w:t>Most cases of infectious syphilis in the ACT are attributed to same sex contact</w:t>
      </w:r>
      <w:r w:rsidR="002817A0">
        <w:t>,</w:t>
      </w:r>
      <w:r w:rsidRPr="002817A0">
        <w:t xml:space="preserve"> only with fluctuating notifications observed in individuals with partners of both sexes or the opposite sex only</w:t>
      </w:r>
      <w:r w:rsidR="007D4D6B">
        <w:rPr>
          <w:rStyle w:val="FootnoteReference"/>
        </w:rPr>
        <w:footnoteReference w:id="5"/>
      </w:r>
      <w:r w:rsidR="00C67331">
        <w:t>.</w:t>
      </w:r>
    </w:p>
    <w:p w14:paraId="3409BDCE" w14:textId="77777777" w:rsidR="007060A6" w:rsidRPr="002817A0" w:rsidRDefault="007060A6" w:rsidP="00E9709E">
      <w:pPr>
        <w:ind w:left="360"/>
        <w:rPr>
          <w:i/>
          <w:iCs/>
        </w:rPr>
      </w:pPr>
      <w:r w:rsidRPr="002817A0">
        <w:rPr>
          <w:i/>
          <w:iCs/>
        </w:rPr>
        <w:t xml:space="preserve">Chlamydia </w:t>
      </w:r>
    </w:p>
    <w:p w14:paraId="74C344C0" w14:textId="282B9767" w:rsidR="007060A6" w:rsidRPr="002817A0" w:rsidRDefault="007060A6" w:rsidP="00E9709E">
      <w:pPr>
        <w:pStyle w:val="ListParagraph"/>
        <w:numPr>
          <w:ilvl w:val="0"/>
          <w:numId w:val="23"/>
        </w:numPr>
        <w:spacing w:line="259" w:lineRule="auto"/>
        <w:ind w:left="1080"/>
        <w:contextualSpacing w:val="0"/>
        <w:rPr>
          <w:rFonts w:cstheme="minorBidi"/>
        </w:rPr>
      </w:pPr>
      <w:r w:rsidRPr="002817A0">
        <w:rPr>
          <w:rFonts w:cstheme="minorHAnsi"/>
          <w:shd w:val="clear" w:color="auto" w:fill="FFFFFF"/>
        </w:rPr>
        <w:t>Chlamydia accounts for the highest number of STI-related notifications</w:t>
      </w:r>
      <w:r w:rsidR="002817A0">
        <w:rPr>
          <w:rFonts w:cstheme="minorHAnsi"/>
          <w:shd w:val="clear" w:color="auto" w:fill="FFFFFF"/>
        </w:rPr>
        <w:t>,</w:t>
      </w:r>
      <w:r w:rsidRPr="002817A0">
        <w:rPr>
          <w:rFonts w:cstheme="minorHAnsi"/>
          <w:shd w:val="clear" w:color="auto" w:fill="FFFFFF"/>
        </w:rPr>
        <w:t xml:space="preserve"> with 1,344 recorded in the ACT in 2021</w:t>
      </w:r>
      <w:r w:rsidR="002817A0">
        <w:rPr>
          <w:rFonts w:cstheme="minorHAnsi"/>
          <w:shd w:val="clear" w:color="auto" w:fill="FFFFFF"/>
        </w:rPr>
        <w:t>.</w:t>
      </w:r>
    </w:p>
    <w:p w14:paraId="02316D72" w14:textId="71D8C96C" w:rsidR="007060A6" w:rsidRPr="002817A0" w:rsidRDefault="007060A6" w:rsidP="00E9709E">
      <w:pPr>
        <w:pStyle w:val="ListParagraph"/>
        <w:numPr>
          <w:ilvl w:val="0"/>
          <w:numId w:val="23"/>
        </w:numPr>
        <w:spacing w:line="259" w:lineRule="auto"/>
        <w:ind w:left="1080"/>
        <w:contextualSpacing w:val="0"/>
        <w:rPr>
          <w:rFonts w:cstheme="minorBidi"/>
        </w:rPr>
      </w:pPr>
      <w:r w:rsidRPr="002817A0">
        <w:rPr>
          <w:rFonts w:cstheme="minorHAnsi"/>
          <w:shd w:val="clear" w:color="auto" w:fill="FFFFFF"/>
        </w:rPr>
        <w:t xml:space="preserve">Young people under 30 are disproportionately impacted by chlamydia and the common lack of obvious symptoms, coupled with risk for poor reproductive health </w:t>
      </w:r>
      <w:r w:rsidR="00F41F16">
        <w:rPr>
          <w:rFonts w:cstheme="minorHAnsi"/>
          <w:shd w:val="clear" w:color="auto" w:fill="FFFFFF"/>
        </w:rPr>
        <w:t>out</w:t>
      </w:r>
      <w:r w:rsidRPr="002817A0">
        <w:rPr>
          <w:rFonts w:cstheme="minorHAnsi"/>
          <w:shd w:val="clear" w:color="auto" w:fill="FFFFFF"/>
        </w:rPr>
        <w:t>comes because of untreated chlamydia, makes decreasing rates of chlamydia an ongoing priority for the ACT</w:t>
      </w:r>
      <w:r w:rsidR="00830936">
        <w:rPr>
          <w:rStyle w:val="FootnoteReference"/>
          <w:rFonts w:cstheme="minorHAnsi"/>
          <w:shd w:val="clear" w:color="auto" w:fill="FFFFFF"/>
        </w:rPr>
        <w:footnoteReference w:id="6"/>
      </w:r>
      <w:r w:rsidR="002817A0">
        <w:rPr>
          <w:rFonts w:cstheme="minorHAnsi"/>
          <w:shd w:val="clear" w:color="auto" w:fill="FFFFFF"/>
        </w:rPr>
        <w:t>.</w:t>
      </w:r>
    </w:p>
    <w:p w14:paraId="2385F108" w14:textId="39BA5DE3" w:rsidR="00F41F16" w:rsidRPr="002817A0" w:rsidRDefault="00F41F16" w:rsidP="00E9709E">
      <w:pPr>
        <w:pStyle w:val="ListParagraph"/>
        <w:numPr>
          <w:ilvl w:val="0"/>
          <w:numId w:val="23"/>
        </w:numPr>
        <w:spacing w:line="259" w:lineRule="auto"/>
        <w:ind w:left="1080"/>
        <w:contextualSpacing w:val="0"/>
        <w:rPr>
          <w:rFonts w:cstheme="minorBidi"/>
        </w:rPr>
      </w:pPr>
      <w:r>
        <w:rPr>
          <w:rFonts w:cstheme="minorHAnsi"/>
          <w:shd w:val="clear" w:color="auto" w:fill="FFFFFF"/>
        </w:rPr>
        <w:t>Untreated chlamydia infections also impose high costs on the health system longer term, such as</w:t>
      </w:r>
      <w:r w:rsidRPr="00F41F16">
        <w:rPr>
          <w:rFonts w:cstheme="minorHAnsi"/>
          <w:shd w:val="clear" w:color="auto" w:fill="FFFFFF"/>
        </w:rPr>
        <w:t xml:space="preserve"> tertiary interventions </w:t>
      </w:r>
      <w:r>
        <w:rPr>
          <w:rFonts w:cstheme="minorHAnsi"/>
          <w:shd w:val="clear" w:color="auto" w:fill="FFFFFF"/>
        </w:rPr>
        <w:t>for assisted reproductive health technologies and pelvic inflammatory disease presentation to emergency departments</w:t>
      </w:r>
      <w:r w:rsidR="00845BB5">
        <w:rPr>
          <w:rStyle w:val="FootnoteReference"/>
          <w:rFonts w:cstheme="minorHAnsi"/>
          <w:shd w:val="clear" w:color="auto" w:fill="FFFFFF"/>
        </w:rPr>
        <w:footnoteReference w:id="7"/>
      </w:r>
      <w:r>
        <w:rPr>
          <w:rFonts w:cstheme="minorHAnsi"/>
          <w:shd w:val="clear" w:color="auto" w:fill="FFFFFF"/>
        </w:rPr>
        <w:t xml:space="preserve">. </w:t>
      </w:r>
    </w:p>
    <w:p w14:paraId="3D404CE9" w14:textId="77777777" w:rsidR="007060A6" w:rsidRPr="002817A0" w:rsidRDefault="007060A6" w:rsidP="00E9709E">
      <w:pPr>
        <w:ind w:left="360"/>
        <w:rPr>
          <w:i/>
          <w:iCs/>
        </w:rPr>
      </w:pPr>
      <w:r w:rsidRPr="002817A0">
        <w:rPr>
          <w:i/>
          <w:iCs/>
        </w:rPr>
        <w:t xml:space="preserve">Gonorrhoea </w:t>
      </w:r>
    </w:p>
    <w:p w14:paraId="66D35DB6" w14:textId="77777777" w:rsidR="007060A6" w:rsidRPr="002817A0" w:rsidRDefault="007060A6" w:rsidP="00E9709E">
      <w:pPr>
        <w:pStyle w:val="ListParagraph"/>
        <w:numPr>
          <w:ilvl w:val="0"/>
          <w:numId w:val="24"/>
        </w:numPr>
        <w:spacing w:line="259" w:lineRule="auto"/>
        <w:ind w:left="1080"/>
        <w:contextualSpacing w:val="0"/>
        <w:rPr>
          <w:rFonts w:cstheme="minorBidi"/>
        </w:rPr>
      </w:pPr>
      <w:r w:rsidRPr="002817A0">
        <w:rPr>
          <w:rFonts w:cstheme="minorHAnsi"/>
          <w:shd w:val="clear" w:color="auto" w:fill="FFFFFF"/>
        </w:rPr>
        <w:t xml:space="preserve">In 2021, there were 334 gonococcal notifications in the ACT. </w:t>
      </w:r>
    </w:p>
    <w:p w14:paraId="55BF0281" w14:textId="77777777" w:rsidR="007060A6" w:rsidRPr="002817A0" w:rsidRDefault="007060A6" w:rsidP="00E9709E">
      <w:pPr>
        <w:pStyle w:val="ListParagraph"/>
        <w:numPr>
          <w:ilvl w:val="0"/>
          <w:numId w:val="24"/>
        </w:numPr>
        <w:spacing w:line="259" w:lineRule="auto"/>
        <w:ind w:left="1080"/>
        <w:contextualSpacing w:val="0"/>
        <w:rPr>
          <w:rFonts w:cstheme="minorBidi"/>
        </w:rPr>
      </w:pPr>
      <w:r w:rsidRPr="002817A0">
        <w:rPr>
          <w:rFonts w:cstheme="minorHAnsi"/>
          <w:shd w:val="clear" w:color="auto" w:fill="FFFFFF"/>
        </w:rPr>
        <w:t>Approximately two thirds of gonococcal notifications are observed in males, however notifications in females are rising to varying degrees across all age groups.</w:t>
      </w:r>
    </w:p>
    <w:p w14:paraId="1BD00494" w14:textId="2498CEA7" w:rsidR="007060A6" w:rsidRDefault="002817A0" w:rsidP="00E9709E">
      <w:pPr>
        <w:pStyle w:val="ListParagraph"/>
        <w:numPr>
          <w:ilvl w:val="0"/>
          <w:numId w:val="24"/>
        </w:numPr>
        <w:spacing w:line="259" w:lineRule="auto"/>
        <w:ind w:left="1080"/>
        <w:contextualSpacing w:val="0"/>
        <w:rPr>
          <w:rFonts w:cstheme="minorHAnsi"/>
          <w:shd w:val="clear" w:color="auto" w:fill="FFFFFF"/>
        </w:rPr>
      </w:pPr>
      <w:r>
        <w:rPr>
          <w:rFonts w:cstheme="minorHAnsi"/>
          <w:shd w:val="clear" w:color="auto" w:fill="FFFFFF"/>
        </w:rPr>
        <w:t>R</w:t>
      </w:r>
      <w:r w:rsidRPr="002817A0">
        <w:rPr>
          <w:rFonts w:cstheme="minorHAnsi"/>
          <w:shd w:val="clear" w:color="auto" w:fill="FFFFFF"/>
        </w:rPr>
        <w:t xml:space="preserve">educed </w:t>
      </w:r>
      <w:r w:rsidR="007060A6" w:rsidRPr="002817A0">
        <w:rPr>
          <w:rFonts w:cstheme="minorHAnsi"/>
          <w:shd w:val="clear" w:color="auto" w:fill="FFFFFF"/>
        </w:rPr>
        <w:t>susceptibility of first line treatments because of antimicrobial resistance is contributing to increased incidence of gonococcal globally.</w:t>
      </w:r>
    </w:p>
    <w:p w14:paraId="662F104D" w14:textId="77777777" w:rsidR="00BA31D2" w:rsidRPr="002817A0" w:rsidRDefault="00BA31D2" w:rsidP="00935B45">
      <w:pPr>
        <w:pStyle w:val="ListParagraph"/>
        <w:spacing w:line="259" w:lineRule="auto"/>
        <w:ind w:left="1080"/>
        <w:contextualSpacing w:val="0"/>
        <w:rPr>
          <w:rFonts w:cstheme="minorHAnsi"/>
          <w:shd w:val="clear" w:color="auto" w:fill="FFFFFF"/>
        </w:rPr>
      </w:pPr>
    </w:p>
    <w:p w14:paraId="164C62F5" w14:textId="1F402B85" w:rsidR="007060A6" w:rsidRPr="002817A0" w:rsidRDefault="007060A6" w:rsidP="00E9709E">
      <w:pPr>
        <w:ind w:left="360"/>
        <w:rPr>
          <w:i/>
          <w:iCs/>
          <w:szCs w:val="22"/>
        </w:rPr>
      </w:pPr>
      <w:r w:rsidRPr="002817A0">
        <w:rPr>
          <w:i/>
          <w:iCs/>
          <w:szCs w:val="22"/>
        </w:rPr>
        <w:lastRenderedPageBreak/>
        <w:t>Human Papillomavirus (HPV)</w:t>
      </w:r>
    </w:p>
    <w:p w14:paraId="0B7D0588" w14:textId="03C066F7" w:rsidR="007060A6" w:rsidRPr="002817A0" w:rsidRDefault="007060A6" w:rsidP="00E9709E">
      <w:pPr>
        <w:pStyle w:val="ListParagraph"/>
        <w:numPr>
          <w:ilvl w:val="0"/>
          <w:numId w:val="25"/>
        </w:numPr>
        <w:spacing w:line="259" w:lineRule="auto"/>
        <w:ind w:left="1080"/>
        <w:contextualSpacing w:val="0"/>
        <w:rPr>
          <w:rFonts w:cstheme="minorBidi"/>
        </w:rPr>
      </w:pPr>
      <w:r w:rsidRPr="002817A0">
        <w:rPr>
          <w:rFonts w:cs="Arial"/>
          <w:iCs/>
        </w:rPr>
        <w:t xml:space="preserve">HPV vaccine coverage among females turning 15 years of age in the ACT has been stable since </w:t>
      </w:r>
      <w:r w:rsidRPr="00BA31D2">
        <w:rPr>
          <w:rFonts w:cs="Arial"/>
          <w:iCs/>
        </w:rPr>
        <w:t>2015 and was 85.2% in 2020</w:t>
      </w:r>
      <w:r w:rsidR="00306F9E" w:rsidRPr="00BA31D2">
        <w:rPr>
          <w:rFonts w:cs="Arial"/>
          <w:iCs/>
        </w:rPr>
        <w:t>, compared to</w:t>
      </w:r>
      <w:r w:rsidR="00752E47" w:rsidRPr="00BA31D2">
        <w:rPr>
          <w:rFonts w:cs="Arial"/>
          <w:iCs/>
        </w:rPr>
        <w:t xml:space="preserve"> 82.2%</w:t>
      </w:r>
      <w:r w:rsidR="00306F9E" w:rsidRPr="00BA31D2">
        <w:rPr>
          <w:rFonts w:cs="Arial"/>
          <w:iCs/>
        </w:rPr>
        <w:t xml:space="preserve"> for males turning 15 years of age</w:t>
      </w:r>
      <w:r w:rsidR="00752E47" w:rsidRPr="00BA31D2">
        <w:rPr>
          <w:rFonts w:cs="Arial"/>
          <w:iCs/>
        </w:rPr>
        <w:t>. Vaccination rates among First Nations adolescents in the ACT were lower (75% for females, 64.2% for males)</w:t>
      </w:r>
      <w:r w:rsidR="00C67331" w:rsidRPr="00935B45">
        <w:rPr>
          <w:rStyle w:val="FootnoteReference"/>
          <w:rFonts w:cs="Arial"/>
          <w:iCs/>
        </w:rPr>
        <w:footnoteReference w:id="8"/>
      </w:r>
      <w:r w:rsidR="00EA3E0A" w:rsidRPr="00BA31D2">
        <w:rPr>
          <w:rFonts w:cs="Arial"/>
          <w:iCs/>
        </w:rPr>
        <w:t>.</w:t>
      </w:r>
    </w:p>
    <w:p w14:paraId="54832288" w14:textId="073AB89F" w:rsidR="002D2F79" w:rsidRPr="002817A0" w:rsidRDefault="002D2F79" w:rsidP="00E9709E">
      <w:pPr>
        <w:pStyle w:val="ListParagraph"/>
        <w:numPr>
          <w:ilvl w:val="0"/>
          <w:numId w:val="25"/>
        </w:numPr>
        <w:spacing w:line="259" w:lineRule="auto"/>
        <w:ind w:left="1080"/>
        <w:contextualSpacing w:val="0"/>
        <w:rPr>
          <w:rFonts w:cstheme="minorBidi"/>
        </w:rPr>
      </w:pPr>
      <w:r>
        <w:rPr>
          <w:rFonts w:cs="Arial"/>
          <w:iCs/>
        </w:rPr>
        <w:t>The majority of cervical cancers related to HPV are in under</w:t>
      </w:r>
      <w:r w:rsidR="006A1DEC">
        <w:rPr>
          <w:rFonts w:cs="Arial"/>
          <w:iCs/>
        </w:rPr>
        <w:t>-</w:t>
      </w:r>
      <w:r>
        <w:rPr>
          <w:rFonts w:cs="Arial"/>
          <w:iCs/>
        </w:rPr>
        <w:t>screened and un</w:t>
      </w:r>
      <w:r w:rsidR="006A1DEC">
        <w:rPr>
          <w:rFonts w:cs="Arial"/>
          <w:iCs/>
        </w:rPr>
        <w:t>-</w:t>
      </w:r>
      <w:r>
        <w:rPr>
          <w:rFonts w:cs="Arial"/>
          <w:iCs/>
        </w:rPr>
        <w:t>screened women and people with a cervix</w:t>
      </w:r>
      <w:r w:rsidR="00685693">
        <w:rPr>
          <w:rStyle w:val="FootnoteReference"/>
          <w:rFonts w:cs="Arial"/>
          <w:iCs/>
        </w:rPr>
        <w:footnoteReference w:id="9"/>
      </w:r>
      <w:r>
        <w:rPr>
          <w:rFonts w:cs="Arial"/>
          <w:iCs/>
        </w:rPr>
        <w:t xml:space="preserve">. </w:t>
      </w:r>
      <w:r w:rsidR="00532D17">
        <w:rPr>
          <w:rFonts w:cs="Arial"/>
          <w:iCs/>
        </w:rPr>
        <w:t xml:space="preserve">Increasing participation in cervical screening is vital for Australia to deliver on the 2030 target of eliminating cervical cancer as an issue of public health concern. </w:t>
      </w:r>
    </w:p>
    <w:p w14:paraId="2A14345E" w14:textId="0C3D2BDA" w:rsidR="002817A0" w:rsidRPr="00E153A3" w:rsidRDefault="00633691" w:rsidP="00935B45">
      <w:pPr>
        <w:pStyle w:val="ListParagraph"/>
        <w:numPr>
          <w:ilvl w:val="0"/>
          <w:numId w:val="25"/>
        </w:numPr>
        <w:spacing w:line="259" w:lineRule="auto"/>
        <w:ind w:left="1080"/>
        <w:contextualSpacing w:val="0"/>
        <w:rPr>
          <w:szCs w:val="22"/>
        </w:rPr>
      </w:pPr>
      <w:r w:rsidRPr="00935B45">
        <w:t>Gay men, bisexual men, and men who have sex with men</w:t>
      </w:r>
      <w:r w:rsidR="0010774F">
        <w:t xml:space="preserve"> (</w:t>
      </w:r>
      <w:r w:rsidR="007060A6" w:rsidRPr="00633691">
        <w:rPr>
          <w:rFonts w:cstheme="minorHAnsi"/>
          <w:lang w:eastAsia="en-AU"/>
        </w:rPr>
        <w:t>GBMSM</w:t>
      </w:r>
      <w:r w:rsidR="0010774F">
        <w:rPr>
          <w:rFonts w:cstheme="minorHAnsi"/>
          <w:lang w:eastAsia="en-AU"/>
        </w:rPr>
        <w:t>s)</w:t>
      </w:r>
      <w:r w:rsidR="007060A6" w:rsidRPr="002817A0">
        <w:rPr>
          <w:rFonts w:cstheme="minorHAnsi"/>
          <w:lang w:eastAsia="en-AU"/>
        </w:rPr>
        <w:t>, who are also HIV-positive and other immunocompromised individuals are at increased risk for HPV infection</w:t>
      </w:r>
      <w:r w:rsidR="00685693">
        <w:rPr>
          <w:rStyle w:val="FootnoteReference"/>
          <w:rFonts w:cstheme="minorHAnsi"/>
          <w:lang w:eastAsia="en-AU"/>
        </w:rPr>
        <w:footnoteReference w:id="10"/>
      </w:r>
      <w:r w:rsidR="007060A6" w:rsidRPr="002817A0">
        <w:rPr>
          <w:rFonts w:cstheme="minorHAnsi"/>
          <w:lang w:eastAsia="en-AU"/>
        </w:rPr>
        <w:t>.</w:t>
      </w:r>
    </w:p>
    <w:p w14:paraId="7FDE3B6E" w14:textId="55080008" w:rsidR="007060A6" w:rsidRPr="002817A0" w:rsidRDefault="007060A6" w:rsidP="002817A0">
      <w:pPr>
        <w:spacing w:before="120" w:after="120" w:line="240" w:lineRule="auto"/>
        <w:outlineLvl w:val="3"/>
        <w:rPr>
          <w:rFonts w:asciiTheme="majorHAnsi" w:eastAsiaTheme="minorHAnsi" w:hAnsiTheme="majorHAnsi" w:cs="Calibri"/>
          <w:color w:val="7030A0"/>
          <w:sz w:val="28"/>
          <w:szCs w:val="22"/>
        </w:rPr>
      </w:pPr>
      <w:r w:rsidRPr="002817A0">
        <w:rPr>
          <w:rFonts w:asciiTheme="majorHAnsi" w:eastAsiaTheme="minorHAnsi" w:hAnsiTheme="majorHAnsi" w:cs="Calibri"/>
          <w:color w:val="7030A0"/>
          <w:sz w:val="28"/>
          <w:szCs w:val="22"/>
        </w:rPr>
        <w:t>Blood borne viruses</w:t>
      </w:r>
      <w:r w:rsidR="00B63D30" w:rsidRPr="002817A0">
        <w:rPr>
          <w:rFonts w:asciiTheme="majorHAnsi" w:eastAsiaTheme="minorHAnsi" w:hAnsiTheme="majorHAnsi" w:cs="Calibri"/>
          <w:color w:val="7030A0"/>
          <w:sz w:val="28"/>
          <w:szCs w:val="22"/>
        </w:rPr>
        <w:t xml:space="preserve"> (BBV)</w:t>
      </w:r>
      <w:r w:rsidRPr="002817A0">
        <w:rPr>
          <w:rFonts w:asciiTheme="majorHAnsi" w:eastAsiaTheme="minorHAnsi" w:hAnsiTheme="majorHAnsi" w:cs="Calibri"/>
          <w:color w:val="7030A0"/>
          <w:sz w:val="28"/>
          <w:szCs w:val="22"/>
        </w:rPr>
        <w:t xml:space="preserve"> </w:t>
      </w:r>
    </w:p>
    <w:p w14:paraId="26FD07E0" w14:textId="21C7F4AF" w:rsidR="00B63D30" w:rsidRDefault="00B63D30" w:rsidP="006A1CC9">
      <w:r>
        <w:t>People infected with a BBV may show little or no symptoms while still being infectious, increasing the risk of asymptomatic transmission of disease. Many BBVs are incurable or cause chronic disease</w:t>
      </w:r>
      <w:r w:rsidR="00E068B4">
        <w:t xml:space="preserve"> (which can also be fatal)</w:t>
      </w:r>
      <w:r>
        <w:t xml:space="preserve">, requiring </w:t>
      </w:r>
      <w:r w:rsidR="00532E81">
        <w:t xml:space="preserve">long-term or </w:t>
      </w:r>
      <w:r>
        <w:t xml:space="preserve">lifelong </w:t>
      </w:r>
      <w:r w:rsidR="0010774F">
        <w:t xml:space="preserve">management </w:t>
      </w:r>
      <w:r w:rsidR="00E068B4">
        <w:t>and</w:t>
      </w:r>
      <w:r w:rsidR="0010774F">
        <w:t xml:space="preserve"> </w:t>
      </w:r>
      <w:r>
        <w:t>treatment</w:t>
      </w:r>
      <w:r w:rsidR="00532E81">
        <w:t>.</w:t>
      </w:r>
      <w:r>
        <w:t xml:space="preserve"> </w:t>
      </w:r>
    </w:p>
    <w:p w14:paraId="0B9AD750" w14:textId="2C873027" w:rsidR="007060A6" w:rsidRPr="006A1DEC" w:rsidRDefault="00285E92" w:rsidP="00953484">
      <w:r w:rsidRPr="006A1DEC">
        <w:t xml:space="preserve">Hepatitis </w:t>
      </w:r>
      <w:r w:rsidR="00251498">
        <w:t>B</w:t>
      </w:r>
      <w:r w:rsidR="008C3BFB">
        <w:t xml:space="preserve"> </w:t>
      </w:r>
      <w:r w:rsidRPr="006A1DEC">
        <w:t xml:space="preserve">and </w:t>
      </w:r>
      <w:r w:rsidR="00281AE6">
        <w:t>h</w:t>
      </w:r>
      <w:r w:rsidRPr="006A1DEC">
        <w:t xml:space="preserve">epatitis </w:t>
      </w:r>
      <w:r w:rsidR="00251498">
        <w:t>C</w:t>
      </w:r>
      <w:r w:rsidR="007060A6" w:rsidRPr="006A1DEC">
        <w:t xml:space="preserve"> </w:t>
      </w:r>
      <w:r w:rsidR="00E068B4">
        <w:t xml:space="preserve">have </w:t>
      </w:r>
      <w:r w:rsidR="007060A6" w:rsidRPr="006A1DEC">
        <w:t>a high mean rate of annual notifications</w:t>
      </w:r>
      <w:r w:rsidR="00031D19" w:rsidRPr="006A1DEC">
        <w:t xml:space="preserve"> </w:t>
      </w:r>
      <w:r w:rsidR="00031D19" w:rsidRPr="00935B45">
        <w:t xml:space="preserve">and viral hepatitis </w:t>
      </w:r>
      <w:r w:rsidR="00306F9E">
        <w:t>is</w:t>
      </w:r>
      <w:r w:rsidR="00031D19" w:rsidRPr="00935B45">
        <w:t xml:space="preserve"> the major cause of liver cancer</w:t>
      </w:r>
      <w:r w:rsidR="00B05212">
        <w:t>. It is</w:t>
      </w:r>
      <w:r w:rsidR="008C3BFB">
        <w:t xml:space="preserve"> </w:t>
      </w:r>
      <w:r w:rsidR="00031D19" w:rsidRPr="00935B45">
        <w:t>the fastest increasing cause of</w:t>
      </w:r>
      <w:r w:rsidR="00243D77">
        <w:t xml:space="preserve"> death resulting from</w:t>
      </w:r>
      <w:r w:rsidR="00031D19" w:rsidRPr="00935B45">
        <w:t xml:space="preserve"> </w:t>
      </w:r>
      <w:r w:rsidR="00EB6EAA">
        <w:t xml:space="preserve">liver </w:t>
      </w:r>
      <w:r w:rsidR="00031D19" w:rsidRPr="00935B45">
        <w:t>cancer</w:t>
      </w:r>
      <w:r w:rsidR="00281AE6">
        <w:t xml:space="preserve"> </w:t>
      </w:r>
      <w:r w:rsidR="00031D19" w:rsidRPr="00935B45">
        <w:t>in Australia, with a 5-year observed survival rate of only 18%, well beneath the 70% average of all cancers combined</w:t>
      </w:r>
      <w:r w:rsidR="007B0C6A">
        <w:rPr>
          <w:rStyle w:val="FootnoteReference"/>
        </w:rPr>
        <w:footnoteReference w:id="11"/>
      </w:r>
      <w:r w:rsidR="00D96206">
        <w:t>.</w:t>
      </w:r>
      <w:r w:rsidR="00031D19" w:rsidRPr="006A1DEC">
        <w:t xml:space="preserve"> </w:t>
      </w:r>
      <w:r w:rsidR="007060A6" w:rsidRPr="006A1DEC">
        <w:t xml:space="preserve">Although there has been a slight decline in notifications for hepatitis B over the past decade, there are still a large number of individuals who are unaware they are </w:t>
      </w:r>
      <w:r w:rsidR="00953484" w:rsidRPr="006A1DEC">
        <w:t xml:space="preserve">living with </w:t>
      </w:r>
      <w:r w:rsidR="00243D77">
        <w:t>hepatitis B</w:t>
      </w:r>
      <w:r w:rsidR="007060A6" w:rsidRPr="006A1DEC">
        <w:t xml:space="preserve">, and a high proportion of individuals who have been diagnosed but who are not engaged in care. This indicates that there is a gap in screening and a lack in engagement of individuals in the care cascade. </w:t>
      </w:r>
    </w:p>
    <w:p w14:paraId="4E42BE5A" w14:textId="0CF636ED" w:rsidR="007060A6" w:rsidRPr="006A1DEC" w:rsidRDefault="007060A6" w:rsidP="162D5AE6">
      <w:r w:rsidRPr="006A1DEC">
        <w:t xml:space="preserve">Financial allocations for viral hepatitis were also in place well before the 2016 Therapeutic Goods Administration approvals of new </w:t>
      </w:r>
      <w:r w:rsidR="000F0AEE">
        <w:t>hepatitis C</w:t>
      </w:r>
      <w:r w:rsidR="000F0AEE" w:rsidRPr="006A1DEC">
        <w:t xml:space="preserve"> </w:t>
      </w:r>
      <w:r w:rsidRPr="006A1DEC">
        <w:t xml:space="preserve">direct-acting antiretrovirals (DAAs), which has made </w:t>
      </w:r>
      <w:r w:rsidR="00281AE6">
        <w:t>h</w:t>
      </w:r>
      <w:r w:rsidR="005A7D5C">
        <w:t>epatitis C</w:t>
      </w:r>
      <w:r w:rsidRPr="006A1DEC">
        <w:t xml:space="preserve"> curable now for many individuals</w:t>
      </w:r>
      <w:r w:rsidR="00924A37" w:rsidRPr="006A1DEC">
        <w:t xml:space="preserve"> (95% of individuals</w:t>
      </w:r>
      <w:r w:rsidR="000F0AEE">
        <w:t xml:space="preserve"> living with </w:t>
      </w:r>
      <w:r w:rsidR="00281AE6">
        <w:t>h</w:t>
      </w:r>
      <w:r w:rsidR="005A7D5C">
        <w:t>epatitis C</w:t>
      </w:r>
      <w:r w:rsidR="000F0AEE">
        <w:t xml:space="preserve"> are</w:t>
      </w:r>
      <w:r w:rsidR="00924A37" w:rsidRPr="006A1DEC">
        <w:t xml:space="preserve"> curable through DAAs</w:t>
      </w:r>
      <w:r w:rsidR="00306F9E" w:rsidRPr="006A1DEC">
        <w:t>)</w:t>
      </w:r>
      <w:r w:rsidR="00681969">
        <w:rPr>
          <w:rStyle w:val="FootnoteReference"/>
        </w:rPr>
        <w:footnoteReference w:id="12"/>
      </w:r>
      <w:r w:rsidR="00D96206">
        <w:t>.</w:t>
      </w:r>
      <w:r w:rsidRPr="006A1DEC">
        <w:t xml:space="preserve"> Although DAAs are highly effective, there remains a high number of individuals living with </w:t>
      </w:r>
      <w:r w:rsidR="00281AE6">
        <w:t>h</w:t>
      </w:r>
      <w:r w:rsidR="005A7D5C">
        <w:t>epatitis C</w:t>
      </w:r>
      <w:r w:rsidRPr="006A1DEC">
        <w:t xml:space="preserve"> who are undiagnosed and others who may or may not be aware of their </w:t>
      </w:r>
      <w:r w:rsidR="00281AE6">
        <w:t>h</w:t>
      </w:r>
      <w:r w:rsidR="005A7D5C">
        <w:t>epatitis C</w:t>
      </w:r>
      <w:r w:rsidRPr="006A1DEC">
        <w:t xml:space="preserve"> status who are not engaged in treatment. According to 2020 modelling data, as </w:t>
      </w:r>
      <w:r w:rsidR="00281AE6">
        <w:t>h</w:t>
      </w:r>
      <w:r w:rsidR="005A7D5C">
        <w:t>epatitis C</w:t>
      </w:r>
      <w:r w:rsidRPr="006A1DEC">
        <w:t xml:space="preserve"> </w:t>
      </w:r>
      <w:r w:rsidR="000F0AEE">
        <w:t xml:space="preserve">incidence </w:t>
      </w:r>
      <w:r w:rsidRPr="006A1DEC">
        <w:t>numbers decline, investment in testing must increase</w:t>
      </w:r>
      <w:r w:rsidR="000F0AEE">
        <w:t>,</w:t>
      </w:r>
      <w:r w:rsidR="00924A37" w:rsidRPr="006A1DEC">
        <w:t xml:space="preserve"> </w:t>
      </w:r>
      <w:r w:rsidR="000F0AEE">
        <w:t>but also</w:t>
      </w:r>
      <w:r w:rsidR="00924A37" w:rsidRPr="006A1DEC">
        <w:t xml:space="preserve"> </w:t>
      </w:r>
      <w:r w:rsidR="008C3BFB">
        <w:t xml:space="preserve">the </w:t>
      </w:r>
      <w:r w:rsidR="00924A37" w:rsidRPr="006A1DEC">
        <w:t xml:space="preserve">scaling up of currently available prevention interventions (including consideration </w:t>
      </w:r>
      <w:r w:rsidR="008C3BFB">
        <w:t>of</w:t>
      </w:r>
      <w:r w:rsidR="00924A37" w:rsidRPr="006A1DEC">
        <w:t xml:space="preserve"> enhancing care pathway models)</w:t>
      </w:r>
      <w:r w:rsidRPr="006A1DEC">
        <w:t xml:space="preserve"> to reach WHO elimination targets</w:t>
      </w:r>
      <w:r w:rsidR="007B0C6A">
        <w:rPr>
          <w:rStyle w:val="FootnoteReference"/>
        </w:rPr>
        <w:footnoteReference w:id="13"/>
      </w:r>
      <w:r w:rsidRPr="006A1DEC">
        <w:t>.</w:t>
      </w:r>
      <w:r w:rsidR="00306F9E">
        <w:t xml:space="preserve"> </w:t>
      </w:r>
      <w:r w:rsidR="00924A37" w:rsidRPr="006A1DEC">
        <w:t xml:space="preserve">It </w:t>
      </w:r>
      <w:r w:rsidR="008C3BFB">
        <w:t>should</w:t>
      </w:r>
      <w:r w:rsidR="00924A37" w:rsidRPr="006A1DEC">
        <w:t xml:space="preserve"> be noted that the cure for </w:t>
      </w:r>
      <w:r w:rsidR="00281AE6">
        <w:t>h</w:t>
      </w:r>
      <w:r w:rsidR="005A7D5C">
        <w:t>epatitis C</w:t>
      </w:r>
      <w:r w:rsidR="00924A37" w:rsidRPr="006A1DEC">
        <w:t xml:space="preserve"> does not offer immunity against future infections.</w:t>
      </w:r>
      <w:r w:rsidR="00AA3044">
        <w:t xml:space="preserve"> </w:t>
      </w:r>
      <w:r w:rsidR="003144E8">
        <w:t xml:space="preserve">It is also important to recognise that experiences of stigma, discrimination and social exclusion can continue post-cure. This can </w:t>
      </w:r>
      <w:r w:rsidR="003144E8">
        <w:lastRenderedPageBreak/>
        <w:t>enhance the risk of reinfection, increase medical risks, and undermine the promise of the elimination agenda</w:t>
      </w:r>
      <w:r w:rsidR="003144E8">
        <w:rPr>
          <w:rStyle w:val="FootnoteReference"/>
        </w:rPr>
        <w:footnoteReference w:id="14"/>
      </w:r>
      <w:r w:rsidR="00D96206">
        <w:t>.</w:t>
      </w:r>
      <w:r w:rsidR="003144E8">
        <w:t xml:space="preserve"> A range of harm reduction approaches (e.g. Needle and Syringe Programs, </w:t>
      </w:r>
      <w:r w:rsidR="00BA31D2">
        <w:t>o</w:t>
      </w:r>
      <w:r w:rsidR="003144E8">
        <w:t>pioid subst</w:t>
      </w:r>
      <w:r w:rsidR="00BA31D2">
        <w:t>i</w:t>
      </w:r>
      <w:r w:rsidR="003144E8">
        <w:t>t</w:t>
      </w:r>
      <w:r w:rsidR="00BA31D2">
        <w:t>ut</w:t>
      </w:r>
      <w:r w:rsidR="003144E8">
        <w:t xml:space="preserve">ion treatment) can help prevent hepatitis C reinfection. </w:t>
      </w:r>
    </w:p>
    <w:p w14:paraId="77B76734" w14:textId="4952AF1B" w:rsidR="006A1CC9" w:rsidRDefault="007060A6" w:rsidP="00E9709E">
      <w:pPr>
        <w:rPr>
          <w:rFonts w:cstheme="minorHAnsi"/>
          <w:color w:val="212121"/>
          <w:shd w:val="clear" w:color="auto" w:fill="FFFFFF"/>
        </w:rPr>
      </w:pPr>
      <w:r>
        <w:rPr>
          <w:rFonts w:cstheme="minorHAnsi"/>
        </w:rPr>
        <w:t>E</w:t>
      </w:r>
      <w:r w:rsidRPr="00BA2396">
        <w:rPr>
          <w:rFonts w:cstheme="minorHAnsi"/>
        </w:rPr>
        <w:t>vidence suggests there are a number of people living in the ACT who have HIV but have not been diagnosed.</w:t>
      </w:r>
      <w:r>
        <w:rPr>
          <w:rFonts w:cstheme="minorHAnsi"/>
        </w:rPr>
        <w:t xml:space="preserve"> </w:t>
      </w:r>
      <w:r>
        <w:rPr>
          <w:rFonts w:cstheme="minorHAnsi"/>
          <w:color w:val="212121"/>
          <w:shd w:val="clear" w:color="auto" w:fill="FFFFFF"/>
        </w:rPr>
        <w:t>Although</w:t>
      </w:r>
      <w:r w:rsidRPr="00984678">
        <w:rPr>
          <w:rFonts w:cstheme="minorHAnsi"/>
          <w:color w:val="212121"/>
          <w:shd w:val="clear" w:color="auto" w:fill="FFFFFF"/>
        </w:rPr>
        <w:t xml:space="preserve"> there is no vaccine or cure for HIV, </w:t>
      </w:r>
      <w:r w:rsidRPr="00FE065A">
        <w:rPr>
          <w:rFonts w:cstheme="minorHAnsi"/>
          <w:shd w:val="clear" w:color="auto" w:fill="FFFFFF"/>
        </w:rPr>
        <w:t>current</w:t>
      </w:r>
      <w:r w:rsidRPr="00984678">
        <w:rPr>
          <w:rFonts w:cstheme="minorHAnsi"/>
          <w:color w:val="212121"/>
          <w:shd w:val="clear" w:color="auto" w:fill="FFFFFF"/>
        </w:rPr>
        <w:t xml:space="preserve"> antiretroviral treatments</w:t>
      </w:r>
      <w:r>
        <w:rPr>
          <w:rFonts w:cstheme="minorHAnsi"/>
          <w:color w:val="212121"/>
          <w:shd w:val="clear" w:color="auto" w:fill="FFFFFF"/>
        </w:rPr>
        <w:t xml:space="preserve"> </w:t>
      </w:r>
      <w:r w:rsidRPr="00984678">
        <w:rPr>
          <w:rFonts w:cstheme="minorHAnsi"/>
          <w:color w:val="212121"/>
          <w:shd w:val="clear" w:color="auto" w:fill="FFFFFF"/>
        </w:rPr>
        <w:t>are effective at reducing HIV viral load</w:t>
      </w:r>
      <w:r>
        <w:rPr>
          <w:rFonts w:cstheme="minorHAnsi"/>
          <w:color w:val="212121"/>
          <w:shd w:val="clear" w:color="auto" w:fill="FFFFFF"/>
        </w:rPr>
        <w:t>,</w:t>
      </w:r>
      <w:r w:rsidRPr="00984678">
        <w:rPr>
          <w:rFonts w:cstheme="minorHAnsi"/>
          <w:color w:val="212121"/>
          <w:shd w:val="clear" w:color="auto" w:fill="FFFFFF"/>
        </w:rPr>
        <w:t xml:space="preserve"> which preserves immune function and prevents HIV related illness. Viral load suppression also reduces the likelihood of onward transmission of HIV. </w:t>
      </w:r>
      <w:r w:rsidRPr="00C63914">
        <w:rPr>
          <w:rFonts w:asciiTheme="minorHAnsi" w:hAnsiTheme="minorHAnsi" w:cstheme="minorHAnsi"/>
          <w:color w:val="212121"/>
          <w:shd w:val="clear" w:color="auto" w:fill="FFFFFF"/>
        </w:rPr>
        <w:t>The availability of pre-exposure prophylaxis for HIV (PrEP) in Australia since 2018 has been at the forefront of the national HIV prevention response and has had a significant impact on HIV notifications in the ACT and elsewhere</w:t>
      </w:r>
      <w:r>
        <w:rPr>
          <w:rFonts w:cstheme="minorHAnsi"/>
          <w:color w:val="212121"/>
          <w:shd w:val="clear" w:color="auto" w:fill="FFFFFF"/>
        </w:rPr>
        <w:t>.</w:t>
      </w:r>
      <w:r w:rsidR="00EB6EAA" w:rsidRPr="00EB6EAA">
        <w:t xml:space="preserve"> </w:t>
      </w:r>
      <w:r w:rsidR="00576E8C">
        <w:t xml:space="preserve">The following section provides ACT data from the Kirby Institute (UNSW) </w:t>
      </w:r>
      <w:r w:rsidR="00576E8C" w:rsidRPr="00935B45">
        <w:rPr>
          <w:i/>
          <w:iCs/>
        </w:rPr>
        <w:t>Sexually transmissible infections and blood-borne viruses in the ACT: Surveillance Report 2020</w:t>
      </w:r>
      <w:r w:rsidR="00576E8C">
        <w:t xml:space="preserve"> (</w:t>
      </w:r>
      <w:r w:rsidR="002B5953">
        <w:t>r</w:t>
      </w:r>
      <w:r w:rsidR="00576E8C">
        <w:t>eport in preparation)</w:t>
      </w:r>
      <w:r w:rsidR="00BA31D2">
        <w:t>.</w:t>
      </w:r>
      <w:r w:rsidR="00BA31D2" w:rsidDel="00BA31D2">
        <w:t xml:space="preserve"> </w:t>
      </w:r>
    </w:p>
    <w:p w14:paraId="56187178" w14:textId="77777777" w:rsidR="007060A6" w:rsidRDefault="007060A6" w:rsidP="481EAFF8">
      <w:pPr>
        <w:ind w:left="360"/>
        <w:rPr>
          <w:i/>
          <w:iCs/>
        </w:rPr>
      </w:pPr>
      <w:r w:rsidRPr="481EAFF8">
        <w:rPr>
          <w:i/>
          <w:iCs/>
        </w:rPr>
        <w:t xml:space="preserve">Hepatitis B </w:t>
      </w:r>
    </w:p>
    <w:p w14:paraId="02C5E1B0" w14:textId="14311466" w:rsidR="007060A6" w:rsidRPr="00E92C85" w:rsidRDefault="007060A6" w:rsidP="00E9709E">
      <w:pPr>
        <w:pStyle w:val="ListParagraph"/>
        <w:numPr>
          <w:ilvl w:val="0"/>
          <w:numId w:val="26"/>
        </w:numPr>
        <w:autoSpaceDE w:val="0"/>
        <w:autoSpaceDN w:val="0"/>
        <w:adjustRightInd w:val="0"/>
        <w:spacing w:line="240" w:lineRule="auto"/>
        <w:ind w:left="1080"/>
        <w:contextualSpacing w:val="0"/>
        <w:rPr>
          <w:rFonts w:asciiTheme="minorHAnsi" w:eastAsiaTheme="minorHAnsi" w:hAnsiTheme="minorHAnsi" w:cstheme="minorHAnsi"/>
          <w:color w:val="212121"/>
          <w:szCs w:val="22"/>
          <w:shd w:val="clear" w:color="auto" w:fill="FFFFFF"/>
        </w:rPr>
      </w:pPr>
      <w:r w:rsidRPr="00E92C85">
        <w:rPr>
          <w:rFonts w:asciiTheme="minorHAnsi" w:eastAsiaTheme="minorHAnsi" w:hAnsiTheme="minorHAnsi" w:cstheme="minorHAnsi"/>
          <w:color w:val="212121"/>
          <w:szCs w:val="22"/>
          <w:shd w:val="clear" w:color="auto" w:fill="FFFFFF"/>
        </w:rPr>
        <w:t>In 2020, there was an estimated 3</w:t>
      </w:r>
      <w:r w:rsidR="006A1CC9">
        <w:rPr>
          <w:rFonts w:asciiTheme="minorHAnsi" w:eastAsiaTheme="minorHAnsi" w:hAnsiTheme="minorHAnsi" w:cstheme="minorHAnsi"/>
          <w:color w:val="212121"/>
          <w:szCs w:val="22"/>
          <w:shd w:val="clear" w:color="auto" w:fill="FFFFFF"/>
        </w:rPr>
        <w:t>,</w:t>
      </w:r>
      <w:r w:rsidRPr="00E92C85">
        <w:rPr>
          <w:rFonts w:asciiTheme="minorHAnsi" w:eastAsiaTheme="minorHAnsi" w:hAnsiTheme="minorHAnsi" w:cstheme="minorHAnsi"/>
          <w:color w:val="212121"/>
          <w:szCs w:val="22"/>
          <w:shd w:val="clear" w:color="auto" w:fill="FFFFFF"/>
        </w:rPr>
        <w:t>211 people living with chronic hepatitis B in the ACT (0.74% prevalence). Of these, an estimated 69% (2</w:t>
      </w:r>
      <w:r w:rsidR="006A1CC9">
        <w:rPr>
          <w:rFonts w:asciiTheme="minorHAnsi" w:eastAsiaTheme="minorHAnsi" w:hAnsiTheme="minorHAnsi" w:cstheme="minorHAnsi"/>
          <w:color w:val="212121"/>
          <w:szCs w:val="22"/>
          <w:shd w:val="clear" w:color="auto" w:fill="FFFFFF"/>
        </w:rPr>
        <w:t>,</w:t>
      </w:r>
      <w:r w:rsidRPr="00E92C85">
        <w:rPr>
          <w:rFonts w:asciiTheme="minorHAnsi" w:eastAsiaTheme="minorHAnsi" w:hAnsiTheme="minorHAnsi" w:cstheme="minorHAnsi"/>
          <w:color w:val="212121"/>
          <w:szCs w:val="22"/>
          <w:shd w:val="clear" w:color="auto" w:fill="FFFFFF"/>
        </w:rPr>
        <w:t>225) have been diagnosed and 986 remain undiagnosed</w:t>
      </w:r>
      <w:r w:rsidR="006532AF">
        <w:rPr>
          <w:rStyle w:val="FootnoteReference"/>
          <w:rFonts w:asciiTheme="minorHAnsi" w:eastAsiaTheme="minorHAnsi" w:hAnsiTheme="minorHAnsi" w:cstheme="minorHAnsi"/>
          <w:color w:val="212121"/>
          <w:szCs w:val="22"/>
          <w:shd w:val="clear" w:color="auto" w:fill="FFFFFF"/>
        </w:rPr>
        <w:footnoteReference w:id="15"/>
      </w:r>
      <w:r w:rsidRPr="00E92C85">
        <w:rPr>
          <w:rFonts w:asciiTheme="minorHAnsi" w:eastAsiaTheme="minorHAnsi" w:hAnsiTheme="minorHAnsi" w:cstheme="minorHAnsi"/>
          <w:color w:val="212121"/>
          <w:szCs w:val="22"/>
          <w:shd w:val="clear" w:color="auto" w:fill="FFFFFF"/>
        </w:rPr>
        <w:t>.</w:t>
      </w:r>
    </w:p>
    <w:p w14:paraId="7C6FCF49" w14:textId="2BA8E1CA" w:rsidR="007060A6" w:rsidRDefault="007060A6" w:rsidP="00E9709E">
      <w:pPr>
        <w:pStyle w:val="ListParagraph"/>
        <w:numPr>
          <w:ilvl w:val="0"/>
          <w:numId w:val="26"/>
        </w:numPr>
        <w:autoSpaceDE w:val="0"/>
        <w:autoSpaceDN w:val="0"/>
        <w:adjustRightInd w:val="0"/>
        <w:spacing w:line="240" w:lineRule="auto"/>
        <w:ind w:left="1080"/>
        <w:contextualSpacing w:val="0"/>
        <w:rPr>
          <w:rFonts w:eastAsiaTheme="minorHAnsi" w:cstheme="minorHAnsi"/>
          <w:color w:val="212121"/>
          <w:shd w:val="clear" w:color="auto" w:fill="FFFFFF"/>
        </w:rPr>
      </w:pPr>
      <w:r w:rsidRPr="00E92C85">
        <w:rPr>
          <w:rFonts w:eastAsiaTheme="minorHAnsi" w:cstheme="minorHAnsi"/>
          <w:color w:val="212121"/>
          <w:shd w:val="clear" w:color="auto" w:fill="FFFFFF"/>
        </w:rPr>
        <w:t>In 2020, chronic hepatitis B treatment uptake was almost 13%, higher than the national average of 11%. Also</w:t>
      </w:r>
      <w:r w:rsidR="006A1CC9">
        <w:rPr>
          <w:rFonts w:eastAsiaTheme="minorHAnsi" w:cstheme="minorHAnsi"/>
          <w:color w:val="212121"/>
          <w:shd w:val="clear" w:color="auto" w:fill="FFFFFF"/>
        </w:rPr>
        <w:t>,</w:t>
      </w:r>
      <w:r>
        <w:rPr>
          <w:rFonts w:eastAsiaTheme="minorHAnsi" w:cstheme="minorHAnsi"/>
          <w:color w:val="212121"/>
          <w:shd w:val="clear" w:color="auto" w:fill="FFFFFF"/>
        </w:rPr>
        <w:t xml:space="preserve"> </w:t>
      </w:r>
      <w:r w:rsidRPr="00E92C85">
        <w:rPr>
          <w:rFonts w:eastAsiaTheme="minorHAnsi" w:cstheme="minorHAnsi"/>
          <w:color w:val="212121"/>
          <w:shd w:val="clear" w:color="auto" w:fill="FFFFFF"/>
        </w:rPr>
        <w:t>chronic hepatitis B care uptake in the ACT was 26%, higher than the national average of 23%</w:t>
      </w:r>
      <w:r w:rsidR="00BA31D2">
        <w:rPr>
          <w:rStyle w:val="FootnoteReference"/>
          <w:rFonts w:eastAsiaTheme="minorHAnsi" w:cstheme="minorHAnsi"/>
          <w:color w:val="212121"/>
          <w:shd w:val="clear" w:color="auto" w:fill="FFFFFF"/>
        </w:rPr>
        <w:footnoteReference w:id="16"/>
      </w:r>
      <w:r w:rsidR="002817A0">
        <w:rPr>
          <w:rFonts w:eastAsiaTheme="minorHAnsi" w:cstheme="minorHAnsi"/>
          <w:color w:val="212121"/>
          <w:shd w:val="clear" w:color="auto" w:fill="FFFFFF"/>
        </w:rPr>
        <w:t>.</w:t>
      </w:r>
    </w:p>
    <w:p w14:paraId="6928C97A" w14:textId="3D48A44F" w:rsidR="00E26B60" w:rsidRPr="00935B45" w:rsidRDefault="00E26B60" w:rsidP="00935B45">
      <w:pPr>
        <w:pStyle w:val="ListParagraph"/>
        <w:numPr>
          <w:ilvl w:val="0"/>
          <w:numId w:val="26"/>
        </w:numPr>
        <w:autoSpaceDE w:val="0"/>
        <w:autoSpaceDN w:val="0"/>
        <w:adjustRightInd w:val="0"/>
        <w:spacing w:line="240" w:lineRule="auto"/>
        <w:ind w:left="1080"/>
        <w:contextualSpacing w:val="0"/>
        <w:rPr>
          <w:rFonts w:eastAsiaTheme="minorHAnsi" w:cstheme="minorHAnsi"/>
          <w:color w:val="212121"/>
          <w:shd w:val="clear" w:color="auto" w:fill="FFFFFF"/>
        </w:rPr>
      </w:pPr>
      <w:r w:rsidRPr="00935B45">
        <w:rPr>
          <w:rFonts w:eastAsiaTheme="minorHAnsi" w:cstheme="minorHAnsi"/>
          <w:color w:val="212121"/>
          <w:shd w:val="clear" w:color="auto" w:fill="FFFFFF"/>
        </w:rPr>
        <w:t>In 2020, nearly 70% of people living with chronic hepatitis B in Australia were born overseas</w:t>
      </w:r>
      <w:r w:rsidR="00962EC4">
        <w:rPr>
          <w:rStyle w:val="FootnoteReference"/>
          <w:rFonts w:eastAsiaTheme="minorHAnsi" w:cstheme="minorHAnsi"/>
          <w:color w:val="212121"/>
          <w:shd w:val="clear" w:color="auto" w:fill="FFFFFF"/>
        </w:rPr>
        <w:footnoteReference w:id="17"/>
      </w:r>
      <w:r w:rsidR="00D96206">
        <w:rPr>
          <w:rFonts w:eastAsiaTheme="minorHAnsi" w:cstheme="minorHAnsi"/>
          <w:color w:val="212121"/>
          <w:shd w:val="clear" w:color="auto" w:fill="FFFFFF"/>
        </w:rPr>
        <w:t>.</w:t>
      </w:r>
    </w:p>
    <w:p w14:paraId="33FB2C49" w14:textId="26D43EC5" w:rsidR="00E26B60" w:rsidRDefault="00E26B60" w:rsidP="00E9709E">
      <w:pPr>
        <w:pStyle w:val="ListParagraph"/>
        <w:numPr>
          <w:ilvl w:val="0"/>
          <w:numId w:val="26"/>
        </w:numPr>
        <w:autoSpaceDE w:val="0"/>
        <w:autoSpaceDN w:val="0"/>
        <w:adjustRightInd w:val="0"/>
        <w:spacing w:line="240" w:lineRule="auto"/>
        <w:ind w:left="1080"/>
        <w:contextualSpacing w:val="0"/>
        <w:rPr>
          <w:rFonts w:eastAsiaTheme="minorHAnsi" w:cstheme="minorHAnsi"/>
          <w:color w:val="212121"/>
          <w:shd w:val="clear" w:color="auto" w:fill="FFFFFF"/>
        </w:rPr>
      </w:pPr>
      <w:r w:rsidRPr="00935B45">
        <w:rPr>
          <w:rFonts w:eastAsiaTheme="minorHAnsi" w:cstheme="minorHAnsi"/>
          <w:color w:val="212121"/>
          <w:shd w:val="clear" w:color="auto" w:fill="FFFFFF"/>
        </w:rPr>
        <w:t>First Nations Australians are also disproportionately affected by hepatitis B, representing 7.2% of hepatitis B cases in Australia</w:t>
      </w:r>
      <w:r>
        <w:rPr>
          <w:rStyle w:val="FootnoteReference"/>
          <w:rFonts w:eastAsiaTheme="minorHAnsi" w:cstheme="minorHAnsi"/>
          <w:color w:val="212121"/>
          <w:shd w:val="clear" w:color="auto" w:fill="FFFFFF"/>
        </w:rPr>
        <w:footnoteReference w:id="18"/>
      </w:r>
      <w:r w:rsidR="00D96206">
        <w:rPr>
          <w:rFonts w:eastAsiaTheme="minorHAnsi" w:cstheme="minorHAnsi"/>
          <w:color w:val="212121"/>
          <w:shd w:val="clear" w:color="auto" w:fill="FFFFFF"/>
        </w:rPr>
        <w:t>.</w:t>
      </w:r>
    </w:p>
    <w:p w14:paraId="6870261F" w14:textId="5E4EEA67" w:rsidR="007060A6" w:rsidRPr="00A1182B" w:rsidRDefault="007060A6" w:rsidP="162D5AE6">
      <w:pPr>
        <w:ind w:left="360"/>
        <w:rPr>
          <w:rFonts w:eastAsia="Calibri"/>
          <w:i/>
          <w:iCs/>
        </w:rPr>
      </w:pPr>
      <w:r w:rsidRPr="481EAFF8">
        <w:rPr>
          <w:i/>
          <w:iCs/>
        </w:rPr>
        <w:t>Hepatitis C</w:t>
      </w:r>
    </w:p>
    <w:p w14:paraId="317354BF" w14:textId="045A57B2" w:rsidR="007060A6" w:rsidRPr="00935B45" w:rsidRDefault="007060A6" w:rsidP="00E9709E">
      <w:pPr>
        <w:pStyle w:val="ListParagraph"/>
        <w:numPr>
          <w:ilvl w:val="0"/>
          <w:numId w:val="27"/>
        </w:numPr>
        <w:spacing w:line="259" w:lineRule="auto"/>
        <w:ind w:left="1080"/>
        <w:contextualSpacing w:val="0"/>
      </w:pPr>
      <w:r w:rsidRPr="00BA2396">
        <w:rPr>
          <w:rFonts w:cstheme="minorHAnsi"/>
          <w:color w:val="212121"/>
          <w:shd w:val="clear" w:color="auto" w:fill="FFFFFF"/>
        </w:rPr>
        <w:t>Like hepatitis B, it is known that not all people living with hepatitis C have been diagnosed. There are approximately 2</w:t>
      </w:r>
      <w:r w:rsidR="006A1CC9">
        <w:rPr>
          <w:rFonts w:cstheme="minorHAnsi"/>
          <w:color w:val="212121"/>
          <w:shd w:val="clear" w:color="auto" w:fill="FFFFFF"/>
        </w:rPr>
        <w:t>,</w:t>
      </w:r>
      <w:r w:rsidRPr="00BA2396">
        <w:rPr>
          <w:rFonts w:cstheme="minorHAnsi"/>
          <w:color w:val="212121"/>
          <w:shd w:val="clear" w:color="auto" w:fill="FFFFFF"/>
        </w:rPr>
        <w:t>832 people living with hepatitis C in the ACT. Unfortunately, only 46% of people living with diagnosed hepatitis C are engaged in care</w:t>
      </w:r>
      <w:r w:rsidR="00BA31D2">
        <w:rPr>
          <w:rStyle w:val="FootnoteReference"/>
          <w:rFonts w:cstheme="minorHAnsi"/>
          <w:color w:val="212121"/>
          <w:shd w:val="clear" w:color="auto" w:fill="FFFFFF"/>
        </w:rPr>
        <w:footnoteReference w:id="19"/>
      </w:r>
      <w:r w:rsidR="002817A0">
        <w:rPr>
          <w:rFonts w:cstheme="minorHAnsi"/>
          <w:color w:val="212121"/>
          <w:shd w:val="clear" w:color="auto" w:fill="FFFFFF"/>
        </w:rPr>
        <w:t>.</w:t>
      </w:r>
    </w:p>
    <w:p w14:paraId="7163B093" w14:textId="16141665" w:rsidR="003B7828" w:rsidRPr="003B7828" w:rsidRDefault="003B7828" w:rsidP="00E9709E">
      <w:pPr>
        <w:pStyle w:val="ListParagraph"/>
        <w:numPr>
          <w:ilvl w:val="0"/>
          <w:numId w:val="27"/>
        </w:numPr>
        <w:spacing w:line="259" w:lineRule="auto"/>
        <w:ind w:left="1080"/>
        <w:contextualSpacing w:val="0"/>
        <w:rPr>
          <w:rFonts w:cstheme="minorHAnsi"/>
          <w:color w:val="212121"/>
          <w:shd w:val="clear" w:color="auto" w:fill="FFFFFF"/>
        </w:rPr>
      </w:pPr>
      <w:r w:rsidRPr="00935B45">
        <w:rPr>
          <w:rFonts w:cstheme="minorHAnsi"/>
          <w:color w:val="212121"/>
          <w:shd w:val="clear" w:color="auto" w:fill="FFFFFF"/>
        </w:rPr>
        <w:t>Hepatitis C disproportionally affects priority populations including people with a history of injecting drug use, people in custodial settings</w:t>
      </w:r>
      <w:r>
        <w:rPr>
          <w:rFonts w:cstheme="minorHAnsi"/>
          <w:color w:val="212121"/>
          <w:shd w:val="clear" w:color="auto" w:fill="FFFFFF"/>
        </w:rPr>
        <w:t xml:space="preserve"> and First Nations </w:t>
      </w:r>
      <w:r w:rsidRPr="00935B45">
        <w:rPr>
          <w:rFonts w:cstheme="minorHAnsi"/>
          <w:color w:val="212121"/>
          <w:shd w:val="clear" w:color="auto" w:fill="FFFFFF"/>
        </w:rPr>
        <w:t>people</w:t>
      </w:r>
      <w:r w:rsidR="002B5953">
        <w:rPr>
          <w:rStyle w:val="FootnoteReference"/>
          <w:rFonts w:cstheme="minorHAnsi"/>
          <w:color w:val="212121"/>
          <w:shd w:val="clear" w:color="auto" w:fill="FFFFFF"/>
        </w:rPr>
        <w:footnoteReference w:id="20"/>
      </w:r>
      <w:r w:rsidR="00A70FF7">
        <w:rPr>
          <w:rFonts w:cstheme="minorHAnsi"/>
          <w:color w:val="212121"/>
          <w:shd w:val="clear" w:color="auto" w:fill="FFFFFF"/>
        </w:rPr>
        <w:t>.</w:t>
      </w:r>
      <w:r w:rsidR="00962EC4" w:rsidRPr="00962EC4">
        <w:rPr>
          <w:rStyle w:val="FootnoteReference"/>
          <w:rFonts w:cstheme="minorHAnsi"/>
          <w:color w:val="212121"/>
          <w:shd w:val="clear" w:color="auto" w:fill="FFFFFF"/>
        </w:rPr>
        <w:t xml:space="preserve"> </w:t>
      </w:r>
    </w:p>
    <w:p w14:paraId="7CED1A30" w14:textId="0A7908B2" w:rsidR="003B7828" w:rsidRPr="006A1CC9" w:rsidRDefault="003B7828" w:rsidP="002B5953">
      <w:pPr>
        <w:pStyle w:val="ListParagraph"/>
        <w:numPr>
          <w:ilvl w:val="0"/>
          <w:numId w:val="27"/>
        </w:numPr>
        <w:spacing w:line="259" w:lineRule="auto"/>
        <w:ind w:left="1080"/>
        <w:contextualSpacing w:val="0"/>
      </w:pPr>
      <w:r w:rsidRPr="00935B45">
        <w:rPr>
          <w:rFonts w:cstheme="minorHAnsi"/>
          <w:color w:val="212121"/>
          <w:shd w:val="clear" w:color="auto" w:fill="FFFFFF"/>
        </w:rPr>
        <w:lastRenderedPageBreak/>
        <w:t>At the end of 2020, an estimated 117,810 people were living with chronic hepatitis C in Australia</w:t>
      </w:r>
      <w:r>
        <w:rPr>
          <w:rStyle w:val="FootnoteReference"/>
          <w:rFonts w:cstheme="minorHAnsi"/>
          <w:color w:val="212121"/>
          <w:shd w:val="clear" w:color="auto" w:fill="FFFFFF"/>
        </w:rPr>
        <w:footnoteReference w:id="21"/>
      </w:r>
      <w:r w:rsidR="00D96206">
        <w:rPr>
          <w:rFonts w:cstheme="minorHAnsi"/>
          <w:color w:val="212121"/>
          <w:shd w:val="clear" w:color="auto" w:fill="FFFFFF"/>
        </w:rPr>
        <w:t>.</w:t>
      </w:r>
    </w:p>
    <w:p w14:paraId="3086E2ED" w14:textId="72165240" w:rsidR="007060A6" w:rsidRPr="00A1182B" w:rsidRDefault="007060A6" w:rsidP="00E9709E">
      <w:pPr>
        <w:ind w:left="360"/>
        <w:rPr>
          <w:i/>
          <w:iCs/>
          <w:szCs w:val="22"/>
        </w:rPr>
      </w:pPr>
      <w:r w:rsidRPr="00A1182B">
        <w:rPr>
          <w:i/>
          <w:iCs/>
          <w:szCs w:val="22"/>
        </w:rPr>
        <w:t>HIV</w:t>
      </w:r>
    </w:p>
    <w:p w14:paraId="41BC7923" w14:textId="604F4058" w:rsidR="007060A6" w:rsidRDefault="00703CD7" w:rsidP="00E9709E">
      <w:pPr>
        <w:pStyle w:val="ListParagraph"/>
        <w:numPr>
          <w:ilvl w:val="0"/>
          <w:numId w:val="27"/>
        </w:numPr>
        <w:spacing w:line="259" w:lineRule="auto"/>
        <w:ind w:left="1080"/>
        <w:contextualSpacing w:val="0"/>
        <w:rPr>
          <w:rFonts w:cstheme="minorHAnsi"/>
          <w:color w:val="212121"/>
          <w:shd w:val="clear" w:color="auto" w:fill="FFFFFF"/>
        </w:rPr>
      </w:pPr>
      <w:r>
        <w:rPr>
          <w:rFonts w:asciiTheme="minorHAnsi" w:eastAsiaTheme="minorHAnsi" w:cstheme="minorHAnsi"/>
          <w:color w:val="212121"/>
          <w:szCs w:val="22"/>
          <w:shd w:val="clear" w:color="auto" w:fill="FFFFFF"/>
        </w:rPr>
        <w:t xml:space="preserve">HIV notifications in the ACT are low, which means trends must be interpreted with caution. </w:t>
      </w:r>
      <w:r w:rsidR="007060A6" w:rsidRPr="006F1955">
        <w:rPr>
          <w:rFonts w:asciiTheme="minorHAnsi" w:eastAsiaTheme="minorHAnsi" w:cstheme="minorHAnsi"/>
          <w:color w:val="212121"/>
          <w:szCs w:val="22"/>
          <w:shd w:val="clear" w:color="auto" w:fill="FFFFFF"/>
        </w:rPr>
        <w:t xml:space="preserve">In 2020, 63% of HIV notifications were attributed to opposite sex contact (total 8 HIV notifications in 2020), up from 54% of the 13 HIV notifications reported in 2017. By comparison, in 2020, 38% of notifications were attributed </w:t>
      </w:r>
      <w:r w:rsidR="007060A6">
        <w:rPr>
          <w:rFonts w:asciiTheme="minorHAnsi" w:eastAsiaTheme="minorHAnsi" w:cstheme="minorHAnsi"/>
          <w:color w:val="212121"/>
          <w:szCs w:val="22"/>
          <w:shd w:val="clear" w:color="auto" w:fill="FFFFFF"/>
        </w:rPr>
        <w:t xml:space="preserve">to MSM </w:t>
      </w:r>
      <w:r w:rsidR="007060A6" w:rsidRPr="006F1955">
        <w:rPr>
          <w:rFonts w:asciiTheme="minorHAnsi" w:eastAsiaTheme="minorHAnsi" w:cstheme="minorHAnsi"/>
          <w:color w:val="212121"/>
          <w:szCs w:val="22"/>
          <w:shd w:val="clear" w:color="auto" w:fill="FFFFFF"/>
        </w:rPr>
        <w:t>sexual contact, down from 46% in 2017. Of the 39 HIV notifications reported, in 10</w:t>
      </w:r>
      <w:r w:rsidR="007060A6" w:rsidRPr="006F1955">
        <w:rPr>
          <w:rFonts w:ascii="Cambria Math" w:eastAsiaTheme="minorHAnsi" w:hAnsi="Cambria Math" w:cs="Cambria Math"/>
          <w:color w:val="212121"/>
          <w:szCs w:val="22"/>
          <w:shd w:val="clear" w:color="auto" w:fill="FFFFFF"/>
        </w:rPr>
        <w:t>‑</w:t>
      </w:r>
      <w:r w:rsidR="007060A6" w:rsidRPr="006F1955">
        <w:rPr>
          <w:rFonts w:asciiTheme="minorHAnsi" w:eastAsiaTheme="minorHAnsi" w:cstheme="minorHAnsi"/>
          <w:color w:val="212121"/>
          <w:szCs w:val="22"/>
          <w:shd w:val="clear" w:color="auto" w:fill="FFFFFF"/>
        </w:rPr>
        <w:t>year period to 2020, 95% (37 cases) reported a sexual exposure</w:t>
      </w:r>
      <w:r w:rsidR="003B76AC">
        <w:rPr>
          <w:rStyle w:val="FootnoteReference"/>
          <w:rFonts w:cstheme="minorHAnsi"/>
          <w:color w:val="212121"/>
          <w:shd w:val="clear" w:color="auto" w:fill="FFFFFF"/>
        </w:rPr>
        <w:footnoteReference w:id="22"/>
      </w:r>
      <w:r w:rsidR="00D96206">
        <w:rPr>
          <w:rFonts w:asciiTheme="minorHAnsi" w:eastAsiaTheme="minorHAnsi" w:cstheme="minorHAnsi"/>
          <w:color w:val="212121"/>
          <w:szCs w:val="22"/>
          <w:shd w:val="clear" w:color="auto" w:fill="FFFFFF"/>
        </w:rPr>
        <w:t>.</w:t>
      </w:r>
    </w:p>
    <w:p w14:paraId="768001CA" w14:textId="02A90024" w:rsidR="007060A6" w:rsidRPr="00AB1BC0" w:rsidRDefault="007060A6" w:rsidP="00E9709E">
      <w:pPr>
        <w:pStyle w:val="ListParagraph"/>
        <w:numPr>
          <w:ilvl w:val="0"/>
          <w:numId w:val="27"/>
        </w:numPr>
        <w:spacing w:line="259" w:lineRule="auto"/>
        <w:ind w:left="1080"/>
        <w:contextualSpacing w:val="0"/>
        <w:rPr>
          <w:rFonts w:asciiTheme="minorHAnsi" w:hAnsiTheme="minorHAnsi" w:cstheme="minorHAnsi"/>
          <w:color w:val="212121"/>
          <w:szCs w:val="22"/>
          <w:shd w:val="clear" w:color="auto" w:fill="FFFFFF"/>
        </w:rPr>
      </w:pPr>
      <w:r w:rsidRPr="006F1955">
        <w:rPr>
          <w:rFonts w:asciiTheme="minorHAnsi" w:eastAsiaTheme="minorHAnsi" w:hAnsiTheme="minorHAnsi" w:cstheme="minorHAnsi"/>
          <w:szCs w:val="22"/>
        </w:rPr>
        <w:t>A</w:t>
      </w:r>
      <w:r w:rsidR="003144E8">
        <w:rPr>
          <w:rFonts w:asciiTheme="minorHAnsi" w:eastAsiaTheme="minorHAnsi" w:hAnsiTheme="minorHAnsi" w:cstheme="minorHAnsi"/>
          <w:szCs w:val="22"/>
        </w:rPr>
        <w:t>n increase</w:t>
      </w:r>
      <w:r w:rsidR="002B5953">
        <w:rPr>
          <w:rFonts w:asciiTheme="minorHAnsi" w:eastAsiaTheme="minorHAnsi" w:hAnsiTheme="minorHAnsi" w:cstheme="minorHAnsi"/>
          <w:szCs w:val="22"/>
        </w:rPr>
        <w:t xml:space="preserve"> </w:t>
      </w:r>
      <w:r w:rsidRPr="006F1955">
        <w:rPr>
          <w:rFonts w:asciiTheme="minorHAnsi" w:eastAsiaTheme="minorHAnsi" w:hAnsiTheme="minorHAnsi" w:cstheme="minorHAnsi"/>
          <w:szCs w:val="22"/>
        </w:rPr>
        <w:t xml:space="preserve">in HIV notifications </w:t>
      </w:r>
      <w:r>
        <w:rPr>
          <w:rFonts w:asciiTheme="minorHAnsi" w:eastAsiaTheme="minorHAnsi" w:hAnsiTheme="minorHAnsi" w:cstheme="minorHAnsi"/>
          <w:szCs w:val="22"/>
        </w:rPr>
        <w:t xml:space="preserve">was observed </w:t>
      </w:r>
      <w:r w:rsidRPr="006F1955">
        <w:rPr>
          <w:rFonts w:asciiTheme="minorHAnsi" w:eastAsiaTheme="minorHAnsi" w:hAnsiTheme="minorHAnsi" w:cstheme="minorHAnsi"/>
          <w:szCs w:val="22"/>
        </w:rPr>
        <w:t xml:space="preserve">in the ACT in 2021 </w:t>
      </w:r>
      <w:r>
        <w:rPr>
          <w:rFonts w:asciiTheme="minorHAnsi" w:eastAsiaTheme="minorHAnsi" w:hAnsiTheme="minorHAnsi" w:cstheme="minorHAnsi"/>
          <w:szCs w:val="22"/>
        </w:rPr>
        <w:t>(</w:t>
      </w:r>
      <w:r w:rsidRPr="006F1955">
        <w:rPr>
          <w:rFonts w:asciiTheme="minorHAnsi" w:eastAsiaTheme="minorHAnsi" w:hAnsiTheme="minorHAnsi" w:cstheme="minorHAnsi"/>
          <w:szCs w:val="22"/>
        </w:rPr>
        <w:t>from 1.7 to 3.1 per 100,000</w:t>
      </w:r>
      <w:r w:rsidR="0023064E" w:rsidRPr="006F1955">
        <w:rPr>
          <w:rFonts w:asciiTheme="minorHAnsi" w:eastAsiaTheme="minorHAnsi" w:hAnsiTheme="minorHAnsi" w:cstheme="minorHAnsi"/>
          <w:szCs w:val="22"/>
        </w:rPr>
        <w:t>).</w:t>
      </w:r>
      <w:r w:rsidR="0023064E">
        <w:rPr>
          <w:rFonts w:asciiTheme="minorHAnsi" w:eastAsiaTheme="minorHAnsi" w:hAnsiTheme="minorHAnsi" w:cstheme="minorHAnsi"/>
          <w:szCs w:val="22"/>
        </w:rPr>
        <w:t xml:space="preserve"> This</w:t>
      </w:r>
      <w:r>
        <w:rPr>
          <w:rFonts w:asciiTheme="minorHAnsi" w:eastAsiaTheme="minorHAnsi" w:hAnsiTheme="minorHAnsi" w:cstheme="minorHAnsi"/>
          <w:szCs w:val="22"/>
        </w:rPr>
        <w:t xml:space="preserve"> increase was </w:t>
      </w:r>
      <w:r w:rsidRPr="006F1955">
        <w:rPr>
          <w:rFonts w:asciiTheme="minorHAnsi" w:eastAsiaTheme="minorHAnsi" w:hAnsiTheme="minorHAnsi" w:cstheme="minorHAnsi"/>
          <w:szCs w:val="22"/>
        </w:rPr>
        <w:t xml:space="preserve">not </w:t>
      </w:r>
      <w:r>
        <w:rPr>
          <w:rFonts w:asciiTheme="minorHAnsi" w:eastAsiaTheme="minorHAnsi" w:hAnsiTheme="minorHAnsi" w:cstheme="minorHAnsi"/>
          <w:szCs w:val="22"/>
        </w:rPr>
        <w:t>observed</w:t>
      </w:r>
      <w:r w:rsidRPr="006F1955">
        <w:rPr>
          <w:rFonts w:asciiTheme="minorHAnsi" w:eastAsiaTheme="minorHAnsi" w:hAnsiTheme="minorHAnsi" w:cstheme="minorHAnsi"/>
          <w:szCs w:val="22"/>
        </w:rPr>
        <w:t xml:space="preserve"> in other </w:t>
      </w:r>
      <w:r>
        <w:rPr>
          <w:rFonts w:asciiTheme="minorHAnsi" w:eastAsiaTheme="minorHAnsi" w:hAnsiTheme="minorHAnsi" w:cstheme="minorHAnsi"/>
          <w:szCs w:val="22"/>
        </w:rPr>
        <w:t>jurisdictions</w:t>
      </w:r>
      <w:r w:rsidR="003B76AC">
        <w:rPr>
          <w:rStyle w:val="FootnoteReference"/>
          <w:rFonts w:asciiTheme="minorHAnsi" w:hAnsiTheme="minorHAnsi" w:cstheme="minorHAnsi"/>
          <w:color w:val="212121"/>
          <w:szCs w:val="22"/>
          <w:shd w:val="clear" w:color="auto" w:fill="FFFFFF"/>
        </w:rPr>
        <w:footnoteReference w:id="23"/>
      </w:r>
      <w:r w:rsidR="00D96206">
        <w:rPr>
          <w:rFonts w:asciiTheme="minorHAnsi" w:eastAsiaTheme="minorHAnsi" w:hAnsiTheme="minorHAnsi" w:cstheme="minorHAnsi"/>
          <w:szCs w:val="22"/>
        </w:rPr>
        <w:t>.</w:t>
      </w:r>
    </w:p>
    <w:p w14:paraId="6FB962B9" w14:textId="509DFBAC" w:rsidR="002817A0" w:rsidRPr="002817A0" w:rsidRDefault="00AB1BC0" w:rsidP="00935B45">
      <w:pPr>
        <w:spacing w:line="240" w:lineRule="auto"/>
        <w:rPr>
          <w:szCs w:val="22"/>
        </w:rPr>
      </w:pPr>
      <w:r w:rsidRPr="00AB1BC0">
        <w:rPr>
          <w:bCs/>
          <w:color w:val="212121"/>
          <w:shd w:val="clear" w:color="auto" w:fill="FFFFFF"/>
        </w:rPr>
        <w:t>More detail is available in the</w:t>
      </w:r>
      <w:r w:rsidRPr="0023064E">
        <w:t xml:space="preserve"> </w:t>
      </w:r>
      <w:hyperlink r:id="rId27" w:history="1">
        <w:r w:rsidRPr="00AB1BC0">
          <w:rPr>
            <w:rStyle w:val="Hyperlink"/>
            <w:i/>
            <w:iCs/>
            <w:szCs w:val="22"/>
          </w:rPr>
          <w:t>Needs Analysis – Commissioning in the STIBBV</w:t>
        </w:r>
      </w:hyperlink>
      <w:r w:rsidRPr="005A3EF5">
        <w:t xml:space="preserve"> </w:t>
      </w:r>
      <w:r w:rsidRPr="00AB1BC0">
        <w:rPr>
          <w:bCs/>
          <w:color w:val="212121"/>
          <w:shd w:val="clear" w:color="auto" w:fill="FFFFFF"/>
        </w:rPr>
        <w:t>subsector document</w:t>
      </w:r>
      <w:r w:rsidR="00C57651">
        <w:rPr>
          <w:bCs/>
          <w:color w:val="212121"/>
          <w:shd w:val="clear" w:color="auto" w:fill="FFFFFF"/>
        </w:rPr>
        <w:t>,</w:t>
      </w:r>
      <w:r w:rsidR="002B5953">
        <w:rPr>
          <w:bCs/>
          <w:color w:val="212121"/>
          <w:shd w:val="clear" w:color="auto" w:fill="FFFFFF"/>
        </w:rPr>
        <w:t xml:space="preserve"> published</w:t>
      </w:r>
      <w:r w:rsidRPr="00AB1BC0">
        <w:rPr>
          <w:bCs/>
          <w:color w:val="212121"/>
          <w:shd w:val="clear" w:color="auto" w:fill="FFFFFF"/>
        </w:rPr>
        <w:t xml:space="preserve"> on the STIBBV Commissioning</w:t>
      </w:r>
      <w:r w:rsidR="00997B8F" w:rsidRPr="00AB1BC0">
        <w:rPr>
          <w:bCs/>
          <w:color w:val="212121"/>
          <w:shd w:val="clear" w:color="auto" w:fill="FFFFFF"/>
        </w:rPr>
        <w:t xml:space="preserve"> </w:t>
      </w:r>
      <w:r w:rsidRPr="00AB1BC0">
        <w:rPr>
          <w:bCs/>
          <w:color w:val="212121"/>
          <w:shd w:val="clear" w:color="auto" w:fill="FFFFFF"/>
        </w:rPr>
        <w:t>website.</w:t>
      </w:r>
      <w:r w:rsidR="00D06ACE">
        <w:rPr>
          <w:bCs/>
          <w:color w:val="212121"/>
          <w:shd w:val="clear" w:color="auto" w:fill="FFFFFF"/>
        </w:rPr>
        <w:t xml:space="preserve"> </w:t>
      </w:r>
      <w:r w:rsidR="00D06ACE">
        <w:rPr>
          <w:szCs w:val="22"/>
        </w:rPr>
        <w:t xml:space="preserve">Further statistics regarding the STIBBV burden of disease </w:t>
      </w:r>
      <w:r w:rsidR="00F82EA7">
        <w:rPr>
          <w:szCs w:val="22"/>
        </w:rPr>
        <w:t>at</w:t>
      </w:r>
      <w:r w:rsidR="00D06ACE">
        <w:rPr>
          <w:szCs w:val="22"/>
        </w:rPr>
        <w:t xml:space="preserve"> a national level are available </w:t>
      </w:r>
      <w:r w:rsidR="00F82EA7">
        <w:rPr>
          <w:szCs w:val="22"/>
        </w:rPr>
        <w:t>within</w:t>
      </w:r>
      <w:r w:rsidR="00D06ACE">
        <w:rPr>
          <w:szCs w:val="22"/>
        </w:rPr>
        <w:t xml:space="preserve"> the </w:t>
      </w:r>
      <w:r w:rsidR="002E1810">
        <w:rPr>
          <w:szCs w:val="22"/>
        </w:rPr>
        <w:t xml:space="preserve">National Strategies listed on </w:t>
      </w:r>
      <w:r w:rsidR="00AA4614">
        <w:rPr>
          <w:szCs w:val="22"/>
        </w:rPr>
        <w:t xml:space="preserve">in the </w:t>
      </w:r>
      <w:hyperlink w:anchor="_STIBBV_investment_priorities" w:history="1">
        <w:r w:rsidR="00AA4614" w:rsidRPr="00AA4614">
          <w:rPr>
            <w:rStyle w:val="Hyperlink"/>
            <w:szCs w:val="22"/>
          </w:rPr>
          <w:t>STIBBV investment priorities</w:t>
        </w:r>
      </w:hyperlink>
      <w:r w:rsidR="00AA4614">
        <w:rPr>
          <w:szCs w:val="22"/>
        </w:rPr>
        <w:t xml:space="preserve"> section</w:t>
      </w:r>
      <w:r w:rsidR="00F82EA7">
        <w:rPr>
          <w:szCs w:val="22"/>
        </w:rPr>
        <w:t xml:space="preserve"> </w:t>
      </w:r>
      <w:r w:rsidR="002E1810">
        <w:rPr>
          <w:szCs w:val="22"/>
        </w:rPr>
        <w:t>of this document.</w:t>
      </w:r>
    </w:p>
    <w:p w14:paraId="6A10B5CC" w14:textId="2D54B5E7" w:rsidR="007060A6" w:rsidRPr="00EB7F01" w:rsidRDefault="007060A6" w:rsidP="002C5317">
      <w:pPr>
        <w:pStyle w:val="Heading1"/>
      </w:pPr>
      <w:bookmarkStart w:id="11" w:name="_Toc144494377"/>
      <w:r>
        <w:t xml:space="preserve">STIBBV </w:t>
      </w:r>
      <w:r w:rsidR="006A4832">
        <w:t xml:space="preserve">investment </w:t>
      </w:r>
      <w:r>
        <w:t>milestones and timeline</w:t>
      </w:r>
      <w:bookmarkEnd w:id="11"/>
    </w:p>
    <w:p w14:paraId="750E8517" w14:textId="62400B88" w:rsidR="007060A6" w:rsidRPr="001E173D" w:rsidRDefault="007060A6" w:rsidP="007060A6">
      <w:pPr>
        <w:spacing w:before="120" w:after="0"/>
        <w:rPr>
          <w:rFonts w:asciiTheme="minorHAnsi" w:hAnsiTheme="minorHAnsi" w:cstheme="minorHAnsi"/>
          <w:szCs w:val="22"/>
        </w:rPr>
      </w:pPr>
      <w:r w:rsidRPr="001E173D">
        <w:rPr>
          <w:rFonts w:asciiTheme="minorHAnsi" w:hAnsiTheme="minorHAnsi" w:cstheme="minorHAnsi"/>
          <w:bCs/>
          <w:iCs/>
          <w:szCs w:val="22"/>
        </w:rPr>
        <w:t>A</w:t>
      </w:r>
      <w:r>
        <w:rPr>
          <w:rFonts w:asciiTheme="minorHAnsi" w:hAnsiTheme="minorHAnsi" w:cstheme="minorHAnsi"/>
          <w:bCs/>
          <w:iCs/>
          <w:szCs w:val="22"/>
        </w:rPr>
        <w:t>n indicative</w:t>
      </w:r>
      <w:r w:rsidRPr="001E173D">
        <w:rPr>
          <w:rFonts w:asciiTheme="minorHAnsi" w:hAnsiTheme="minorHAnsi" w:cstheme="minorHAnsi"/>
          <w:bCs/>
          <w:iCs/>
          <w:szCs w:val="22"/>
        </w:rPr>
        <w:t xml:space="preserve"> timeline of </w:t>
      </w:r>
      <w:r>
        <w:rPr>
          <w:rFonts w:asciiTheme="minorHAnsi" w:hAnsiTheme="minorHAnsi" w:cstheme="minorHAnsi"/>
          <w:bCs/>
          <w:iCs/>
          <w:szCs w:val="22"/>
        </w:rPr>
        <w:t>the STIBBV</w:t>
      </w:r>
      <w:r w:rsidRPr="001E173D">
        <w:rPr>
          <w:rFonts w:asciiTheme="minorHAnsi" w:hAnsiTheme="minorHAnsi" w:cstheme="minorHAnsi"/>
          <w:bCs/>
          <w:iCs/>
          <w:szCs w:val="22"/>
        </w:rPr>
        <w:t xml:space="preserve"> </w:t>
      </w:r>
      <w:r>
        <w:rPr>
          <w:rFonts w:asciiTheme="minorHAnsi" w:hAnsiTheme="minorHAnsi" w:cstheme="minorHAnsi"/>
          <w:bCs/>
          <w:iCs/>
          <w:szCs w:val="22"/>
        </w:rPr>
        <w:t>c</w:t>
      </w:r>
      <w:r w:rsidRPr="001E173D">
        <w:rPr>
          <w:rFonts w:asciiTheme="minorHAnsi" w:hAnsiTheme="minorHAnsi" w:cstheme="minorHAnsi"/>
          <w:bCs/>
          <w:iCs/>
          <w:szCs w:val="22"/>
        </w:rPr>
        <w:t xml:space="preserve">ommissioning cycle future milestones and phases is presented below. </w:t>
      </w:r>
      <w:r>
        <w:rPr>
          <w:rFonts w:asciiTheme="minorHAnsi" w:hAnsiTheme="minorHAnsi" w:cstheme="minorHAnsi"/>
          <w:bCs/>
          <w:iCs/>
          <w:szCs w:val="22"/>
        </w:rPr>
        <w:br/>
      </w:r>
    </w:p>
    <w:tbl>
      <w:tblPr>
        <w:tblStyle w:val="GridTable4-Accent5"/>
        <w:tblpPr w:leftFromText="180" w:rightFromText="180" w:vertAnchor="text" w:tblpXSpec="center" w:tblpY="1"/>
        <w:tblOverlap w:val="never"/>
        <w:tblW w:w="9757" w:type="dxa"/>
        <w:jc w:val="center"/>
        <w:tblLook w:val="04A0" w:firstRow="1" w:lastRow="0" w:firstColumn="1" w:lastColumn="0" w:noHBand="0" w:noVBand="1"/>
      </w:tblPr>
      <w:tblGrid>
        <w:gridCol w:w="6048"/>
        <w:gridCol w:w="3709"/>
      </w:tblGrid>
      <w:tr w:rsidR="007060A6" w14:paraId="34B416B4" w14:textId="77777777" w:rsidTr="00C576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7030A0"/>
          </w:tcPr>
          <w:p w14:paraId="4914B612" w14:textId="37BDDD2A" w:rsidR="007060A6" w:rsidRPr="001E173D" w:rsidRDefault="007060A6" w:rsidP="00C57651">
            <w:pPr>
              <w:pStyle w:val="BodyCopy"/>
              <w:spacing w:after="120" w:line="240" w:lineRule="auto"/>
              <w:rPr>
                <w:color w:val="FFFFFF" w:themeColor="background1"/>
                <w:sz w:val="22"/>
                <w:szCs w:val="22"/>
              </w:rPr>
            </w:pPr>
            <w:bookmarkStart w:id="12" w:name="_Hlk139461565"/>
            <w:r w:rsidRPr="001E173D">
              <w:rPr>
                <w:color w:val="FFFFFF" w:themeColor="background1"/>
                <w:sz w:val="22"/>
                <w:szCs w:val="22"/>
              </w:rPr>
              <w:t>Milestone</w:t>
            </w:r>
          </w:p>
        </w:tc>
        <w:tc>
          <w:tcPr>
            <w:tcW w:w="3709" w:type="dxa"/>
            <w:shd w:val="clear" w:color="auto" w:fill="7030A0"/>
          </w:tcPr>
          <w:p w14:paraId="3A99ADFA" w14:textId="77777777" w:rsidR="007060A6" w:rsidRPr="001E173D" w:rsidRDefault="007060A6" w:rsidP="00C57651">
            <w:pPr>
              <w:pStyle w:val="BodyCopy"/>
              <w:spacing w:after="12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Indicative d</w:t>
            </w:r>
            <w:r w:rsidRPr="001E173D">
              <w:rPr>
                <w:color w:val="FFFFFF" w:themeColor="background1"/>
                <w:sz w:val="22"/>
                <w:szCs w:val="22"/>
              </w:rPr>
              <w:t>ate</w:t>
            </w:r>
          </w:p>
        </w:tc>
      </w:tr>
      <w:tr w:rsidR="0032231C" w14:paraId="1E1DD09A" w14:textId="77777777" w:rsidTr="00C576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B381D9"/>
          </w:tcPr>
          <w:p w14:paraId="7BD7CAC8" w14:textId="4099D221" w:rsidR="007060A6" w:rsidRPr="001E173D" w:rsidRDefault="007060A6" w:rsidP="00C57651">
            <w:pPr>
              <w:pStyle w:val="BodyCopy"/>
              <w:spacing w:after="120" w:line="240" w:lineRule="auto"/>
              <w:rPr>
                <w:color w:val="000000" w:themeColor="text1"/>
                <w:sz w:val="22"/>
                <w:szCs w:val="22"/>
              </w:rPr>
            </w:pPr>
            <w:r w:rsidRPr="001E173D">
              <w:rPr>
                <w:color w:val="000000" w:themeColor="text1"/>
                <w:sz w:val="22"/>
                <w:szCs w:val="22"/>
              </w:rPr>
              <w:t>Invest phase initiated</w:t>
            </w:r>
          </w:p>
        </w:tc>
        <w:tc>
          <w:tcPr>
            <w:tcW w:w="3709" w:type="dxa"/>
            <w:shd w:val="clear" w:color="auto" w:fill="B381D9"/>
          </w:tcPr>
          <w:p w14:paraId="208B613B" w14:textId="329E78EE" w:rsidR="007060A6" w:rsidRPr="001E173D" w:rsidRDefault="007060A6" w:rsidP="00C57651">
            <w:pPr>
              <w:pStyle w:val="BodyCopy"/>
              <w:spacing w:after="120" w:line="240"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 xml:space="preserve">August </w:t>
            </w:r>
            <w:r w:rsidRPr="00E07AEF">
              <w:rPr>
                <w:color w:val="000000" w:themeColor="text1"/>
                <w:sz w:val="22"/>
                <w:szCs w:val="22"/>
              </w:rPr>
              <w:t>202</w:t>
            </w:r>
            <w:r>
              <w:rPr>
                <w:color w:val="000000" w:themeColor="text1"/>
                <w:sz w:val="22"/>
                <w:szCs w:val="22"/>
              </w:rPr>
              <w:t>3</w:t>
            </w:r>
          </w:p>
        </w:tc>
      </w:tr>
      <w:tr w:rsidR="007060A6" w14:paraId="608F82BF" w14:textId="77777777" w:rsidTr="00C57651">
        <w:trPr>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78D87850" w14:textId="1789BD8F" w:rsidR="007060A6" w:rsidRPr="001E173D" w:rsidRDefault="007060A6" w:rsidP="00C57651">
            <w:pPr>
              <w:pStyle w:val="BodyCopy"/>
              <w:spacing w:after="120" w:line="240" w:lineRule="auto"/>
              <w:rPr>
                <w:b w:val="0"/>
                <w:bCs/>
                <w:color w:val="000000" w:themeColor="text1"/>
                <w:sz w:val="22"/>
                <w:szCs w:val="22"/>
              </w:rPr>
            </w:pPr>
            <w:r w:rsidRPr="005D1CBF">
              <w:rPr>
                <w:b w:val="0"/>
                <w:bCs/>
                <w:color w:val="000000" w:themeColor="text1"/>
                <w:sz w:val="22"/>
                <w:szCs w:val="22"/>
              </w:rPr>
              <w:t xml:space="preserve">Release of draft Strategic Investment Plan for </w:t>
            </w:r>
            <w:r>
              <w:rPr>
                <w:b w:val="0"/>
                <w:bCs/>
                <w:color w:val="000000" w:themeColor="text1"/>
                <w:sz w:val="22"/>
                <w:szCs w:val="22"/>
              </w:rPr>
              <w:t>stakeholder</w:t>
            </w:r>
            <w:r w:rsidRPr="005D1CBF">
              <w:rPr>
                <w:b w:val="0"/>
                <w:bCs/>
                <w:color w:val="000000" w:themeColor="text1"/>
                <w:sz w:val="22"/>
                <w:szCs w:val="22"/>
              </w:rPr>
              <w:t xml:space="preserve"> review</w:t>
            </w:r>
          </w:p>
        </w:tc>
        <w:tc>
          <w:tcPr>
            <w:tcW w:w="3709" w:type="dxa"/>
            <w:shd w:val="clear" w:color="auto" w:fill="E6D5F3"/>
          </w:tcPr>
          <w:p w14:paraId="238C8322" w14:textId="3F6460B7" w:rsidR="007060A6" w:rsidRPr="001E173D" w:rsidRDefault="002C5317" w:rsidP="00C57651">
            <w:pPr>
              <w:pStyle w:val="BodyCopy"/>
              <w:spacing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September</w:t>
            </w:r>
            <w:r w:rsidR="007060A6">
              <w:rPr>
                <w:color w:val="000000" w:themeColor="text1"/>
                <w:sz w:val="22"/>
                <w:szCs w:val="22"/>
              </w:rPr>
              <w:t xml:space="preserve"> 202</w:t>
            </w:r>
            <w:r w:rsidR="00A444F9">
              <w:rPr>
                <w:color w:val="000000" w:themeColor="text1"/>
                <w:sz w:val="22"/>
                <w:szCs w:val="22"/>
              </w:rPr>
              <w:t>3</w:t>
            </w:r>
          </w:p>
        </w:tc>
      </w:tr>
      <w:tr w:rsidR="007060A6" w14:paraId="1FE94032" w14:textId="77777777" w:rsidTr="00C576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7C97B997" w14:textId="0BBBDBF1" w:rsidR="007060A6" w:rsidRPr="001E173D" w:rsidRDefault="007060A6" w:rsidP="00C57651">
            <w:pPr>
              <w:pStyle w:val="BodyCopy"/>
              <w:spacing w:after="120" w:line="240" w:lineRule="auto"/>
              <w:rPr>
                <w:b w:val="0"/>
                <w:bCs/>
                <w:color w:val="000000" w:themeColor="text1"/>
                <w:sz w:val="22"/>
                <w:szCs w:val="22"/>
              </w:rPr>
            </w:pPr>
            <w:r w:rsidRPr="005D1CBF">
              <w:rPr>
                <w:b w:val="0"/>
                <w:bCs/>
                <w:color w:val="000000" w:themeColor="text1"/>
                <w:sz w:val="22"/>
                <w:szCs w:val="22"/>
              </w:rPr>
              <w:t>Release of final Strategic Investment Plan</w:t>
            </w:r>
          </w:p>
        </w:tc>
        <w:tc>
          <w:tcPr>
            <w:tcW w:w="3709" w:type="dxa"/>
            <w:shd w:val="clear" w:color="auto" w:fill="E6D5F3"/>
          </w:tcPr>
          <w:p w14:paraId="63B7DEBF" w14:textId="5EC4ADA9" w:rsidR="007060A6" w:rsidRPr="001E173D" w:rsidRDefault="00E84E40" w:rsidP="00C57651">
            <w:pPr>
              <w:pStyle w:val="BodyCopy"/>
              <w:spacing w:after="120" w:line="240"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 xml:space="preserve">Late </w:t>
            </w:r>
            <w:r w:rsidR="00F82EA7">
              <w:rPr>
                <w:color w:val="000000" w:themeColor="text1"/>
                <w:sz w:val="22"/>
                <w:szCs w:val="22"/>
              </w:rPr>
              <w:t>October</w:t>
            </w:r>
            <w:r w:rsidR="007437DC">
              <w:rPr>
                <w:color w:val="000000" w:themeColor="text1"/>
                <w:sz w:val="22"/>
                <w:szCs w:val="22"/>
              </w:rPr>
              <w:t>/early November</w:t>
            </w:r>
            <w:r w:rsidR="00A444F9">
              <w:rPr>
                <w:color w:val="000000" w:themeColor="text1"/>
                <w:sz w:val="22"/>
                <w:szCs w:val="22"/>
              </w:rPr>
              <w:t xml:space="preserve"> 2023</w:t>
            </w:r>
          </w:p>
        </w:tc>
      </w:tr>
      <w:tr w:rsidR="00AA4614" w14:paraId="3473CB31" w14:textId="77777777" w:rsidTr="00C57651">
        <w:trPr>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2E9B5456" w14:textId="45A01146" w:rsidR="00AA4614" w:rsidRPr="0069110D" w:rsidRDefault="00AA4614" w:rsidP="00AA4614">
            <w:pPr>
              <w:pStyle w:val="BodyCopy"/>
              <w:spacing w:after="120" w:line="240" w:lineRule="auto"/>
              <w:rPr>
                <w:color w:val="000000" w:themeColor="text1"/>
                <w:sz w:val="22"/>
                <w:szCs w:val="22"/>
              </w:rPr>
            </w:pPr>
            <w:r w:rsidRPr="0069110D">
              <w:rPr>
                <w:color w:val="000000" w:themeColor="text1"/>
                <w:sz w:val="22"/>
                <w:szCs w:val="22"/>
              </w:rPr>
              <w:t>Grants open</w:t>
            </w:r>
          </w:p>
        </w:tc>
        <w:tc>
          <w:tcPr>
            <w:tcW w:w="3709" w:type="dxa"/>
            <w:shd w:val="clear" w:color="auto" w:fill="E6D5F3"/>
          </w:tcPr>
          <w:p w14:paraId="17FF33D2" w14:textId="2E65E50E" w:rsidR="00AA4614" w:rsidRDefault="007437DC" w:rsidP="00AA4614">
            <w:pPr>
              <w:pStyle w:val="BodyCopy"/>
              <w:spacing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Early November</w:t>
            </w:r>
          </w:p>
        </w:tc>
      </w:tr>
      <w:tr w:rsidR="00AA4614" w14:paraId="1773FDA6" w14:textId="77777777" w:rsidTr="00C576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4337023D" w14:textId="66983497" w:rsidR="00AA4614" w:rsidRPr="0023064E" w:rsidRDefault="00AA4614" w:rsidP="00AA4614">
            <w:pPr>
              <w:pStyle w:val="BodyCopy"/>
              <w:spacing w:after="120" w:line="240" w:lineRule="auto"/>
              <w:rPr>
                <w:b w:val="0"/>
                <w:bCs/>
                <w:color w:val="000000" w:themeColor="text1"/>
                <w:sz w:val="22"/>
                <w:szCs w:val="22"/>
              </w:rPr>
            </w:pPr>
            <w:r w:rsidRPr="0069110D">
              <w:rPr>
                <w:color w:val="000000" w:themeColor="text1"/>
                <w:sz w:val="22"/>
                <w:szCs w:val="22"/>
              </w:rPr>
              <w:t>Subsector Investment Briefing</w:t>
            </w:r>
          </w:p>
        </w:tc>
        <w:tc>
          <w:tcPr>
            <w:tcW w:w="3709" w:type="dxa"/>
            <w:shd w:val="clear" w:color="auto" w:fill="E6D5F3"/>
          </w:tcPr>
          <w:p w14:paraId="305DBEF8" w14:textId="0E16D4F4" w:rsidR="00AA4614" w:rsidRDefault="002C5317" w:rsidP="00AA4614">
            <w:pPr>
              <w:pStyle w:val="BodyCopy"/>
              <w:spacing w:after="120" w:line="240"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Mid</w:t>
            </w:r>
            <w:r w:rsidR="00E84E40">
              <w:rPr>
                <w:color w:val="000000" w:themeColor="text1"/>
                <w:sz w:val="22"/>
                <w:szCs w:val="22"/>
              </w:rPr>
              <w:t xml:space="preserve"> November 2023 (within two weeks of grant process opening)</w:t>
            </w:r>
          </w:p>
        </w:tc>
      </w:tr>
      <w:tr w:rsidR="00AA4614" w14:paraId="65318958" w14:textId="77777777" w:rsidTr="00C57651">
        <w:trPr>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4CC4408C" w14:textId="00A7E551" w:rsidR="00AA4614" w:rsidRPr="0023064E" w:rsidRDefault="00AA4614" w:rsidP="00AA4614">
            <w:pPr>
              <w:pStyle w:val="BodyCopy"/>
              <w:spacing w:after="120" w:line="240" w:lineRule="auto"/>
              <w:rPr>
                <w:b w:val="0"/>
                <w:bCs/>
                <w:color w:val="000000" w:themeColor="text1"/>
                <w:sz w:val="22"/>
                <w:szCs w:val="22"/>
              </w:rPr>
            </w:pPr>
            <w:r w:rsidRPr="0069110D">
              <w:rPr>
                <w:color w:val="000000" w:themeColor="text1"/>
                <w:sz w:val="22"/>
                <w:szCs w:val="22"/>
              </w:rPr>
              <w:t>Evaluation of Submissions</w:t>
            </w:r>
          </w:p>
        </w:tc>
        <w:tc>
          <w:tcPr>
            <w:tcW w:w="3709" w:type="dxa"/>
            <w:shd w:val="clear" w:color="auto" w:fill="E6D5F3"/>
          </w:tcPr>
          <w:p w14:paraId="1FED1453" w14:textId="0749BBD7" w:rsidR="00AA4614" w:rsidRDefault="00BA31D2" w:rsidP="00AA4614">
            <w:pPr>
              <w:pStyle w:val="BodyCopy"/>
              <w:spacing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 xml:space="preserve">Late </w:t>
            </w:r>
            <w:r w:rsidR="00AA4614">
              <w:rPr>
                <w:color w:val="000000" w:themeColor="text1"/>
                <w:sz w:val="22"/>
                <w:szCs w:val="22"/>
              </w:rPr>
              <w:t>December 2023</w:t>
            </w:r>
            <w:r w:rsidR="00E84E40">
              <w:rPr>
                <w:color w:val="000000" w:themeColor="text1"/>
                <w:sz w:val="22"/>
                <w:szCs w:val="22"/>
              </w:rPr>
              <w:t xml:space="preserve"> – Mid/late January 2024</w:t>
            </w:r>
          </w:p>
        </w:tc>
      </w:tr>
      <w:tr w:rsidR="00AA4614" w14:paraId="7B1A1F58" w14:textId="77777777" w:rsidTr="00C576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7BDD800F" w14:textId="1A967425" w:rsidR="00AA4614" w:rsidRPr="0023064E" w:rsidRDefault="00E84E40" w:rsidP="00AA4614">
            <w:pPr>
              <w:pStyle w:val="BodyCopy"/>
              <w:spacing w:after="120" w:line="240" w:lineRule="auto"/>
              <w:rPr>
                <w:b w:val="0"/>
                <w:bCs/>
                <w:color w:val="000000" w:themeColor="text1"/>
                <w:sz w:val="22"/>
                <w:szCs w:val="22"/>
              </w:rPr>
            </w:pPr>
            <w:r w:rsidRPr="002C5317">
              <w:rPr>
                <w:color w:val="000000" w:themeColor="text1"/>
                <w:sz w:val="22"/>
                <w:szCs w:val="22"/>
              </w:rPr>
              <w:t>Notification of preferred and non-preferred respondents</w:t>
            </w:r>
          </w:p>
        </w:tc>
        <w:tc>
          <w:tcPr>
            <w:tcW w:w="3709" w:type="dxa"/>
            <w:shd w:val="clear" w:color="auto" w:fill="E6D5F3"/>
          </w:tcPr>
          <w:p w14:paraId="7B86BD53" w14:textId="740E5054" w:rsidR="00AA4614" w:rsidRDefault="00E84E40" w:rsidP="00AA4614">
            <w:pPr>
              <w:pStyle w:val="BodyCopy"/>
              <w:spacing w:after="120" w:line="240"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February 2024</w:t>
            </w:r>
          </w:p>
        </w:tc>
      </w:tr>
      <w:tr w:rsidR="00E84E40" w14:paraId="114D5A63" w14:textId="77777777" w:rsidTr="00C57651">
        <w:trPr>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0607CA19" w14:textId="19CBF132" w:rsidR="00E84E40" w:rsidRPr="00E84E40" w:rsidRDefault="00E84E40" w:rsidP="00AA4614">
            <w:pPr>
              <w:pStyle w:val="BodyCopy"/>
              <w:spacing w:after="120" w:line="240" w:lineRule="auto"/>
              <w:rPr>
                <w:color w:val="000000" w:themeColor="text1"/>
                <w:sz w:val="22"/>
                <w:szCs w:val="22"/>
              </w:rPr>
            </w:pPr>
            <w:r w:rsidRPr="002C5317">
              <w:rPr>
                <w:color w:val="000000" w:themeColor="text1"/>
                <w:sz w:val="22"/>
                <w:szCs w:val="22"/>
              </w:rPr>
              <w:lastRenderedPageBreak/>
              <w:t>Commencement of transition-out period for non-preferred respondents</w:t>
            </w:r>
          </w:p>
        </w:tc>
        <w:tc>
          <w:tcPr>
            <w:tcW w:w="3709" w:type="dxa"/>
            <w:shd w:val="clear" w:color="auto" w:fill="E6D5F3"/>
          </w:tcPr>
          <w:p w14:paraId="73E0C75E" w14:textId="1A521A72" w:rsidR="00E84E40" w:rsidDel="00E84E40" w:rsidRDefault="006568AD" w:rsidP="00AA4614">
            <w:pPr>
              <w:pStyle w:val="BodyCopy"/>
              <w:spacing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February 2024 (</w:t>
            </w:r>
            <w:r w:rsidR="006E4EC1">
              <w:rPr>
                <w:color w:val="000000" w:themeColor="text1"/>
                <w:sz w:val="22"/>
                <w:szCs w:val="22"/>
              </w:rPr>
              <w:t>three-month</w:t>
            </w:r>
            <w:r>
              <w:rPr>
                <w:color w:val="000000" w:themeColor="text1"/>
                <w:sz w:val="22"/>
                <w:szCs w:val="22"/>
              </w:rPr>
              <w:t xml:space="preserve"> transition-out period commences on date of notification to non-preferred)</w:t>
            </w:r>
          </w:p>
        </w:tc>
      </w:tr>
      <w:tr w:rsidR="00AA4614" w14:paraId="6641D591" w14:textId="77777777" w:rsidTr="00C576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247844AE" w14:textId="18AF53D6" w:rsidR="00AA4614" w:rsidRPr="002C5317" w:rsidRDefault="00E84E40" w:rsidP="00AA4614">
            <w:pPr>
              <w:pStyle w:val="BodyCopy"/>
              <w:spacing w:after="120" w:line="240" w:lineRule="auto"/>
              <w:rPr>
                <w:color w:val="000000" w:themeColor="text1"/>
                <w:sz w:val="22"/>
                <w:szCs w:val="22"/>
              </w:rPr>
            </w:pPr>
            <w:r w:rsidRPr="002C5317">
              <w:rPr>
                <w:color w:val="000000" w:themeColor="text1"/>
                <w:sz w:val="22"/>
                <w:szCs w:val="22"/>
              </w:rPr>
              <w:t>Negotiations with preferred respondents and award of new grant agreements</w:t>
            </w:r>
          </w:p>
        </w:tc>
        <w:tc>
          <w:tcPr>
            <w:tcW w:w="3709" w:type="dxa"/>
            <w:shd w:val="clear" w:color="auto" w:fill="E6D5F3"/>
          </w:tcPr>
          <w:p w14:paraId="34EF955D" w14:textId="5AC286B0" w:rsidR="00AA4614" w:rsidRDefault="006568AD" w:rsidP="00AA4614">
            <w:pPr>
              <w:pStyle w:val="BodyCopy"/>
              <w:spacing w:after="120" w:line="240"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 xml:space="preserve">February - </w:t>
            </w:r>
            <w:r w:rsidR="00E84E40" w:rsidRPr="002C5317">
              <w:rPr>
                <w:color w:val="000000" w:themeColor="text1"/>
                <w:sz w:val="22"/>
                <w:szCs w:val="22"/>
              </w:rPr>
              <w:t>March 2024</w:t>
            </w:r>
          </w:p>
        </w:tc>
      </w:tr>
      <w:tr w:rsidR="00AA4614" w14:paraId="697A4898" w14:textId="77777777" w:rsidTr="00C57651">
        <w:trPr>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6CCBB4DC" w14:textId="26B9397E" w:rsidR="00AA4614" w:rsidRPr="002C5317" w:rsidRDefault="00E84E40" w:rsidP="00AA4614">
            <w:pPr>
              <w:pStyle w:val="BodyCopy"/>
              <w:spacing w:after="120" w:line="240" w:lineRule="auto"/>
              <w:rPr>
                <w:color w:val="000000" w:themeColor="text1"/>
                <w:sz w:val="22"/>
                <w:szCs w:val="22"/>
              </w:rPr>
            </w:pPr>
            <w:r w:rsidRPr="002C5317">
              <w:rPr>
                <w:color w:val="000000" w:themeColor="text1"/>
                <w:sz w:val="22"/>
                <w:szCs w:val="22"/>
              </w:rPr>
              <w:t xml:space="preserve">Formal notification to unsuccessful respondents </w:t>
            </w:r>
            <w:r w:rsidR="006568AD">
              <w:rPr>
                <w:color w:val="000000" w:themeColor="text1"/>
                <w:sz w:val="22"/>
                <w:szCs w:val="22"/>
              </w:rPr>
              <w:t xml:space="preserve">and debriefs </w:t>
            </w:r>
            <w:r w:rsidRPr="002C5317">
              <w:rPr>
                <w:color w:val="000000" w:themeColor="text1"/>
                <w:sz w:val="22"/>
                <w:szCs w:val="22"/>
              </w:rPr>
              <w:t>(until new grants have been awarded and executed, this cohort is referred to as ‘non-preferred respondents’)</w:t>
            </w:r>
          </w:p>
        </w:tc>
        <w:tc>
          <w:tcPr>
            <w:tcW w:w="3709" w:type="dxa"/>
            <w:shd w:val="clear" w:color="auto" w:fill="E6D5F3"/>
          </w:tcPr>
          <w:p w14:paraId="5DE65C92" w14:textId="5C8A1EA6" w:rsidR="00AA4614" w:rsidRDefault="006568AD" w:rsidP="00AA4614">
            <w:pPr>
              <w:pStyle w:val="BodyCopy"/>
              <w:spacing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March 2024</w:t>
            </w:r>
          </w:p>
        </w:tc>
      </w:tr>
      <w:tr w:rsidR="00E84E40" w14:paraId="59ACC9C8" w14:textId="77777777" w:rsidTr="00C576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339454D7" w14:textId="705A2082" w:rsidR="00E84E40" w:rsidRPr="002C5317" w:rsidRDefault="00E84E40" w:rsidP="00AA4614">
            <w:pPr>
              <w:pStyle w:val="BodyCopy"/>
              <w:spacing w:after="120" w:line="240" w:lineRule="auto"/>
              <w:rPr>
                <w:color w:val="000000" w:themeColor="text1"/>
                <w:sz w:val="22"/>
                <w:szCs w:val="22"/>
              </w:rPr>
            </w:pPr>
            <w:r w:rsidRPr="002C5317">
              <w:rPr>
                <w:color w:val="000000" w:themeColor="text1"/>
                <w:sz w:val="22"/>
                <w:szCs w:val="22"/>
              </w:rPr>
              <w:t>Transition-out period expires</w:t>
            </w:r>
          </w:p>
        </w:tc>
        <w:tc>
          <w:tcPr>
            <w:tcW w:w="3709" w:type="dxa"/>
            <w:shd w:val="clear" w:color="auto" w:fill="E6D5F3"/>
          </w:tcPr>
          <w:p w14:paraId="5C879D5C" w14:textId="66F3DD7C" w:rsidR="00E84E40" w:rsidRPr="002C5317" w:rsidRDefault="006568AD" w:rsidP="00AA4614">
            <w:pPr>
              <w:pStyle w:val="BodyCopy"/>
              <w:spacing w:after="120" w:line="240"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6568AD">
              <w:rPr>
                <w:color w:val="000000" w:themeColor="text1"/>
                <w:sz w:val="22"/>
                <w:szCs w:val="22"/>
              </w:rPr>
              <w:t>3 months from notification of non-preferred respondents</w:t>
            </w:r>
            <w:r>
              <w:rPr>
                <w:color w:val="000000" w:themeColor="text1"/>
                <w:sz w:val="22"/>
                <w:szCs w:val="22"/>
              </w:rPr>
              <w:t xml:space="preserve"> (l</w:t>
            </w:r>
            <w:r w:rsidRPr="006568AD">
              <w:rPr>
                <w:color w:val="000000" w:themeColor="text1"/>
                <w:sz w:val="22"/>
                <w:szCs w:val="22"/>
              </w:rPr>
              <w:t>ikely May 2024</w:t>
            </w:r>
            <w:r>
              <w:rPr>
                <w:color w:val="000000" w:themeColor="text1"/>
                <w:sz w:val="22"/>
                <w:szCs w:val="22"/>
              </w:rPr>
              <w:t>)</w:t>
            </w:r>
          </w:p>
        </w:tc>
      </w:tr>
      <w:tr w:rsidR="00E84E40" w14:paraId="552917EA" w14:textId="77777777" w:rsidTr="00C57651">
        <w:trPr>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E6D5F3"/>
          </w:tcPr>
          <w:p w14:paraId="17A67B65" w14:textId="3234733A" w:rsidR="00E84E40" w:rsidRPr="002C5317" w:rsidRDefault="002C5317" w:rsidP="00AA4614">
            <w:pPr>
              <w:pStyle w:val="BodyCopy"/>
              <w:spacing w:after="120" w:line="240" w:lineRule="auto"/>
              <w:rPr>
                <w:color w:val="000000" w:themeColor="text1"/>
                <w:sz w:val="22"/>
                <w:szCs w:val="22"/>
              </w:rPr>
            </w:pPr>
            <w:r>
              <w:rPr>
                <w:color w:val="000000" w:themeColor="text1"/>
                <w:sz w:val="22"/>
                <w:szCs w:val="22"/>
              </w:rPr>
              <w:t>S</w:t>
            </w:r>
            <w:r w:rsidR="00E84E40" w:rsidRPr="002C5317">
              <w:rPr>
                <w:color w:val="000000" w:themeColor="text1"/>
                <w:sz w:val="22"/>
                <w:szCs w:val="22"/>
              </w:rPr>
              <w:t xml:space="preserve">tart date </w:t>
            </w:r>
            <w:r>
              <w:rPr>
                <w:color w:val="000000" w:themeColor="text1"/>
                <w:sz w:val="22"/>
                <w:szCs w:val="22"/>
              </w:rPr>
              <w:t>for new</w:t>
            </w:r>
            <w:r w:rsidR="00E84E40" w:rsidRPr="002C5317">
              <w:rPr>
                <w:color w:val="000000" w:themeColor="text1"/>
                <w:sz w:val="22"/>
                <w:szCs w:val="22"/>
              </w:rPr>
              <w:t xml:space="preserve"> grant activity</w:t>
            </w:r>
          </w:p>
        </w:tc>
        <w:tc>
          <w:tcPr>
            <w:tcW w:w="3709" w:type="dxa"/>
            <w:shd w:val="clear" w:color="auto" w:fill="E6D5F3"/>
          </w:tcPr>
          <w:p w14:paraId="68D88311" w14:textId="57451B94" w:rsidR="00E84E40" w:rsidRPr="002C5317" w:rsidRDefault="00E84E40" w:rsidP="00AA4614">
            <w:pPr>
              <w:pStyle w:val="BodyCopy"/>
              <w:spacing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2C5317">
              <w:rPr>
                <w:color w:val="000000" w:themeColor="text1"/>
                <w:sz w:val="22"/>
                <w:szCs w:val="22"/>
              </w:rPr>
              <w:t xml:space="preserve">1 </w:t>
            </w:r>
            <w:r w:rsidR="00CF6FB7">
              <w:rPr>
                <w:color w:val="000000" w:themeColor="text1"/>
                <w:sz w:val="22"/>
                <w:szCs w:val="22"/>
              </w:rPr>
              <w:t>May</w:t>
            </w:r>
            <w:r w:rsidRPr="002C5317">
              <w:rPr>
                <w:color w:val="000000" w:themeColor="text1"/>
                <w:sz w:val="22"/>
                <w:szCs w:val="22"/>
              </w:rPr>
              <w:t xml:space="preserve"> 2024</w:t>
            </w:r>
          </w:p>
        </w:tc>
      </w:tr>
      <w:tr w:rsidR="00AA4614" w14:paraId="2FC278DF" w14:textId="77777777" w:rsidTr="00C57651">
        <w:trPr>
          <w:cnfStyle w:val="000000100000" w:firstRow="0" w:lastRow="0" w:firstColumn="0" w:lastColumn="0" w:oddVBand="0" w:evenVBand="0" w:oddHBand="1" w:evenHBand="0" w:firstRowFirstColumn="0" w:firstRowLastColumn="0" w:lastRowFirstColumn="0" w:lastRowLastColumn="0"/>
          <w:trHeight w:val="618"/>
          <w:jc w:val="center"/>
        </w:trPr>
        <w:tc>
          <w:tcPr>
            <w:cnfStyle w:val="001000000000" w:firstRow="0" w:lastRow="0" w:firstColumn="1" w:lastColumn="0" w:oddVBand="0" w:evenVBand="0" w:oddHBand="0" w:evenHBand="0" w:firstRowFirstColumn="0" w:firstRowLastColumn="0" w:lastRowFirstColumn="0" w:lastRowLastColumn="0"/>
            <w:tcW w:w="6048" w:type="dxa"/>
            <w:shd w:val="clear" w:color="auto" w:fill="B381D9"/>
          </w:tcPr>
          <w:p w14:paraId="51E94D68" w14:textId="51E59188" w:rsidR="00AA4614" w:rsidRPr="00E07AEF" w:rsidRDefault="00AA4614" w:rsidP="00AA4614">
            <w:pPr>
              <w:pStyle w:val="BodyCopy"/>
              <w:spacing w:after="120" w:line="240" w:lineRule="auto"/>
              <w:rPr>
                <w:color w:val="000000" w:themeColor="text1"/>
                <w:sz w:val="22"/>
                <w:szCs w:val="22"/>
              </w:rPr>
            </w:pPr>
            <w:r w:rsidRPr="00E07AEF">
              <w:rPr>
                <w:color w:val="000000" w:themeColor="text1"/>
                <w:sz w:val="22"/>
                <w:szCs w:val="22"/>
              </w:rPr>
              <w:t>Deliver phase</w:t>
            </w:r>
          </w:p>
        </w:tc>
        <w:tc>
          <w:tcPr>
            <w:tcW w:w="3709" w:type="dxa"/>
            <w:tcBorders>
              <w:bottom w:val="single" w:sz="4" w:space="0" w:color="4472C4" w:themeColor="accent5"/>
            </w:tcBorders>
            <w:shd w:val="clear" w:color="auto" w:fill="B381D9"/>
          </w:tcPr>
          <w:p w14:paraId="7E4B7488" w14:textId="113FE239" w:rsidR="00AA4614" w:rsidRPr="00E07AEF" w:rsidRDefault="00AA4614" w:rsidP="00AA4614">
            <w:pPr>
              <w:pStyle w:val="BodyCopy"/>
              <w:spacing w:after="120" w:line="240"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E07AEF">
              <w:rPr>
                <w:color w:val="000000" w:themeColor="text1"/>
                <w:sz w:val="22"/>
                <w:szCs w:val="22"/>
              </w:rPr>
              <w:t xml:space="preserve">1 </w:t>
            </w:r>
            <w:r w:rsidR="00CF6FB7">
              <w:rPr>
                <w:color w:val="000000" w:themeColor="text1"/>
                <w:sz w:val="22"/>
                <w:szCs w:val="22"/>
              </w:rPr>
              <w:t>May</w:t>
            </w:r>
            <w:r w:rsidRPr="00E07AEF">
              <w:rPr>
                <w:color w:val="000000" w:themeColor="text1"/>
                <w:sz w:val="22"/>
                <w:szCs w:val="22"/>
              </w:rPr>
              <w:t xml:space="preserve"> 2024 </w:t>
            </w:r>
          </w:p>
        </w:tc>
      </w:tr>
      <w:tr w:rsidR="00AA4614" w14:paraId="1751E706" w14:textId="77777777" w:rsidTr="00C57651">
        <w:trPr>
          <w:jc w:val="center"/>
        </w:trPr>
        <w:tc>
          <w:tcPr>
            <w:cnfStyle w:val="001000000000" w:firstRow="0" w:lastRow="0" w:firstColumn="1" w:lastColumn="0" w:oddVBand="0" w:evenVBand="0" w:oddHBand="0" w:evenHBand="0" w:firstRowFirstColumn="0" w:firstRowLastColumn="0" w:lastRowFirstColumn="0" w:lastRowLastColumn="0"/>
            <w:tcW w:w="6048" w:type="dxa"/>
            <w:tcBorders>
              <w:top w:val="single" w:sz="4" w:space="0" w:color="5B9BD5" w:themeColor="accent1"/>
            </w:tcBorders>
            <w:shd w:val="clear" w:color="auto" w:fill="E6D5F3"/>
          </w:tcPr>
          <w:p w14:paraId="1FE2729C" w14:textId="77777777" w:rsidR="00AA4614" w:rsidRPr="005D1CBF" w:rsidRDefault="00AA4614" w:rsidP="00AA4614">
            <w:pPr>
              <w:pStyle w:val="BodyCopy"/>
              <w:spacing w:after="120" w:line="240" w:lineRule="auto"/>
              <w:rPr>
                <w:b w:val="0"/>
                <w:bCs/>
                <w:color w:val="000000" w:themeColor="text1"/>
                <w:sz w:val="22"/>
                <w:szCs w:val="22"/>
              </w:rPr>
            </w:pPr>
            <w:r w:rsidRPr="005D1CBF">
              <w:rPr>
                <w:b w:val="0"/>
                <w:bCs/>
                <w:color w:val="000000" w:themeColor="text1"/>
                <w:sz w:val="22"/>
                <w:szCs w:val="22"/>
              </w:rPr>
              <w:t>Review of reporting requirements and outcome measures</w:t>
            </w:r>
          </w:p>
        </w:tc>
        <w:tc>
          <w:tcPr>
            <w:tcW w:w="3709" w:type="dxa"/>
            <w:tcBorders>
              <w:top w:val="single" w:sz="4" w:space="0" w:color="5B9BD5" w:themeColor="accent1"/>
            </w:tcBorders>
            <w:shd w:val="clear" w:color="auto" w:fill="E6D5F3"/>
          </w:tcPr>
          <w:p w14:paraId="4D537F92" w14:textId="1DB19CF5" w:rsidR="00AA4614" w:rsidRPr="00D839B9" w:rsidRDefault="00AA4614" w:rsidP="00AA4614">
            <w:pPr>
              <w:pStyle w:val="BodyCopy"/>
              <w:spacing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TBC</w:t>
            </w:r>
            <w:r w:rsidR="00703CD7">
              <w:rPr>
                <w:color w:val="000000" w:themeColor="text1"/>
                <w:sz w:val="22"/>
                <w:szCs w:val="22"/>
              </w:rPr>
              <w:t xml:space="preserve"> (likely</w:t>
            </w:r>
            <w:r>
              <w:rPr>
                <w:color w:val="000000" w:themeColor="text1"/>
                <w:sz w:val="22"/>
                <w:szCs w:val="22"/>
              </w:rPr>
              <w:t xml:space="preserve"> 202</w:t>
            </w:r>
            <w:r w:rsidR="002C5317">
              <w:rPr>
                <w:color w:val="000000" w:themeColor="text1"/>
                <w:sz w:val="22"/>
                <w:szCs w:val="22"/>
              </w:rPr>
              <w:t>6</w:t>
            </w:r>
            <w:r w:rsidR="00703CD7">
              <w:rPr>
                <w:color w:val="000000" w:themeColor="text1"/>
                <w:sz w:val="22"/>
                <w:szCs w:val="22"/>
              </w:rPr>
              <w:t>)</w:t>
            </w:r>
          </w:p>
        </w:tc>
      </w:tr>
      <w:bookmarkEnd w:id="12"/>
    </w:tbl>
    <w:p w14:paraId="0C8F88DD" w14:textId="77777777" w:rsidR="00113240" w:rsidRDefault="00113240" w:rsidP="006A1DEC">
      <w:pPr>
        <w:spacing w:before="120" w:after="0" w:line="240" w:lineRule="auto"/>
        <w:rPr>
          <w:rFonts w:asciiTheme="majorHAnsi" w:eastAsiaTheme="minorHAnsi" w:hAnsiTheme="majorHAnsi" w:cs="Calibri"/>
          <w:color w:val="7030A0"/>
          <w:sz w:val="28"/>
          <w:szCs w:val="22"/>
        </w:rPr>
      </w:pPr>
    </w:p>
    <w:p w14:paraId="140F68D3" w14:textId="111B8B31" w:rsidR="00D057B5" w:rsidRPr="006A1CC9" w:rsidRDefault="00D057B5" w:rsidP="00935B45">
      <w:pPr>
        <w:spacing w:before="0" w:after="160" w:line="259" w:lineRule="auto"/>
        <w:rPr>
          <w:rFonts w:asciiTheme="majorHAnsi" w:eastAsiaTheme="minorHAnsi" w:hAnsiTheme="majorHAnsi" w:cs="Calibri"/>
          <w:color w:val="7030A0"/>
          <w:sz w:val="28"/>
          <w:szCs w:val="22"/>
        </w:rPr>
      </w:pPr>
      <w:r w:rsidRPr="006A1CC9">
        <w:rPr>
          <w:rFonts w:asciiTheme="majorHAnsi" w:eastAsiaTheme="minorHAnsi" w:hAnsiTheme="majorHAnsi" w:cs="Calibri"/>
          <w:color w:val="7030A0"/>
          <w:sz w:val="28"/>
          <w:szCs w:val="22"/>
        </w:rPr>
        <w:t>The STIBBV funding envelope</w:t>
      </w:r>
    </w:p>
    <w:p w14:paraId="7AADDE08" w14:textId="376249CA" w:rsidR="00A348C7" w:rsidRDefault="00D057B5" w:rsidP="006A1CC9">
      <w:pPr>
        <w:spacing w:line="240" w:lineRule="auto"/>
        <w:rPr>
          <w:szCs w:val="22"/>
        </w:rPr>
      </w:pPr>
      <w:r>
        <w:rPr>
          <w:szCs w:val="22"/>
        </w:rPr>
        <w:t xml:space="preserve">The total </w:t>
      </w:r>
      <w:r w:rsidR="00F82EA7">
        <w:rPr>
          <w:szCs w:val="22"/>
        </w:rPr>
        <w:t xml:space="preserve">ACT Health </w:t>
      </w:r>
      <w:r>
        <w:rPr>
          <w:szCs w:val="22"/>
        </w:rPr>
        <w:t>funding available for STIBBV</w:t>
      </w:r>
      <w:r w:rsidRPr="006C70C4">
        <w:rPr>
          <w:szCs w:val="22"/>
        </w:rPr>
        <w:t xml:space="preserve"> services</w:t>
      </w:r>
      <w:r w:rsidR="00F82EA7">
        <w:rPr>
          <w:szCs w:val="22"/>
        </w:rPr>
        <w:t xml:space="preserve"> delivered by ACT </w:t>
      </w:r>
      <w:r w:rsidR="00F82EA7" w:rsidRPr="002C5317">
        <w:rPr>
          <w:szCs w:val="22"/>
        </w:rPr>
        <w:t>NGOs</w:t>
      </w:r>
      <w:r w:rsidRPr="002C5317">
        <w:rPr>
          <w:szCs w:val="22"/>
        </w:rPr>
        <w:t xml:space="preserve"> is </w:t>
      </w:r>
      <w:r w:rsidRPr="002C5317">
        <w:rPr>
          <w:b/>
          <w:bCs/>
          <w:szCs w:val="22"/>
        </w:rPr>
        <w:t>$</w:t>
      </w:r>
      <w:r w:rsidR="00E84E40" w:rsidRPr="002C5317">
        <w:rPr>
          <w:b/>
          <w:bCs/>
          <w:szCs w:val="22"/>
        </w:rPr>
        <w:t>2.</w:t>
      </w:r>
      <w:r w:rsidR="00E36BFF" w:rsidRPr="002C5317">
        <w:rPr>
          <w:b/>
          <w:bCs/>
          <w:szCs w:val="22"/>
        </w:rPr>
        <w:t>8</w:t>
      </w:r>
      <w:r w:rsidR="00E84E40" w:rsidRPr="002C5317">
        <w:rPr>
          <w:b/>
          <w:bCs/>
          <w:szCs w:val="22"/>
        </w:rPr>
        <w:t>85</w:t>
      </w:r>
      <w:r w:rsidRPr="002C5317">
        <w:rPr>
          <w:b/>
          <w:bCs/>
          <w:szCs w:val="22"/>
        </w:rPr>
        <w:t xml:space="preserve"> million</w:t>
      </w:r>
      <w:r w:rsidR="00E84E40" w:rsidRPr="002C5317">
        <w:rPr>
          <w:szCs w:val="22"/>
        </w:rPr>
        <w:t xml:space="preserve"> (</w:t>
      </w:r>
      <w:r w:rsidR="00E84E40">
        <w:rPr>
          <w:szCs w:val="22"/>
        </w:rPr>
        <w:t>GST exclusive)</w:t>
      </w:r>
      <w:r>
        <w:rPr>
          <w:szCs w:val="22"/>
        </w:rPr>
        <w:t xml:space="preserve"> annually</w:t>
      </w:r>
      <w:r w:rsidR="00E84E40">
        <w:rPr>
          <w:szCs w:val="22"/>
        </w:rPr>
        <w:t xml:space="preserve"> through the grants process</w:t>
      </w:r>
      <w:r>
        <w:rPr>
          <w:szCs w:val="22"/>
        </w:rPr>
        <w:t xml:space="preserve">. </w:t>
      </w:r>
    </w:p>
    <w:p w14:paraId="44061968" w14:textId="39CB8B71" w:rsidR="00EB7F01" w:rsidRPr="0023064E" w:rsidRDefault="005154C4" w:rsidP="002C5317">
      <w:pPr>
        <w:pStyle w:val="Heading1"/>
        <w:rPr>
          <w:rFonts w:ascii="Calibri" w:eastAsia="Times New Roman" w:hAnsi="Calibri" w:cs="Times New Roman"/>
          <w:color w:val="auto"/>
          <w:kern w:val="0"/>
          <w:sz w:val="22"/>
          <w:szCs w:val="22"/>
        </w:rPr>
      </w:pPr>
      <w:bookmarkStart w:id="13" w:name="_Toc117249103"/>
      <w:bookmarkStart w:id="14" w:name="_Toc144494378"/>
      <w:r w:rsidRPr="005A3EF5">
        <w:t>Insights from c</w:t>
      </w:r>
      <w:r w:rsidR="00EB7F01" w:rsidRPr="005A3EF5">
        <w:t xml:space="preserve">ommissioning </w:t>
      </w:r>
      <w:r w:rsidR="00FF4194" w:rsidRPr="005A3EF5">
        <w:t>e</w:t>
      </w:r>
      <w:r w:rsidR="00EB7F01" w:rsidRPr="005A3EF5">
        <w:t xml:space="preserve">ngagement </w:t>
      </w:r>
      <w:r w:rsidR="006A4832" w:rsidRPr="005A3EF5">
        <w:t>(</w:t>
      </w:r>
      <w:r w:rsidR="00AB004C">
        <w:t>s</w:t>
      </w:r>
      <w:r w:rsidR="00AB004C" w:rsidRPr="005A3EF5">
        <w:t xml:space="preserve">trategise </w:t>
      </w:r>
      <w:r w:rsidR="006A4832" w:rsidRPr="005A3EF5">
        <w:t xml:space="preserve">and </w:t>
      </w:r>
      <w:r w:rsidR="00AB004C">
        <w:t>d</w:t>
      </w:r>
      <w:r w:rsidR="00AB004C" w:rsidRPr="005A3EF5">
        <w:t xml:space="preserve">esign </w:t>
      </w:r>
      <w:r w:rsidR="006A4832" w:rsidRPr="005A3EF5">
        <w:t>phases)</w:t>
      </w:r>
      <w:bookmarkEnd w:id="13"/>
      <w:bookmarkEnd w:id="14"/>
    </w:p>
    <w:p w14:paraId="18E5D159" w14:textId="63766C23" w:rsidR="006A4832" w:rsidRDefault="0044600B" w:rsidP="006A1CC9">
      <w:r>
        <w:rPr>
          <w:szCs w:val="22"/>
        </w:rPr>
        <w:t>Commissioning engagement occurs throughout the commissioning cycle</w:t>
      </w:r>
      <w:r w:rsidR="00E94A6B">
        <w:rPr>
          <w:szCs w:val="22"/>
        </w:rPr>
        <w:t xml:space="preserve">. During the </w:t>
      </w:r>
      <w:r w:rsidR="00AB004C">
        <w:rPr>
          <w:szCs w:val="22"/>
        </w:rPr>
        <w:t>s</w:t>
      </w:r>
      <w:r w:rsidR="00E94A6B">
        <w:rPr>
          <w:szCs w:val="22"/>
        </w:rPr>
        <w:t xml:space="preserve">trategise and </w:t>
      </w:r>
      <w:r w:rsidR="00AB004C">
        <w:rPr>
          <w:szCs w:val="22"/>
        </w:rPr>
        <w:t>d</w:t>
      </w:r>
      <w:r w:rsidR="00E94A6B">
        <w:rPr>
          <w:szCs w:val="22"/>
        </w:rPr>
        <w:t xml:space="preserve">esign phases, </w:t>
      </w:r>
      <w:r w:rsidR="00E94A6B">
        <w:t>commis</w:t>
      </w:r>
      <w:r w:rsidR="001B69E5">
        <w:t xml:space="preserve">sioning engagement has </w:t>
      </w:r>
      <w:r w:rsidR="00E94A6B">
        <w:t>validated</w:t>
      </w:r>
      <w:r w:rsidR="00891879">
        <w:t xml:space="preserve"> the need for a</w:t>
      </w:r>
      <w:r w:rsidR="00EE7B50">
        <w:t xml:space="preserve"> range of services</w:t>
      </w:r>
      <w:r w:rsidR="00F64BAA">
        <w:t xml:space="preserve"> and approaches</w:t>
      </w:r>
      <w:r w:rsidR="00EE7B50">
        <w:t xml:space="preserve"> to strengthen subsector efforts </w:t>
      </w:r>
      <w:r w:rsidR="001B69E5">
        <w:t>to</w:t>
      </w:r>
      <w:r w:rsidR="00EE7B50">
        <w:t xml:space="preserve"> reduc</w:t>
      </w:r>
      <w:r w:rsidR="001B69E5">
        <w:t>e</w:t>
      </w:r>
      <w:r w:rsidR="00EE7B50">
        <w:t xml:space="preserve"> the transmission of STIBBV and minimis</w:t>
      </w:r>
      <w:r w:rsidR="001B69E5">
        <w:t>e</w:t>
      </w:r>
      <w:r w:rsidR="00EE7B50">
        <w:t xml:space="preserve"> the social impacts of STIBBV on individuals and communities. </w:t>
      </w:r>
    </w:p>
    <w:p w14:paraId="4DDF5100" w14:textId="3D751FEF" w:rsidR="00632AB3" w:rsidRPr="00393EEB" w:rsidRDefault="00632AB3" w:rsidP="006A6BCA">
      <w:r>
        <w:rPr>
          <w:rFonts w:asciiTheme="minorHAnsi" w:eastAsia="Source Sans Pro" w:hAnsiTheme="minorHAnsi" w:cstheme="minorHAnsi"/>
          <w:color w:val="000000" w:themeColor="text1"/>
          <w:szCs w:val="22"/>
        </w:rPr>
        <w:t>A</w:t>
      </w:r>
      <w:r w:rsidR="006A4832">
        <w:rPr>
          <w:rFonts w:asciiTheme="minorHAnsi" w:eastAsia="Source Sans Pro" w:hAnsiTheme="minorHAnsi" w:cstheme="minorHAnsi"/>
          <w:color w:val="000000" w:themeColor="text1"/>
          <w:szCs w:val="22"/>
        </w:rPr>
        <w:t xml:space="preserve">vailable service data and engagement with people with lived experience </w:t>
      </w:r>
      <w:r>
        <w:rPr>
          <w:rFonts w:asciiTheme="minorHAnsi" w:eastAsia="Source Sans Pro" w:hAnsiTheme="minorHAnsi" w:cstheme="minorHAnsi"/>
          <w:color w:val="000000" w:themeColor="text1"/>
          <w:szCs w:val="22"/>
        </w:rPr>
        <w:t xml:space="preserve">overall </w:t>
      </w:r>
      <w:r w:rsidR="006A4832">
        <w:rPr>
          <w:rFonts w:asciiTheme="minorHAnsi" w:eastAsia="Source Sans Pro" w:hAnsiTheme="minorHAnsi" w:cstheme="minorHAnsi"/>
          <w:color w:val="000000" w:themeColor="text1"/>
          <w:szCs w:val="22"/>
        </w:rPr>
        <w:t xml:space="preserve">has indicated that the </w:t>
      </w:r>
      <w:r w:rsidR="006A4832" w:rsidRPr="009902CA">
        <w:rPr>
          <w:rFonts w:asciiTheme="minorHAnsi" w:eastAsia="Source Sans Pro" w:hAnsiTheme="minorHAnsi" w:cstheme="minorHAnsi"/>
          <w:color w:val="000000" w:themeColor="text1"/>
          <w:szCs w:val="22"/>
        </w:rPr>
        <w:t>existing</w:t>
      </w:r>
      <w:r w:rsidR="006A4832">
        <w:rPr>
          <w:rFonts w:asciiTheme="minorHAnsi" w:eastAsia="Source Sans Pro" w:hAnsiTheme="minorHAnsi" w:cstheme="minorHAnsi"/>
          <w:color w:val="000000" w:themeColor="text1"/>
          <w:szCs w:val="22"/>
        </w:rPr>
        <w:t xml:space="preserve"> STIBBV NGO sector </w:t>
      </w:r>
      <w:r w:rsidR="006A4832" w:rsidRPr="009902CA">
        <w:rPr>
          <w:rFonts w:asciiTheme="minorHAnsi" w:eastAsia="Source Sans Pro" w:hAnsiTheme="minorHAnsi" w:cstheme="minorHAnsi"/>
          <w:color w:val="000000" w:themeColor="text1"/>
          <w:szCs w:val="22"/>
        </w:rPr>
        <w:t>is</w:t>
      </w:r>
      <w:r w:rsidR="006A4832">
        <w:rPr>
          <w:rFonts w:asciiTheme="minorHAnsi" w:eastAsia="Source Sans Pro" w:hAnsiTheme="minorHAnsi" w:cstheme="minorHAnsi"/>
          <w:color w:val="000000" w:themeColor="text1"/>
          <w:szCs w:val="22"/>
        </w:rPr>
        <w:t xml:space="preserve"> effective, efficient and rated highly among service users</w:t>
      </w:r>
      <w:r>
        <w:rPr>
          <w:rFonts w:asciiTheme="minorHAnsi" w:eastAsia="Source Sans Pro" w:hAnsiTheme="minorHAnsi" w:cstheme="minorHAnsi"/>
          <w:color w:val="000000" w:themeColor="text1"/>
          <w:szCs w:val="22"/>
        </w:rPr>
        <w:t xml:space="preserve">. </w:t>
      </w:r>
      <w:r>
        <w:rPr>
          <w:bCs/>
        </w:rPr>
        <w:t>C</w:t>
      </w:r>
      <w:r w:rsidRPr="00C93746">
        <w:rPr>
          <w:bCs/>
        </w:rPr>
        <w:t xml:space="preserve">ommissioning engagement </w:t>
      </w:r>
      <w:r>
        <w:rPr>
          <w:bCs/>
        </w:rPr>
        <w:t xml:space="preserve">has </w:t>
      </w:r>
      <w:r w:rsidRPr="00C93746">
        <w:rPr>
          <w:bCs/>
        </w:rPr>
        <w:t xml:space="preserve">highlighted the success of many </w:t>
      </w:r>
      <w:r>
        <w:rPr>
          <w:bCs/>
        </w:rPr>
        <w:t xml:space="preserve">current services and </w:t>
      </w:r>
      <w:r w:rsidRPr="00C93746">
        <w:rPr>
          <w:bCs/>
        </w:rPr>
        <w:t xml:space="preserve">initiatives </w:t>
      </w:r>
      <w:r>
        <w:rPr>
          <w:bCs/>
        </w:rPr>
        <w:t>with</w:t>
      </w:r>
      <w:r w:rsidRPr="00C93746">
        <w:rPr>
          <w:bCs/>
        </w:rPr>
        <w:t xml:space="preserve"> call</w:t>
      </w:r>
      <w:r>
        <w:rPr>
          <w:bCs/>
        </w:rPr>
        <w:t>s</w:t>
      </w:r>
      <w:r w:rsidRPr="00C93746">
        <w:rPr>
          <w:bCs/>
        </w:rPr>
        <w:t xml:space="preserve"> for them to continue</w:t>
      </w:r>
      <w:r>
        <w:rPr>
          <w:bCs/>
        </w:rPr>
        <w:t xml:space="preserve">. Current service </w:t>
      </w:r>
      <w:r w:rsidRPr="00393EEB">
        <w:t>strengths include:</w:t>
      </w:r>
    </w:p>
    <w:p w14:paraId="0B334A5D" w14:textId="7DDDE17D" w:rsidR="00632AB3" w:rsidRPr="001E25F8" w:rsidRDefault="00C57651" w:rsidP="00935B45">
      <w:pPr>
        <w:pStyle w:val="ListParagraph"/>
        <w:numPr>
          <w:ilvl w:val="0"/>
          <w:numId w:val="28"/>
        </w:numPr>
        <w:contextualSpacing w:val="0"/>
        <w:rPr>
          <w:rFonts w:cstheme="minorHAnsi"/>
        </w:rPr>
      </w:pPr>
      <w:r w:rsidRPr="001E25F8">
        <w:rPr>
          <w:rFonts w:cstheme="minorHAnsi"/>
        </w:rPr>
        <w:t>r</w:t>
      </w:r>
      <w:r w:rsidR="00632AB3" w:rsidRPr="001E25F8">
        <w:rPr>
          <w:rFonts w:cstheme="minorHAnsi"/>
        </w:rPr>
        <w:t>obust and supported referral pathways between NGOs and publicly funded services;</w:t>
      </w:r>
    </w:p>
    <w:p w14:paraId="49B891B3" w14:textId="3B392192" w:rsidR="00632AB3" w:rsidRPr="001E25F8" w:rsidRDefault="005F62F4" w:rsidP="00935B45">
      <w:pPr>
        <w:pStyle w:val="ListParagraph"/>
        <w:numPr>
          <w:ilvl w:val="0"/>
          <w:numId w:val="28"/>
        </w:numPr>
        <w:contextualSpacing w:val="0"/>
        <w:rPr>
          <w:rFonts w:cstheme="minorHAnsi"/>
        </w:rPr>
      </w:pPr>
      <w:r w:rsidRPr="001E25F8">
        <w:rPr>
          <w:rFonts w:cstheme="minorHAnsi"/>
        </w:rPr>
        <w:t>Needle and syringe program (</w:t>
      </w:r>
      <w:r w:rsidR="00632AB3" w:rsidRPr="001E25F8">
        <w:rPr>
          <w:rFonts w:cstheme="minorHAnsi"/>
        </w:rPr>
        <w:t>NSP</w:t>
      </w:r>
      <w:r w:rsidRPr="001E25F8">
        <w:rPr>
          <w:rFonts w:cstheme="minorHAnsi"/>
        </w:rPr>
        <w:t>)</w:t>
      </w:r>
      <w:r w:rsidR="00632AB3" w:rsidRPr="001E25F8">
        <w:rPr>
          <w:rFonts w:cstheme="minorHAnsi"/>
        </w:rPr>
        <w:t xml:space="preserve"> services are highly regarded and allow for opportunistic health promotion and information provision</w:t>
      </w:r>
      <w:r w:rsidR="00121394" w:rsidRPr="001E25F8">
        <w:rPr>
          <w:rFonts w:cstheme="minorHAnsi"/>
        </w:rPr>
        <w:t>,</w:t>
      </w:r>
      <w:r w:rsidR="00761465" w:rsidRPr="001E25F8">
        <w:rPr>
          <w:rFonts w:cstheme="minorHAnsi"/>
        </w:rPr>
        <w:t xml:space="preserve"> support</w:t>
      </w:r>
      <w:r w:rsidR="00121394" w:rsidRPr="001E25F8">
        <w:rPr>
          <w:rFonts w:cstheme="minorHAnsi"/>
        </w:rPr>
        <w:t>ing</w:t>
      </w:r>
      <w:r w:rsidR="00761465" w:rsidRPr="001E25F8">
        <w:rPr>
          <w:rFonts w:cstheme="minorHAnsi"/>
        </w:rPr>
        <w:t xml:space="preserve"> a reduction in reinfection rates</w:t>
      </w:r>
      <w:r w:rsidR="00632AB3" w:rsidRPr="001E25F8">
        <w:rPr>
          <w:rFonts w:cstheme="minorHAnsi"/>
        </w:rPr>
        <w:t>;</w:t>
      </w:r>
    </w:p>
    <w:p w14:paraId="48BA578B" w14:textId="65B00E1A" w:rsidR="00632AB3" w:rsidRPr="001E25F8" w:rsidRDefault="00C57651" w:rsidP="00935B45">
      <w:pPr>
        <w:pStyle w:val="ListParagraph"/>
        <w:numPr>
          <w:ilvl w:val="0"/>
          <w:numId w:val="28"/>
        </w:numPr>
        <w:contextualSpacing w:val="0"/>
        <w:rPr>
          <w:rFonts w:cstheme="minorHAnsi"/>
        </w:rPr>
      </w:pPr>
      <w:r w:rsidRPr="001E25F8">
        <w:rPr>
          <w:rFonts w:cstheme="minorHAnsi"/>
        </w:rPr>
        <w:t>p</w:t>
      </w:r>
      <w:r w:rsidR="00632AB3" w:rsidRPr="001E25F8">
        <w:rPr>
          <w:rFonts w:cstheme="minorHAnsi"/>
        </w:rPr>
        <w:t>eer workers and nurse practitioners are integral in building trust and improving testing rates and treatment uptake; and</w:t>
      </w:r>
    </w:p>
    <w:p w14:paraId="2FBD4F55" w14:textId="7FE15E93" w:rsidR="00632AB3" w:rsidRPr="001E25F8" w:rsidRDefault="00C57651" w:rsidP="00935B45">
      <w:pPr>
        <w:pStyle w:val="ListParagraph"/>
        <w:numPr>
          <w:ilvl w:val="0"/>
          <w:numId w:val="28"/>
        </w:numPr>
        <w:contextualSpacing w:val="0"/>
        <w:rPr>
          <w:rFonts w:cstheme="minorHAnsi"/>
        </w:rPr>
      </w:pPr>
      <w:r w:rsidRPr="001E25F8">
        <w:rPr>
          <w:rFonts w:cstheme="minorHAnsi"/>
        </w:rPr>
        <w:t>o</w:t>
      </w:r>
      <w:r w:rsidR="00632AB3" w:rsidRPr="001E25F8">
        <w:rPr>
          <w:rFonts w:cstheme="minorHAnsi"/>
        </w:rPr>
        <w:t>pportunistic models such as drop-in-sessions and walk-in-clinics are known to be successful.</w:t>
      </w:r>
    </w:p>
    <w:p w14:paraId="272EBD72" w14:textId="5010C600" w:rsidR="00632AB3" w:rsidRDefault="00C57651" w:rsidP="006A6BCA">
      <w:pPr>
        <w:rPr>
          <w:rFonts w:asciiTheme="minorHAnsi" w:eastAsia="Source Sans Pro" w:hAnsiTheme="minorHAnsi" w:cstheme="minorHAnsi"/>
          <w:color w:val="000000" w:themeColor="text1"/>
          <w:szCs w:val="22"/>
        </w:rPr>
      </w:pPr>
      <w:r>
        <w:rPr>
          <w:rFonts w:asciiTheme="minorHAnsi" w:eastAsia="Source Sans Pro" w:hAnsiTheme="minorHAnsi" w:cstheme="minorHAnsi"/>
          <w:color w:val="000000" w:themeColor="text1"/>
          <w:szCs w:val="22"/>
        </w:rPr>
        <w:t>E</w:t>
      </w:r>
      <w:r w:rsidR="00632AB3">
        <w:rPr>
          <w:rFonts w:asciiTheme="minorHAnsi" w:eastAsia="Source Sans Pro" w:hAnsiTheme="minorHAnsi" w:cstheme="minorHAnsi"/>
          <w:color w:val="000000" w:themeColor="text1"/>
          <w:szCs w:val="22"/>
        </w:rPr>
        <w:t>ngagement has also identified a number of priorities to be addressed through STIBBV commissioning:</w:t>
      </w:r>
    </w:p>
    <w:p w14:paraId="74FF0469" w14:textId="33F664DB" w:rsidR="006C70C4" w:rsidRPr="0023064E" w:rsidRDefault="00C15359" w:rsidP="0023064E">
      <w:pPr>
        <w:tabs>
          <w:tab w:val="left" w:pos="709"/>
        </w:tabs>
        <w:spacing w:before="120" w:after="0" w:line="240" w:lineRule="auto"/>
        <w:rPr>
          <w:rFonts w:asciiTheme="majorHAnsi" w:eastAsiaTheme="minorHAnsi" w:hAnsiTheme="majorHAnsi" w:cs="Calibri"/>
          <w:color w:val="7030A0"/>
          <w:sz w:val="28"/>
          <w:szCs w:val="22"/>
        </w:rPr>
      </w:pPr>
      <w:r w:rsidRPr="0023064E">
        <w:rPr>
          <w:rFonts w:asciiTheme="majorHAnsi" w:eastAsiaTheme="minorHAnsi" w:hAnsiTheme="majorHAnsi" w:cs="Calibri"/>
          <w:color w:val="7030A0"/>
          <w:sz w:val="28"/>
          <w:szCs w:val="22"/>
        </w:rPr>
        <w:lastRenderedPageBreak/>
        <w:t xml:space="preserve">Addressing access to barriers to treatment </w:t>
      </w:r>
    </w:p>
    <w:p w14:paraId="1F65D4E6" w14:textId="246F6232" w:rsidR="00C15359" w:rsidRDefault="00C15359" w:rsidP="006A1CC9">
      <w:pPr>
        <w:rPr>
          <w:rFonts w:cstheme="minorHAnsi"/>
        </w:rPr>
      </w:pPr>
      <w:r w:rsidRPr="00BA2396">
        <w:rPr>
          <w:rFonts w:cstheme="minorHAnsi"/>
        </w:rPr>
        <w:t>Access to high quality</w:t>
      </w:r>
      <w:r w:rsidR="00253F8F">
        <w:rPr>
          <w:rFonts w:cstheme="minorHAnsi"/>
        </w:rPr>
        <w:t>,</w:t>
      </w:r>
      <w:r w:rsidRPr="00BA2396">
        <w:rPr>
          <w:rFonts w:cstheme="minorHAnsi"/>
        </w:rPr>
        <w:t xml:space="preserve"> comprehensive, culturally appropriate sexual health care is a cornerstone of good health and is essential for the early identification of STIBBV and preventing the onward transmission of infection</w:t>
      </w:r>
      <w:r>
        <w:rPr>
          <w:rFonts w:cstheme="minorHAnsi"/>
        </w:rPr>
        <w:t>.</w:t>
      </w:r>
      <w:r w:rsidRPr="00BA2396">
        <w:rPr>
          <w:rFonts w:cstheme="minorHAnsi"/>
        </w:rPr>
        <w:t xml:space="preserve"> Moreover, increased access to STIBBV care enables treatment to be commenced in a timely manner to prevent chronic complications associated with </w:t>
      </w:r>
      <w:r>
        <w:rPr>
          <w:rFonts w:cstheme="minorHAnsi"/>
        </w:rPr>
        <w:t xml:space="preserve">some </w:t>
      </w:r>
      <w:r w:rsidRPr="00BA2396">
        <w:rPr>
          <w:rFonts w:cstheme="minorHAnsi"/>
        </w:rPr>
        <w:t>STIBBV. This has significant flow</w:t>
      </w:r>
      <w:r>
        <w:rPr>
          <w:rFonts w:cstheme="minorHAnsi"/>
        </w:rPr>
        <w:t>-</w:t>
      </w:r>
      <w:r w:rsidRPr="00BA2396">
        <w:rPr>
          <w:rFonts w:cstheme="minorHAnsi"/>
        </w:rPr>
        <w:t>o</w:t>
      </w:r>
      <w:r>
        <w:rPr>
          <w:rFonts w:cstheme="minorHAnsi"/>
        </w:rPr>
        <w:t>n</w:t>
      </w:r>
      <w:r w:rsidRPr="00BA2396">
        <w:rPr>
          <w:rFonts w:cstheme="minorHAnsi"/>
        </w:rPr>
        <w:t xml:space="preserve"> impacts to population level burden of disease as well as economic impacts of STIBBV. </w:t>
      </w:r>
    </w:p>
    <w:p w14:paraId="2D4AF6A2" w14:textId="35B74D90" w:rsidR="00C4031D" w:rsidRDefault="00C4031D" w:rsidP="006A1CC9">
      <w:pPr>
        <w:rPr>
          <w:rFonts w:cstheme="minorHAnsi"/>
        </w:rPr>
      </w:pPr>
      <w:r>
        <w:rPr>
          <w:rFonts w:cstheme="minorHAnsi"/>
        </w:rPr>
        <w:t>Migration challenges can also act as barrier to</w:t>
      </w:r>
      <w:r w:rsidR="002E1031">
        <w:rPr>
          <w:rFonts w:cstheme="minorHAnsi"/>
        </w:rPr>
        <w:t xml:space="preserve"> STIBBV</w:t>
      </w:r>
      <w:r>
        <w:rPr>
          <w:rFonts w:cstheme="minorHAnsi"/>
        </w:rPr>
        <w:t xml:space="preserve"> care access</w:t>
      </w:r>
      <w:r>
        <w:rPr>
          <w:rStyle w:val="FootnoteReference"/>
          <w:rFonts w:cstheme="minorHAnsi"/>
        </w:rPr>
        <w:footnoteReference w:id="24"/>
      </w:r>
      <w:r w:rsidR="00D96206">
        <w:rPr>
          <w:rFonts w:cstheme="minorHAnsi"/>
        </w:rPr>
        <w:t>.</w:t>
      </w:r>
      <w:r w:rsidR="002E1031">
        <w:rPr>
          <w:rFonts w:cstheme="minorHAnsi"/>
        </w:rPr>
        <w:t xml:space="preserve"> The Department of Home Affairs can refuse to grant a visa if an applicant or their family member fails to meet the health criterion, and a HIV diagnosis may jeopardise this process</w:t>
      </w:r>
      <w:r w:rsidR="002E1031">
        <w:rPr>
          <w:rStyle w:val="FootnoteReference"/>
          <w:rFonts w:cstheme="minorHAnsi"/>
        </w:rPr>
        <w:footnoteReference w:id="25"/>
      </w:r>
      <w:r w:rsidR="00D96206">
        <w:rPr>
          <w:rFonts w:cstheme="minorHAnsi"/>
        </w:rPr>
        <w:t>.</w:t>
      </w:r>
      <w:r w:rsidR="002E1031">
        <w:rPr>
          <w:rFonts w:cstheme="minorHAnsi"/>
        </w:rPr>
        <w:t xml:space="preserve"> </w:t>
      </w:r>
      <w:r w:rsidR="002E1031">
        <w:t>Ziersch et al (2021) identified that a fear of compromising immigration, visa and resettlement status was a key precursor to HIV</w:t>
      </w:r>
      <w:r w:rsidR="00665150">
        <w:t xml:space="preserve"> disclosure,</w:t>
      </w:r>
      <w:r w:rsidR="002E1031">
        <w:t xml:space="preserve"> testing and care avoidance. People who are </w:t>
      </w:r>
      <w:r w:rsidR="00665150">
        <w:t xml:space="preserve">lesbian, gay, bisexual, transgender, intersex, queer or questioning </w:t>
      </w:r>
      <w:r w:rsidR="002E1031">
        <w:t xml:space="preserve">and/or living with HIV face imprisonment or execution in some countries. As such, if individuals from these countries are refused an Australian visa as a result of their HIV status and are subsequently returned to their home country, the impacts </w:t>
      </w:r>
      <w:r w:rsidR="005F62F4">
        <w:t>can be</w:t>
      </w:r>
      <w:r w:rsidR="002E1031">
        <w:t xml:space="preserve"> broad and significant</w:t>
      </w:r>
      <w:r w:rsidR="002E1031">
        <w:rPr>
          <w:rStyle w:val="FootnoteReference"/>
        </w:rPr>
        <w:footnoteReference w:id="26"/>
      </w:r>
      <w:r w:rsidR="00D96206">
        <w:t>.</w:t>
      </w:r>
    </w:p>
    <w:p w14:paraId="20A5477F" w14:textId="6D8F2BF8" w:rsidR="00C15359" w:rsidRDefault="00C15359" w:rsidP="162D5AE6">
      <w:pPr>
        <w:rPr>
          <w:rFonts w:cstheme="minorBidi"/>
        </w:rPr>
      </w:pPr>
      <w:r w:rsidRPr="162D5AE6">
        <w:rPr>
          <w:rFonts w:cstheme="minorBidi"/>
        </w:rPr>
        <w:t xml:space="preserve">Cost, location, transport, appointment scheduling and hours of operation are common access constraints </w:t>
      </w:r>
      <w:r w:rsidR="001B69E5" w:rsidRPr="162D5AE6">
        <w:rPr>
          <w:rFonts w:cstheme="minorBidi"/>
        </w:rPr>
        <w:t xml:space="preserve">which impact </w:t>
      </w:r>
      <w:r w:rsidRPr="162D5AE6">
        <w:rPr>
          <w:rFonts w:cstheme="minorBidi"/>
        </w:rPr>
        <w:t xml:space="preserve">access to STIBBV health care. Moreover, certain groups experience </w:t>
      </w:r>
      <w:r w:rsidR="005F62F4">
        <w:rPr>
          <w:rFonts w:cstheme="minorBidi"/>
        </w:rPr>
        <w:t>additional challenges in</w:t>
      </w:r>
      <w:r w:rsidR="005F62F4" w:rsidRPr="162D5AE6">
        <w:rPr>
          <w:rFonts w:cstheme="minorBidi"/>
        </w:rPr>
        <w:t xml:space="preserve"> </w:t>
      </w:r>
      <w:r w:rsidRPr="162D5AE6">
        <w:rPr>
          <w:rFonts w:cstheme="minorBidi"/>
        </w:rPr>
        <w:t xml:space="preserve">access to services </w:t>
      </w:r>
      <w:r w:rsidR="00650D5E">
        <w:rPr>
          <w:rFonts w:cstheme="minorBidi"/>
        </w:rPr>
        <w:t>from a range of factors, including</w:t>
      </w:r>
      <w:r w:rsidRPr="162D5AE6">
        <w:rPr>
          <w:rFonts w:cstheme="minorBidi"/>
        </w:rPr>
        <w:t xml:space="preserve"> gender or sexual identity, ethnic or cultural background</w:t>
      </w:r>
      <w:r w:rsidR="00650D5E">
        <w:rPr>
          <w:rFonts w:cstheme="minorBidi"/>
        </w:rPr>
        <w:t>,</w:t>
      </w:r>
      <w:r w:rsidRPr="162D5AE6">
        <w:rPr>
          <w:rFonts w:cstheme="minorBidi"/>
        </w:rPr>
        <w:t xml:space="preserve"> experience of language or literacy issues or disability</w:t>
      </w:r>
      <w:r w:rsidR="00650D5E">
        <w:rPr>
          <w:rFonts w:cstheme="minorBidi"/>
        </w:rPr>
        <w:t xml:space="preserve">, injecting drug use, or being detained in a correctional facility. </w:t>
      </w:r>
      <w:r w:rsidRPr="162D5AE6">
        <w:rPr>
          <w:rFonts w:cstheme="minorBidi"/>
        </w:rPr>
        <w:t>It is widely acknowledged that accessing health</w:t>
      </w:r>
      <w:r w:rsidR="00253F8F" w:rsidRPr="162D5AE6">
        <w:rPr>
          <w:rFonts w:cstheme="minorBidi"/>
        </w:rPr>
        <w:t xml:space="preserve"> </w:t>
      </w:r>
      <w:r w:rsidRPr="162D5AE6">
        <w:rPr>
          <w:rFonts w:cstheme="minorBidi"/>
        </w:rPr>
        <w:t>care for STIBBV should be normalised and encouraged. Addressing stigma</w:t>
      </w:r>
      <w:r w:rsidR="00FA5FA6">
        <w:rPr>
          <w:rFonts w:cstheme="minorBidi"/>
        </w:rPr>
        <w:t xml:space="preserve"> </w:t>
      </w:r>
      <w:r w:rsidRPr="162D5AE6">
        <w:rPr>
          <w:rFonts w:cstheme="minorBidi"/>
        </w:rPr>
        <w:t xml:space="preserve">is essential to improving access to screening </w:t>
      </w:r>
      <w:r w:rsidR="00650D5E">
        <w:rPr>
          <w:rFonts w:cstheme="minorBidi"/>
        </w:rPr>
        <w:t>and</w:t>
      </w:r>
      <w:r w:rsidRPr="162D5AE6">
        <w:rPr>
          <w:rFonts w:cstheme="minorBidi"/>
        </w:rPr>
        <w:t xml:space="preserve"> testing for STIBBV</w:t>
      </w:r>
      <w:r w:rsidR="00650D5E">
        <w:rPr>
          <w:rFonts w:cstheme="minorBidi"/>
        </w:rPr>
        <w:t xml:space="preserve">, </w:t>
      </w:r>
      <w:r w:rsidR="00B164E0">
        <w:rPr>
          <w:rFonts w:cstheme="minorBidi"/>
        </w:rPr>
        <w:t>including</w:t>
      </w:r>
      <w:r w:rsidR="00650D5E">
        <w:rPr>
          <w:rFonts w:cstheme="minorBidi"/>
        </w:rPr>
        <w:t xml:space="preserve"> the need to reduce stigma within healthcare settings and</w:t>
      </w:r>
      <w:r w:rsidR="00FA5FA6">
        <w:rPr>
          <w:rFonts w:cstheme="minorBidi"/>
        </w:rPr>
        <w:t xml:space="preserve"> train healthcare providers on how to start a conversation about STIBBV</w:t>
      </w:r>
      <w:r w:rsidR="00B164E0">
        <w:rPr>
          <w:rFonts w:cstheme="minorBidi"/>
        </w:rPr>
        <w:t>.</w:t>
      </w:r>
      <w:r w:rsidR="00F07973">
        <w:rPr>
          <w:rFonts w:cstheme="minorBidi"/>
        </w:rPr>
        <w:t xml:space="preserve"> </w:t>
      </w:r>
      <w:r w:rsidRPr="162D5AE6">
        <w:rPr>
          <w:rFonts w:cstheme="minorBidi"/>
        </w:rPr>
        <w:t>Care which is confidential and non-judgemental should also be optimised and promoted within communities.</w:t>
      </w:r>
      <w:r w:rsidR="003424D0" w:rsidRPr="162D5AE6">
        <w:rPr>
          <w:rFonts w:cstheme="minorBidi"/>
        </w:rPr>
        <w:t xml:space="preserve"> In summary, our engagement with consumers raised that the following factors influence whether participants will</w:t>
      </w:r>
      <w:r w:rsidR="001B69E5" w:rsidRPr="162D5AE6">
        <w:rPr>
          <w:rFonts w:cstheme="minorBidi"/>
        </w:rPr>
        <w:t>/can</w:t>
      </w:r>
      <w:r w:rsidR="003424D0" w:rsidRPr="162D5AE6">
        <w:rPr>
          <w:rFonts w:cstheme="minorBidi"/>
        </w:rPr>
        <w:t xml:space="preserve"> access STIBBV services:</w:t>
      </w:r>
    </w:p>
    <w:p w14:paraId="75DB270C" w14:textId="3F562CE0" w:rsidR="003424D0" w:rsidRDefault="00C57651" w:rsidP="006A6BCA">
      <w:pPr>
        <w:pStyle w:val="ListParagraph"/>
        <w:numPr>
          <w:ilvl w:val="0"/>
          <w:numId w:val="28"/>
        </w:numPr>
        <w:contextualSpacing w:val="0"/>
        <w:rPr>
          <w:rFonts w:cstheme="minorHAnsi"/>
        </w:rPr>
      </w:pPr>
      <w:r>
        <w:rPr>
          <w:rFonts w:cstheme="minorHAnsi"/>
        </w:rPr>
        <w:t>c</w:t>
      </w:r>
      <w:r w:rsidR="003424D0">
        <w:rPr>
          <w:rFonts w:cstheme="minorHAnsi"/>
        </w:rPr>
        <w:t xml:space="preserve">ost </w:t>
      </w:r>
    </w:p>
    <w:p w14:paraId="053A13D3" w14:textId="65C421A6" w:rsidR="003424D0" w:rsidRDefault="00C57651" w:rsidP="006A6BCA">
      <w:pPr>
        <w:pStyle w:val="ListParagraph"/>
        <w:numPr>
          <w:ilvl w:val="0"/>
          <w:numId w:val="28"/>
        </w:numPr>
        <w:contextualSpacing w:val="0"/>
        <w:rPr>
          <w:rFonts w:cstheme="minorHAnsi"/>
        </w:rPr>
      </w:pPr>
      <w:r>
        <w:rPr>
          <w:rFonts w:cstheme="minorHAnsi"/>
        </w:rPr>
        <w:t>c</w:t>
      </w:r>
      <w:r w:rsidR="003424D0">
        <w:rPr>
          <w:rFonts w:cstheme="minorHAnsi"/>
        </w:rPr>
        <w:t xml:space="preserve">onvenience </w:t>
      </w:r>
    </w:p>
    <w:p w14:paraId="6120B4C2" w14:textId="0DED5053" w:rsidR="003424D0" w:rsidRDefault="00C57651" w:rsidP="006A6BCA">
      <w:pPr>
        <w:pStyle w:val="ListParagraph"/>
        <w:numPr>
          <w:ilvl w:val="0"/>
          <w:numId w:val="28"/>
        </w:numPr>
        <w:contextualSpacing w:val="0"/>
        <w:rPr>
          <w:rFonts w:cstheme="minorHAnsi"/>
        </w:rPr>
      </w:pPr>
      <w:r>
        <w:rPr>
          <w:rFonts w:cstheme="minorHAnsi"/>
        </w:rPr>
        <w:t>s</w:t>
      </w:r>
      <w:r w:rsidR="003424D0">
        <w:rPr>
          <w:rFonts w:cstheme="minorHAnsi"/>
        </w:rPr>
        <w:t xml:space="preserve">ervice integration and co-location </w:t>
      </w:r>
    </w:p>
    <w:p w14:paraId="09230541" w14:textId="09F92C71" w:rsidR="003424D0" w:rsidRDefault="003424D0" w:rsidP="006A6BCA">
      <w:pPr>
        <w:pStyle w:val="ListParagraph"/>
        <w:numPr>
          <w:ilvl w:val="0"/>
          <w:numId w:val="28"/>
        </w:numPr>
        <w:contextualSpacing w:val="0"/>
        <w:rPr>
          <w:rFonts w:cstheme="minorHAnsi"/>
        </w:rPr>
      </w:pPr>
      <w:r>
        <w:rPr>
          <w:rFonts w:cstheme="minorHAnsi"/>
        </w:rPr>
        <w:t xml:space="preserve">Privacy and confidentiality </w:t>
      </w:r>
    </w:p>
    <w:p w14:paraId="3C0E5CE6" w14:textId="244F8AEF" w:rsidR="003424D0" w:rsidRDefault="00C57651" w:rsidP="006A6BCA">
      <w:pPr>
        <w:pStyle w:val="ListParagraph"/>
        <w:numPr>
          <w:ilvl w:val="0"/>
          <w:numId w:val="28"/>
        </w:numPr>
        <w:contextualSpacing w:val="0"/>
        <w:rPr>
          <w:rFonts w:cstheme="minorHAnsi"/>
        </w:rPr>
      </w:pPr>
      <w:r>
        <w:rPr>
          <w:rFonts w:cstheme="minorHAnsi"/>
        </w:rPr>
        <w:t>f</w:t>
      </w:r>
      <w:r w:rsidR="003424D0">
        <w:rPr>
          <w:rFonts w:cstheme="minorHAnsi"/>
        </w:rPr>
        <w:t xml:space="preserve">ear of judgement and stigma </w:t>
      </w:r>
    </w:p>
    <w:p w14:paraId="287375CE" w14:textId="504BA13A" w:rsidR="003424D0" w:rsidRDefault="00C57651" w:rsidP="006A6BCA">
      <w:pPr>
        <w:pStyle w:val="ListParagraph"/>
        <w:numPr>
          <w:ilvl w:val="0"/>
          <w:numId w:val="28"/>
        </w:numPr>
        <w:contextualSpacing w:val="0"/>
        <w:rPr>
          <w:rFonts w:cstheme="minorHAnsi"/>
        </w:rPr>
      </w:pPr>
      <w:r>
        <w:rPr>
          <w:rFonts w:cstheme="minorHAnsi"/>
        </w:rPr>
        <w:t>e</w:t>
      </w:r>
      <w:r w:rsidR="003424D0">
        <w:rPr>
          <w:rFonts w:cstheme="minorHAnsi"/>
        </w:rPr>
        <w:t xml:space="preserve">xpectation of a positive experience </w:t>
      </w:r>
    </w:p>
    <w:p w14:paraId="3FB72722" w14:textId="2FC54BEA" w:rsidR="001B69E5" w:rsidRDefault="00C57651" w:rsidP="006A6BCA">
      <w:pPr>
        <w:pStyle w:val="ListParagraph"/>
        <w:numPr>
          <w:ilvl w:val="0"/>
          <w:numId w:val="28"/>
        </w:numPr>
        <w:contextualSpacing w:val="0"/>
        <w:rPr>
          <w:rFonts w:cstheme="minorHAnsi"/>
        </w:rPr>
      </w:pPr>
      <w:r>
        <w:rPr>
          <w:rFonts w:cstheme="minorHAnsi"/>
        </w:rPr>
        <w:lastRenderedPageBreak/>
        <w:t>c</w:t>
      </w:r>
      <w:r w:rsidR="003424D0">
        <w:rPr>
          <w:rFonts w:cstheme="minorHAnsi"/>
        </w:rPr>
        <w:t>hoice of practi</w:t>
      </w:r>
      <w:r w:rsidR="00BE77E6">
        <w:rPr>
          <w:rFonts w:cstheme="minorHAnsi"/>
        </w:rPr>
        <w:t>tioner</w:t>
      </w:r>
      <w:r>
        <w:rPr>
          <w:rFonts w:cstheme="minorHAnsi"/>
        </w:rPr>
        <w:t>.</w:t>
      </w:r>
      <w:r w:rsidR="00BE77E6">
        <w:rPr>
          <w:rFonts w:cstheme="minorHAnsi"/>
        </w:rPr>
        <w:t xml:space="preserve"> </w:t>
      </w:r>
    </w:p>
    <w:p w14:paraId="02BC4CDB" w14:textId="5DFD74AF" w:rsidR="00C15359" w:rsidRPr="0023064E" w:rsidRDefault="00193541" w:rsidP="006A1CC9">
      <w:pPr>
        <w:tabs>
          <w:tab w:val="left" w:pos="709"/>
        </w:tabs>
        <w:spacing w:line="240" w:lineRule="auto"/>
        <w:rPr>
          <w:rFonts w:asciiTheme="majorHAnsi" w:eastAsiaTheme="minorHAnsi" w:hAnsiTheme="majorHAnsi" w:cs="Calibri"/>
          <w:color w:val="7030A0"/>
          <w:sz w:val="28"/>
          <w:szCs w:val="22"/>
        </w:rPr>
      </w:pPr>
      <w:r w:rsidRPr="0023064E">
        <w:rPr>
          <w:rFonts w:asciiTheme="majorHAnsi" w:eastAsiaTheme="minorHAnsi" w:hAnsiTheme="majorHAnsi" w:cs="Calibri"/>
          <w:color w:val="7030A0"/>
          <w:sz w:val="28"/>
          <w:szCs w:val="22"/>
        </w:rPr>
        <w:t xml:space="preserve">Strengthening the </w:t>
      </w:r>
      <w:r w:rsidR="003424D0" w:rsidRPr="0023064E">
        <w:rPr>
          <w:rFonts w:asciiTheme="majorHAnsi" w:eastAsiaTheme="minorHAnsi" w:hAnsiTheme="majorHAnsi" w:cs="Calibri"/>
          <w:color w:val="7030A0"/>
          <w:sz w:val="28"/>
          <w:szCs w:val="22"/>
        </w:rPr>
        <w:t>c</w:t>
      </w:r>
      <w:r w:rsidRPr="0023064E">
        <w:rPr>
          <w:rFonts w:asciiTheme="majorHAnsi" w:eastAsiaTheme="minorHAnsi" w:hAnsiTheme="majorHAnsi" w:cs="Calibri"/>
          <w:color w:val="7030A0"/>
          <w:sz w:val="28"/>
          <w:szCs w:val="22"/>
        </w:rPr>
        <w:t xml:space="preserve">apacity of our workforce </w:t>
      </w:r>
    </w:p>
    <w:p w14:paraId="52D84FDD" w14:textId="77777777" w:rsidR="00193541" w:rsidRPr="006C70C4" w:rsidRDefault="00193541" w:rsidP="006A6BCA">
      <w:pPr>
        <w:spacing w:line="240" w:lineRule="auto"/>
      </w:pPr>
      <w:r w:rsidRPr="006C70C4">
        <w:t>To continue to deliver client focussed</w:t>
      </w:r>
      <w:r>
        <w:t xml:space="preserve"> STIBBV</w:t>
      </w:r>
      <w:r w:rsidRPr="006C70C4">
        <w:t xml:space="preserve"> services, the ACT needs a </w:t>
      </w:r>
      <w:r>
        <w:t>workforce which is:</w:t>
      </w:r>
    </w:p>
    <w:p w14:paraId="4F7CA97A" w14:textId="5477B58B" w:rsidR="00193541" w:rsidRDefault="00193541" w:rsidP="006A6BCA">
      <w:pPr>
        <w:numPr>
          <w:ilvl w:val="0"/>
          <w:numId w:val="21"/>
        </w:numPr>
        <w:spacing w:line="240" w:lineRule="auto"/>
        <w:ind w:left="771" w:hanging="357"/>
      </w:pPr>
      <w:r w:rsidRPr="0023064E">
        <w:rPr>
          <w:b/>
          <w:bCs/>
          <w:i/>
          <w:iCs/>
        </w:rPr>
        <w:t>Multidisciplinary</w:t>
      </w:r>
      <w:r>
        <w:br/>
        <w:t>including doctors, nurse practitioners, registered nurses,</w:t>
      </w:r>
      <w:r w:rsidR="00FA5FA6">
        <w:t xml:space="preserve"> midwives,</w:t>
      </w:r>
      <w:r>
        <w:t xml:space="preserve"> allied health professionals, administration officers, health promotion officers, educators, peer workers and ancillary staff.</w:t>
      </w:r>
    </w:p>
    <w:p w14:paraId="7C7E7F23" w14:textId="77777777" w:rsidR="00193541" w:rsidRDefault="00193541" w:rsidP="006A6BCA">
      <w:pPr>
        <w:numPr>
          <w:ilvl w:val="0"/>
          <w:numId w:val="21"/>
        </w:numPr>
        <w:spacing w:line="240" w:lineRule="auto"/>
        <w:ind w:left="771" w:hanging="357"/>
      </w:pPr>
      <w:r w:rsidRPr="0023064E">
        <w:rPr>
          <w:b/>
          <w:bCs/>
          <w:i/>
          <w:iCs/>
        </w:rPr>
        <w:t xml:space="preserve">Diverse </w:t>
      </w:r>
      <w:r>
        <w:br/>
        <w:t>including broad representation of age, cultural, gender, social and sexual identities, individuals with diverse demographics and individuals with a lived experience.</w:t>
      </w:r>
    </w:p>
    <w:p w14:paraId="1BE06F68" w14:textId="77777777" w:rsidR="00193541" w:rsidRDefault="00193541" w:rsidP="006A6BCA">
      <w:pPr>
        <w:numPr>
          <w:ilvl w:val="0"/>
          <w:numId w:val="21"/>
        </w:numPr>
        <w:spacing w:line="240" w:lineRule="auto"/>
        <w:ind w:left="771" w:hanging="357"/>
      </w:pPr>
      <w:r w:rsidRPr="0023064E">
        <w:rPr>
          <w:b/>
          <w:bCs/>
          <w:i/>
          <w:iCs/>
        </w:rPr>
        <w:t>Suitably qualified</w:t>
      </w:r>
      <w:r>
        <w:t xml:space="preserve"> </w:t>
      </w:r>
      <w:r>
        <w:br/>
        <w:t>supported by tertiary and accredited training, with opportunities to engage in regular continuing professional development opportunities, mentorship and supervision.</w:t>
      </w:r>
    </w:p>
    <w:p w14:paraId="0C1EAED8" w14:textId="2E88CAEA" w:rsidR="00193541" w:rsidRDefault="00193541" w:rsidP="006A6BCA">
      <w:pPr>
        <w:numPr>
          <w:ilvl w:val="0"/>
          <w:numId w:val="21"/>
        </w:numPr>
        <w:spacing w:line="240" w:lineRule="auto"/>
        <w:ind w:left="771" w:hanging="357"/>
      </w:pPr>
      <w:r w:rsidRPr="162D5AE6">
        <w:rPr>
          <w:b/>
          <w:bCs/>
          <w:i/>
          <w:iCs/>
        </w:rPr>
        <w:t>Highly skilled and experienced</w:t>
      </w:r>
      <w:r>
        <w:br/>
      </w:r>
      <w:r w:rsidR="00C57651">
        <w:t xml:space="preserve">a </w:t>
      </w:r>
      <w:r>
        <w:t>workforce with experience working in STIBBV related services or organisations or with population groups identified as being at increased risk for STIs and BBVs.</w:t>
      </w:r>
    </w:p>
    <w:p w14:paraId="2F7F6C6A" w14:textId="1BC7DF68" w:rsidR="00193541" w:rsidRPr="00B91258" w:rsidRDefault="00B91258" w:rsidP="006A6BCA">
      <w:pPr>
        <w:spacing w:line="240" w:lineRule="auto"/>
      </w:pPr>
      <w:r>
        <w:t>It was also found that there is a need for greater clarity</w:t>
      </w:r>
      <w:r w:rsidR="0075082C">
        <w:t xml:space="preserve"> of</w:t>
      </w:r>
      <w:r>
        <w:t xml:space="preserve"> training and development opportunities</w:t>
      </w:r>
      <w:r w:rsidR="0075082C">
        <w:t xml:space="preserve"> (e.g</w:t>
      </w:r>
      <w:r w:rsidR="00C57651">
        <w:t>., </w:t>
      </w:r>
      <w:r w:rsidR="0075082C">
        <w:t>knowing how access these opportunities)</w:t>
      </w:r>
      <w:r>
        <w:t xml:space="preserve"> for workers in and affiliated with the subsector and </w:t>
      </w:r>
      <w:r w:rsidR="001B69E5">
        <w:t xml:space="preserve">a need for </w:t>
      </w:r>
      <w:r>
        <w:t xml:space="preserve">upskilling </w:t>
      </w:r>
      <w:r w:rsidR="001B69E5">
        <w:t xml:space="preserve">in </w:t>
      </w:r>
      <w:r>
        <w:t>stigma</w:t>
      </w:r>
      <w:r w:rsidR="001B69E5">
        <w:t xml:space="preserve"> awareness/management</w:t>
      </w:r>
      <w:r>
        <w:t xml:space="preserve"> and confidentiality for young people. </w:t>
      </w:r>
      <w:r w:rsidR="00605935">
        <w:t>Evidence from other jurisdictions</w:t>
      </w:r>
      <w:r w:rsidR="00656F76">
        <w:t xml:space="preserve"> </w:t>
      </w:r>
      <w:r w:rsidR="00605935">
        <w:t xml:space="preserve">has shown that less than </w:t>
      </w:r>
      <w:r w:rsidR="00F07973">
        <w:t>10%</w:t>
      </w:r>
      <w:r w:rsidR="00605935">
        <w:t xml:space="preserve"> of migrants</w:t>
      </w:r>
      <w:r w:rsidR="00656F76">
        <w:t xml:space="preserve"> </w:t>
      </w:r>
      <w:r w:rsidR="00605935">
        <w:t xml:space="preserve">who </w:t>
      </w:r>
      <w:r w:rsidR="00656F76">
        <w:t xml:space="preserve">received an STIBBV test </w:t>
      </w:r>
      <w:r w:rsidR="00605935">
        <w:t>did so as a result of their</w:t>
      </w:r>
      <w:r w:rsidR="00656F76">
        <w:t xml:space="preserve"> health professional suggest</w:t>
      </w:r>
      <w:r w:rsidR="00605935">
        <w:t>ing</w:t>
      </w:r>
      <w:r w:rsidR="00656F76">
        <w:t xml:space="preserve"> it</w:t>
      </w:r>
      <w:r w:rsidR="00656F76">
        <w:rPr>
          <w:rStyle w:val="FootnoteReference"/>
        </w:rPr>
        <w:footnoteReference w:id="27"/>
      </w:r>
      <w:r w:rsidR="00656F76">
        <w:t xml:space="preserve"> .</w:t>
      </w:r>
    </w:p>
    <w:p w14:paraId="3F9A84D2" w14:textId="174F3C52" w:rsidR="00193541" w:rsidRPr="0023064E" w:rsidRDefault="00193541" w:rsidP="0023064E">
      <w:pPr>
        <w:tabs>
          <w:tab w:val="left" w:pos="709"/>
        </w:tabs>
        <w:spacing w:before="120" w:after="0" w:line="240" w:lineRule="auto"/>
        <w:rPr>
          <w:rFonts w:asciiTheme="majorHAnsi" w:eastAsiaTheme="minorHAnsi" w:hAnsiTheme="majorHAnsi" w:cs="Calibri"/>
          <w:color w:val="7030A0"/>
          <w:sz w:val="28"/>
          <w:szCs w:val="22"/>
        </w:rPr>
      </w:pPr>
      <w:r w:rsidRPr="0023064E">
        <w:rPr>
          <w:rFonts w:asciiTheme="majorHAnsi" w:eastAsiaTheme="minorHAnsi" w:hAnsiTheme="majorHAnsi" w:cs="Calibri"/>
          <w:color w:val="7030A0"/>
          <w:sz w:val="28"/>
          <w:szCs w:val="22"/>
        </w:rPr>
        <w:t xml:space="preserve">Greater health literacy </w:t>
      </w:r>
    </w:p>
    <w:p w14:paraId="57DBC5E8" w14:textId="52ACA675" w:rsidR="00D74C97" w:rsidRDefault="001B69E5" w:rsidP="006A1CC9">
      <w:pPr>
        <w:spacing w:line="240" w:lineRule="auto"/>
        <w:rPr>
          <w:szCs w:val="22"/>
        </w:rPr>
      </w:pPr>
      <w:r>
        <w:rPr>
          <w:szCs w:val="22"/>
        </w:rPr>
        <w:t xml:space="preserve">There is a need for </w:t>
      </w:r>
      <w:r w:rsidR="0044600B">
        <w:rPr>
          <w:szCs w:val="22"/>
        </w:rPr>
        <w:t xml:space="preserve">approaches and programs which promote improved </w:t>
      </w:r>
      <w:r w:rsidR="00193541">
        <w:rPr>
          <w:szCs w:val="22"/>
        </w:rPr>
        <w:t xml:space="preserve">health literacy for a range of priority populations </w:t>
      </w:r>
      <w:r w:rsidR="003424D0">
        <w:rPr>
          <w:szCs w:val="22"/>
        </w:rPr>
        <w:t>in preventing the transmission of STIBBV and to increase uptake of treatment and support services within the subsector</w:t>
      </w:r>
      <w:r w:rsidR="001947A9">
        <w:rPr>
          <w:szCs w:val="22"/>
        </w:rPr>
        <w:t>.</w:t>
      </w:r>
      <w:r w:rsidR="006C70C4" w:rsidRPr="006C70C4">
        <w:rPr>
          <w:szCs w:val="22"/>
        </w:rPr>
        <w:t xml:space="preserve"> </w:t>
      </w:r>
      <w:r w:rsidR="001947A9">
        <w:rPr>
          <w:szCs w:val="22"/>
        </w:rPr>
        <w:t>Importantly</w:t>
      </w:r>
      <w:r w:rsidR="00062E5E">
        <w:rPr>
          <w:szCs w:val="22"/>
        </w:rPr>
        <w:t>, it was recognised</w:t>
      </w:r>
      <w:r w:rsidR="00D74C97" w:rsidRPr="00D74C97">
        <w:rPr>
          <w:szCs w:val="22"/>
        </w:rPr>
        <w:t xml:space="preserve"> </w:t>
      </w:r>
      <w:r w:rsidR="00D74C97">
        <w:rPr>
          <w:szCs w:val="22"/>
        </w:rPr>
        <w:t xml:space="preserve">that </w:t>
      </w:r>
      <w:r w:rsidR="003424D0">
        <w:rPr>
          <w:szCs w:val="22"/>
        </w:rPr>
        <w:t xml:space="preserve">health literacy programs </w:t>
      </w:r>
      <w:r w:rsidR="00D74C97">
        <w:rPr>
          <w:szCs w:val="22"/>
        </w:rPr>
        <w:t xml:space="preserve">should be tailored to the diverse and individual support needs of the </w:t>
      </w:r>
      <w:r w:rsidR="0044600B">
        <w:rPr>
          <w:szCs w:val="22"/>
        </w:rPr>
        <w:t>client/participant</w:t>
      </w:r>
      <w:r w:rsidR="00D74C97">
        <w:rPr>
          <w:szCs w:val="22"/>
        </w:rPr>
        <w:t>.</w:t>
      </w:r>
    </w:p>
    <w:p w14:paraId="342B9F86" w14:textId="4489745B" w:rsidR="006C70C4" w:rsidRDefault="00C57651" w:rsidP="006A1CC9">
      <w:pPr>
        <w:spacing w:line="240" w:lineRule="auto"/>
        <w:rPr>
          <w:szCs w:val="22"/>
        </w:rPr>
      </w:pPr>
      <w:r>
        <w:rPr>
          <w:szCs w:val="22"/>
        </w:rPr>
        <w:t xml:space="preserve">As a result of </w:t>
      </w:r>
      <w:r w:rsidR="004058B7">
        <w:rPr>
          <w:szCs w:val="22"/>
        </w:rPr>
        <w:t>engagement</w:t>
      </w:r>
      <w:r w:rsidR="00824A1F">
        <w:rPr>
          <w:szCs w:val="22"/>
        </w:rPr>
        <w:t>,</w:t>
      </w:r>
      <w:r w:rsidR="004058B7">
        <w:rPr>
          <w:szCs w:val="22"/>
        </w:rPr>
        <w:t xml:space="preserve"> </w:t>
      </w:r>
      <w:r w:rsidR="001978C0">
        <w:rPr>
          <w:szCs w:val="22"/>
        </w:rPr>
        <w:t xml:space="preserve">we are better positioned </w:t>
      </w:r>
      <w:r w:rsidR="006C70C4" w:rsidRPr="006C70C4">
        <w:rPr>
          <w:szCs w:val="22"/>
        </w:rPr>
        <w:t xml:space="preserve">to understand service needs and </w:t>
      </w:r>
      <w:r w:rsidR="002817A0" w:rsidRPr="006C70C4">
        <w:rPr>
          <w:szCs w:val="22"/>
        </w:rPr>
        <w:t>gaps and</w:t>
      </w:r>
      <w:r w:rsidR="006C70C4" w:rsidRPr="006C70C4">
        <w:rPr>
          <w:szCs w:val="22"/>
        </w:rPr>
        <w:t xml:space="preserve"> work </w:t>
      </w:r>
      <w:r w:rsidR="001978C0">
        <w:rPr>
          <w:szCs w:val="22"/>
        </w:rPr>
        <w:t>together</w:t>
      </w:r>
      <w:r w:rsidR="006535BD" w:rsidRPr="006C70C4">
        <w:rPr>
          <w:szCs w:val="22"/>
        </w:rPr>
        <w:t xml:space="preserve"> </w:t>
      </w:r>
      <w:r w:rsidR="006C70C4" w:rsidRPr="006C70C4">
        <w:rPr>
          <w:szCs w:val="22"/>
        </w:rPr>
        <w:t>to design systems and frameworks and support cross sector collaboration.</w:t>
      </w:r>
    </w:p>
    <w:p w14:paraId="1CA4A153" w14:textId="08E5427D" w:rsidR="00B91258" w:rsidRPr="0023064E" w:rsidRDefault="0044600B" w:rsidP="0023064E">
      <w:pPr>
        <w:tabs>
          <w:tab w:val="left" w:pos="709"/>
        </w:tabs>
        <w:spacing w:before="120" w:after="0" w:line="240" w:lineRule="auto"/>
        <w:rPr>
          <w:rFonts w:asciiTheme="majorHAnsi" w:eastAsiaTheme="minorHAnsi" w:hAnsiTheme="majorHAnsi" w:cs="Calibri"/>
          <w:color w:val="7030A0"/>
          <w:sz w:val="28"/>
          <w:szCs w:val="22"/>
        </w:rPr>
      </w:pPr>
      <w:r w:rsidRPr="0023064E">
        <w:rPr>
          <w:rFonts w:asciiTheme="majorHAnsi" w:eastAsiaTheme="minorHAnsi" w:hAnsiTheme="majorHAnsi" w:cs="Calibri"/>
          <w:color w:val="7030A0"/>
          <w:sz w:val="28"/>
          <w:szCs w:val="22"/>
        </w:rPr>
        <w:t>E</w:t>
      </w:r>
      <w:r w:rsidR="00B91258" w:rsidRPr="0023064E">
        <w:rPr>
          <w:rFonts w:asciiTheme="majorHAnsi" w:eastAsiaTheme="minorHAnsi" w:hAnsiTheme="majorHAnsi" w:cs="Calibri"/>
          <w:color w:val="7030A0"/>
          <w:sz w:val="28"/>
          <w:szCs w:val="22"/>
        </w:rPr>
        <w:t>vidence</w:t>
      </w:r>
      <w:r w:rsidRPr="0023064E">
        <w:rPr>
          <w:rFonts w:asciiTheme="majorHAnsi" w:eastAsiaTheme="minorHAnsi" w:hAnsiTheme="majorHAnsi" w:cs="Calibri"/>
          <w:color w:val="7030A0"/>
          <w:sz w:val="28"/>
          <w:szCs w:val="22"/>
        </w:rPr>
        <w:t>-informed approaches</w:t>
      </w:r>
      <w:r w:rsidR="00B91258" w:rsidRPr="0023064E">
        <w:rPr>
          <w:rFonts w:asciiTheme="majorHAnsi" w:eastAsiaTheme="minorHAnsi" w:hAnsiTheme="majorHAnsi" w:cs="Calibri"/>
          <w:color w:val="7030A0"/>
          <w:sz w:val="28"/>
          <w:szCs w:val="22"/>
        </w:rPr>
        <w:t xml:space="preserve"> </w:t>
      </w:r>
    </w:p>
    <w:p w14:paraId="02A45BDC" w14:textId="40D69CE4" w:rsidR="00AB4309" w:rsidRPr="006C70C4" w:rsidRDefault="00B91258" w:rsidP="006A6BCA">
      <w:pPr>
        <w:tabs>
          <w:tab w:val="left" w:pos="709"/>
        </w:tabs>
        <w:spacing w:line="240" w:lineRule="auto"/>
        <w:rPr>
          <w:szCs w:val="22"/>
        </w:rPr>
      </w:pPr>
      <w:r>
        <w:rPr>
          <w:szCs w:val="22"/>
        </w:rPr>
        <w:t>Through our engagement</w:t>
      </w:r>
      <w:r w:rsidR="0044600B">
        <w:rPr>
          <w:szCs w:val="22"/>
        </w:rPr>
        <w:t xml:space="preserve">, </w:t>
      </w:r>
      <w:r w:rsidR="00F64BAA">
        <w:rPr>
          <w:szCs w:val="22"/>
        </w:rPr>
        <w:t xml:space="preserve">we </w:t>
      </w:r>
      <w:r w:rsidR="00AB4309" w:rsidRPr="006C70C4">
        <w:rPr>
          <w:szCs w:val="22"/>
        </w:rPr>
        <w:t>identified a range of</w:t>
      </w:r>
      <w:r w:rsidR="0044600B">
        <w:rPr>
          <w:szCs w:val="22"/>
        </w:rPr>
        <w:t xml:space="preserve"> data-driven</w:t>
      </w:r>
      <w:r w:rsidR="00AB4309" w:rsidRPr="006C70C4">
        <w:rPr>
          <w:szCs w:val="22"/>
        </w:rPr>
        <w:t xml:space="preserve"> innovations and improvements that will enhance the effectiveness of the </w:t>
      </w:r>
      <w:r w:rsidR="00C57651">
        <w:rPr>
          <w:szCs w:val="22"/>
        </w:rPr>
        <w:t>sector</w:t>
      </w:r>
      <w:r w:rsidR="00AB4309" w:rsidRPr="006C70C4">
        <w:rPr>
          <w:szCs w:val="22"/>
        </w:rPr>
        <w:t>. Key recommendations include:</w:t>
      </w:r>
    </w:p>
    <w:p w14:paraId="2C32EFCC" w14:textId="3D80B833" w:rsidR="00F64BAA" w:rsidRPr="006C70C4" w:rsidRDefault="00C57651" w:rsidP="006A6BCA">
      <w:pPr>
        <w:numPr>
          <w:ilvl w:val="0"/>
          <w:numId w:val="21"/>
        </w:numPr>
        <w:spacing w:line="240" w:lineRule="auto"/>
        <w:ind w:left="771" w:hanging="357"/>
      </w:pPr>
      <w:r>
        <w:t>i</w:t>
      </w:r>
      <w:r w:rsidR="00F64BAA" w:rsidRPr="006C70C4">
        <w:t>mproved consistency of data collection and sharing</w:t>
      </w:r>
      <w:r w:rsidR="00F64BAA">
        <w:t xml:space="preserve"> between government and non-government stakeholders</w:t>
      </w:r>
    </w:p>
    <w:p w14:paraId="39262E17" w14:textId="3E416FBB" w:rsidR="00F64BAA" w:rsidRDefault="00C57651" w:rsidP="006A6BCA">
      <w:pPr>
        <w:numPr>
          <w:ilvl w:val="0"/>
          <w:numId w:val="21"/>
        </w:numPr>
        <w:spacing w:line="240" w:lineRule="auto"/>
        <w:ind w:left="771" w:hanging="357"/>
      </w:pPr>
      <w:r>
        <w:t>s</w:t>
      </w:r>
      <w:r w:rsidR="00F64BAA">
        <w:t>ervices, programs, and initiatives which are underpinned by contemporary evidence</w:t>
      </w:r>
    </w:p>
    <w:p w14:paraId="08C2FF0D" w14:textId="5FCA0E39" w:rsidR="00F64BAA" w:rsidRPr="000936F3" w:rsidRDefault="00C57651" w:rsidP="006A6BCA">
      <w:pPr>
        <w:numPr>
          <w:ilvl w:val="0"/>
          <w:numId w:val="21"/>
        </w:numPr>
        <w:spacing w:line="240" w:lineRule="auto"/>
        <w:ind w:left="771" w:hanging="357"/>
      </w:pPr>
      <w:r>
        <w:t>t</w:t>
      </w:r>
      <w:r w:rsidR="00F64BAA">
        <w:t>he need to b</w:t>
      </w:r>
      <w:r w:rsidR="00F64BAA" w:rsidRPr="006C70C4">
        <w:t xml:space="preserve">uild clear evidence of the effectiveness and impact of </w:t>
      </w:r>
      <w:r w:rsidR="00F64BAA">
        <w:t>services/service models through validated evaluation methodology</w:t>
      </w:r>
    </w:p>
    <w:p w14:paraId="3BBF4F45" w14:textId="39DC47B6" w:rsidR="00F64BAA" w:rsidRDefault="00C57651" w:rsidP="006A6BCA">
      <w:pPr>
        <w:numPr>
          <w:ilvl w:val="0"/>
          <w:numId w:val="21"/>
        </w:numPr>
        <w:spacing w:line="240" w:lineRule="auto"/>
        <w:ind w:left="771" w:hanging="357"/>
      </w:pPr>
      <w:r>
        <w:t>a</w:t>
      </w:r>
      <w:r w:rsidR="00F64BAA">
        <w:t xml:space="preserve"> wide range of evidence is used to inform</w:t>
      </w:r>
      <w:r w:rsidR="000442CB">
        <w:t>, implement,</w:t>
      </w:r>
      <w:r w:rsidR="00F64BAA">
        <w:t xml:space="preserve"> and evaluate service delivery including notification data, quality of life indicators, demographic data, consumer experience data, testing </w:t>
      </w:r>
      <w:r w:rsidR="00F64BAA">
        <w:lastRenderedPageBreak/>
        <w:t>data, engagement scores, late diagnosis indicators, burden of disease data, vaccination rates, consumer self-reported health/behavioural/wellbeing data and self-reported health literacy data</w:t>
      </w:r>
    </w:p>
    <w:p w14:paraId="3550D0BA" w14:textId="241E58F9" w:rsidR="00F64BAA" w:rsidRDefault="00C57651" w:rsidP="006A6BCA">
      <w:pPr>
        <w:numPr>
          <w:ilvl w:val="0"/>
          <w:numId w:val="21"/>
        </w:numPr>
        <w:spacing w:line="240" w:lineRule="auto"/>
        <w:ind w:left="771" w:hanging="357"/>
      </w:pPr>
      <w:r>
        <w:t>h</w:t>
      </w:r>
      <w:r w:rsidR="00F64BAA">
        <w:t xml:space="preserve">igh level outcomes are identified and agreed upon for each </w:t>
      </w:r>
      <w:r w:rsidR="0044600B">
        <w:t xml:space="preserve">funded </w:t>
      </w:r>
      <w:r w:rsidR="00F64BAA">
        <w:t xml:space="preserve">program/service/initiative </w:t>
      </w:r>
    </w:p>
    <w:p w14:paraId="78642E0F" w14:textId="2A638FE9" w:rsidR="00F64BAA" w:rsidRDefault="00C57651" w:rsidP="006A6BCA">
      <w:pPr>
        <w:numPr>
          <w:ilvl w:val="0"/>
          <w:numId w:val="21"/>
        </w:numPr>
        <w:spacing w:line="240" w:lineRule="auto"/>
        <w:ind w:left="771" w:hanging="357"/>
      </w:pPr>
      <w:r>
        <w:t>c</w:t>
      </w:r>
      <w:r w:rsidR="00F64BAA">
        <w:t>ontractual reporting that is clearly linked to programmatic and health/wellbeing outcomes</w:t>
      </w:r>
    </w:p>
    <w:p w14:paraId="3647E205" w14:textId="0929632A" w:rsidR="00F64BAA" w:rsidRPr="004F290A" w:rsidRDefault="00C57651" w:rsidP="006A6BCA">
      <w:pPr>
        <w:numPr>
          <w:ilvl w:val="0"/>
          <w:numId w:val="21"/>
        </w:numPr>
        <w:spacing w:line="240" w:lineRule="auto"/>
        <w:ind w:left="771" w:hanging="357"/>
      </w:pPr>
      <w:r>
        <w:t>p</w:t>
      </w:r>
      <w:r w:rsidR="00F64BAA">
        <w:t>rogram outcomes which align with the ACT STIBBV Statement of Priorities, National Strategies and other key ACT policy documents including the Wellbeing Framework.</w:t>
      </w:r>
    </w:p>
    <w:p w14:paraId="511C6E82" w14:textId="5A8B55D7" w:rsidR="006C70C4" w:rsidRDefault="006C70C4" w:rsidP="006A6BCA">
      <w:pPr>
        <w:spacing w:line="240" w:lineRule="auto"/>
      </w:pPr>
      <w:r w:rsidRPr="006C70C4">
        <w:rPr>
          <w:szCs w:val="22"/>
        </w:rPr>
        <w:t xml:space="preserve">Further information on outcomes and key insights, and a record of outputs from the </w:t>
      </w:r>
      <w:r w:rsidR="002C1E67">
        <w:rPr>
          <w:szCs w:val="22"/>
        </w:rPr>
        <w:t>e</w:t>
      </w:r>
      <w:r w:rsidRPr="006C70C4">
        <w:rPr>
          <w:szCs w:val="22"/>
        </w:rPr>
        <w:t>ngagement</w:t>
      </w:r>
      <w:r w:rsidR="00997B8F">
        <w:rPr>
          <w:szCs w:val="22"/>
        </w:rPr>
        <w:t>,</w:t>
      </w:r>
      <w:r w:rsidRPr="006C70C4">
        <w:rPr>
          <w:szCs w:val="22"/>
        </w:rPr>
        <w:t xml:space="preserve"> can be found in the </w:t>
      </w:r>
      <w:hyperlink r:id="rId28" w:history="1">
        <w:r w:rsidRPr="00997B8F">
          <w:rPr>
            <w:rStyle w:val="Hyperlink"/>
            <w:szCs w:val="22"/>
          </w:rPr>
          <w:t xml:space="preserve">Final </w:t>
        </w:r>
        <w:r w:rsidR="001A35F7" w:rsidRPr="00997B8F">
          <w:rPr>
            <w:rStyle w:val="Hyperlink"/>
            <w:szCs w:val="22"/>
          </w:rPr>
          <w:t>Listening</w:t>
        </w:r>
        <w:r w:rsidRPr="00997B8F">
          <w:rPr>
            <w:rStyle w:val="Hyperlink"/>
            <w:szCs w:val="22"/>
          </w:rPr>
          <w:t xml:space="preserve"> Report</w:t>
        </w:r>
        <w:r w:rsidR="00997B8F" w:rsidRPr="00997B8F">
          <w:rPr>
            <w:rStyle w:val="Hyperlink"/>
            <w:szCs w:val="22"/>
          </w:rPr>
          <w:t xml:space="preserve"> – Commissioning in the STIBBV</w:t>
        </w:r>
      </w:hyperlink>
      <w:r w:rsidR="00997B8F">
        <w:rPr>
          <w:szCs w:val="22"/>
        </w:rPr>
        <w:t xml:space="preserve"> subsector document,</w:t>
      </w:r>
      <w:r w:rsidRPr="006C70C4">
        <w:rPr>
          <w:szCs w:val="22"/>
        </w:rPr>
        <w:t xml:space="preserve"> </w:t>
      </w:r>
      <w:r w:rsidR="00997B8F">
        <w:rPr>
          <w:szCs w:val="22"/>
        </w:rPr>
        <w:t xml:space="preserve">on the STIBBV </w:t>
      </w:r>
      <w:r w:rsidR="00AB004C">
        <w:rPr>
          <w:szCs w:val="22"/>
        </w:rPr>
        <w:t>C</w:t>
      </w:r>
      <w:r w:rsidRPr="006C70C4">
        <w:rPr>
          <w:szCs w:val="22"/>
        </w:rPr>
        <w:t>ommissioning website</w:t>
      </w:r>
      <w:r w:rsidR="00997B8F">
        <w:rPr>
          <w:szCs w:val="22"/>
        </w:rPr>
        <w:t>.</w:t>
      </w:r>
    </w:p>
    <w:p w14:paraId="79AD42C3" w14:textId="77777777" w:rsidR="00997B8F" w:rsidRPr="00195E7B" w:rsidRDefault="00997B8F" w:rsidP="00C57651">
      <w:pPr>
        <w:spacing w:line="240" w:lineRule="auto"/>
        <w:rPr>
          <w:szCs w:val="22"/>
        </w:rPr>
      </w:pPr>
    </w:p>
    <w:p w14:paraId="7F3FB080" w14:textId="441E31AA" w:rsidR="006C70C4" w:rsidRPr="005A3EF5" w:rsidRDefault="0044600B" w:rsidP="002C5317">
      <w:pPr>
        <w:pStyle w:val="Heading1"/>
      </w:pPr>
      <w:bookmarkStart w:id="15" w:name="_Toc117249105"/>
      <w:bookmarkStart w:id="16" w:name="_Toc144494379"/>
      <w:r w:rsidRPr="005A3EF5">
        <w:t>STIBBV commissioning investment</w:t>
      </w:r>
      <w:bookmarkEnd w:id="15"/>
      <w:bookmarkEnd w:id="16"/>
    </w:p>
    <w:p w14:paraId="513D9783" w14:textId="0DFD3FE8" w:rsidR="00E94A6B" w:rsidRPr="006C70C4" w:rsidRDefault="00E94A6B" w:rsidP="00C57651">
      <w:pPr>
        <w:spacing w:line="240" w:lineRule="auto"/>
        <w:rPr>
          <w:szCs w:val="22"/>
        </w:rPr>
      </w:pPr>
      <w:r>
        <w:t xml:space="preserve">The goal of the </w:t>
      </w:r>
      <w:r w:rsidR="00AB004C">
        <w:t xml:space="preserve">invest </w:t>
      </w:r>
      <w:r>
        <w:t xml:space="preserve">phase is to build on the insights drawn from collaborative engagements and provide direction for how ACTHD will invest in the subsector. </w:t>
      </w:r>
      <w:r w:rsidRPr="006C70C4">
        <w:rPr>
          <w:szCs w:val="22"/>
        </w:rPr>
        <w:t xml:space="preserve">Commissioning aims to provide greater funding certainty for </w:t>
      </w:r>
      <w:r>
        <w:rPr>
          <w:szCs w:val="22"/>
        </w:rPr>
        <w:t>the subs</w:t>
      </w:r>
      <w:r w:rsidRPr="006C70C4">
        <w:rPr>
          <w:szCs w:val="22"/>
        </w:rPr>
        <w:t>ector</w:t>
      </w:r>
      <w:r>
        <w:rPr>
          <w:szCs w:val="22"/>
        </w:rPr>
        <w:t xml:space="preserve"> while providing the opportunity to review increasing demand and changing needs according to the changing STIBBV </w:t>
      </w:r>
      <w:r w:rsidR="00997B8F">
        <w:rPr>
          <w:szCs w:val="22"/>
        </w:rPr>
        <w:t>epidemiology</w:t>
      </w:r>
      <w:r>
        <w:rPr>
          <w:szCs w:val="22"/>
        </w:rPr>
        <w:t>. ACTHD is aware that f</w:t>
      </w:r>
      <w:r w:rsidRPr="006C70C4">
        <w:rPr>
          <w:szCs w:val="22"/>
        </w:rPr>
        <w:t xml:space="preserve">unding certainty supports </w:t>
      </w:r>
      <w:r>
        <w:rPr>
          <w:szCs w:val="22"/>
        </w:rPr>
        <w:t>sector partners</w:t>
      </w:r>
      <w:r w:rsidRPr="006C70C4">
        <w:rPr>
          <w:szCs w:val="22"/>
        </w:rPr>
        <w:t xml:space="preserve"> to confidently employ ongoing staff, safely innovate and test new approaches to achieve outcomes for clients and respond flexibly to client needs while reporting on service outcomes rather than service outputs.</w:t>
      </w:r>
    </w:p>
    <w:p w14:paraId="42EA5D66" w14:textId="05269D1E" w:rsidR="00E94A6B" w:rsidRPr="008C7BF1" w:rsidRDefault="00E94A6B" w:rsidP="00C57651">
      <w:pPr>
        <w:spacing w:line="240" w:lineRule="auto"/>
        <w:rPr>
          <w:rFonts w:cs="Calibri"/>
          <w:szCs w:val="24"/>
        </w:rPr>
      </w:pPr>
      <w:r>
        <w:rPr>
          <w:szCs w:val="22"/>
        </w:rPr>
        <w:t xml:space="preserve">ACTHD </w:t>
      </w:r>
      <w:r w:rsidRPr="006C70C4">
        <w:rPr>
          <w:szCs w:val="22"/>
        </w:rPr>
        <w:t xml:space="preserve">intends to provide this certainty by entering </w:t>
      </w:r>
      <w:r>
        <w:rPr>
          <w:szCs w:val="22"/>
        </w:rPr>
        <w:t xml:space="preserve">into </w:t>
      </w:r>
      <w:r w:rsidRPr="006C70C4">
        <w:rPr>
          <w:szCs w:val="22"/>
        </w:rPr>
        <w:t xml:space="preserve">longer term </w:t>
      </w:r>
      <w:r>
        <w:rPr>
          <w:szCs w:val="22"/>
        </w:rPr>
        <w:t xml:space="preserve">funding arrangements with sector </w:t>
      </w:r>
      <w:r w:rsidR="00D057B5">
        <w:rPr>
          <w:szCs w:val="22"/>
        </w:rPr>
        <w:t>partners</w:t>
      </w:r>
      <w:r>
        <w:rPr>
          <w:szCs w:val="22"/>
        </w:rPr>
        <w:t>.</w:t>
      </w:r>
      <w:r w:rsidR="00D057B5">
        <w:rPr>
          <w:szCs w:val="22"/>
        </w:rPr>
        <w:t xml:space="preserve"> ACTHD are also transitioning from Service Funding Agreements to more grant arrangements. This will enable a greater degree of flexibility and innovation, which collectively</w:t>
      </w:r>
      <w:r w:rsidR="00283AB0">
        <w:rPr>
          <w:szCs w:val="22"/>
        </w:rPr>
        <w:t>,</w:t>
      </w:r>
      <w:r w:rsidR="00D057B5">
        <w:rPr>
          <w:szCs w:val="22"/>
        </w:rPr>
        <w:t xml:space="preserve"> will strengthen service delivery across the </w:t>
      </w:r>
      <w:r w:rsidR="00D057B5" w:rsidRPr="002817A0">
        <w:rPr>
          <w:szCs w:val="22"/>
        </w:rPr>
        <w:t>sector.</w:t>
      </w:r>
      <w:r w:rsidRPr="002817A0">
        <w:rPr>
          <w:szCs w:val="22"/>
        </w:rPr>
        <w:t xml:space="preserve"> While contract lengths may vary, many contractual arrangements will be extended across </w:t>
      </w:r>
      <w:r w:rsidR="00CD7BDF">
        <w:rPr>
          <w:szCs w:val="22"/>
        </w:rPr>
        <w:t>seven</w:t>
      </w:r>
      <w:r w:rsidRPr="002817A0">
        <w:rPr>
          <w:szCs w:val="22"/>
        </w:rPr>
        <w:t> years</w:t>
      </w:r>
      <w:r w:rsidR="00F07973">
        <w:rPr>
          <w:szCs w:val="22"/>
        </w:rPr>
        <w:t xml:space="preserve"> </w:t>
      </w:r>
      <w:r w:rsidR="00C305B1">
        <w:rPr>
          <w:szCs w:val="22"/>
        </w:rPr>
        <w:t>with possibility to extend for a further 3 years</w:t>
      </w:r>
      <w:r w:rsidR="00E76B09">
        <w:rPr>
          <w:szCs w:val="22"/>
        </w:rPr>
        <w:t>.</w:t>
      </w:r>
      <w:r w:rsidR="00C305B1">
        <w:rPr>
          <w:szCs w:val="22"/>
        </w:rPr>
        <w:t xml:space="preserve"> </w:t>
      </w:r>
      <w:r w:rsidRPr="006C70C4">
        <w:rPr>
          <w:szCs w:val="22"/>
        </w:rPr>
        <w:t xml:space="preserve"> </w:t>
      </w:r>
    </w:p>
    <w:p w14:paraId="106A5842" w14:textId="42CC8C7A" w:rsidR="002554E3" w:rsidRDefault="002554E3" w:rsidP="00C57651">
      <w:pPr>
        <w:spacing w:line="240" w:lineRule="auto"/>
        <w:rPr>
          <w:szCs w:val="22"/>
        </w:rPr>
      </w:pPr>
      <w:r>
        <w:rPr>
          <w:szCs w:val="22"/>
        </w:rPr>
        <w:t xml:space="preserve">A subsector briefing </w:t>
      </w:r>
      <w:r w:rsidR="00D057B5">
        <w:rPr>
          <w:szCs w:val="22"/>
        </w:rPr>
        <w:t xml:space="preserve">will be scheduled </w:t>
      </w:r>
      <w:r w:rsidR="00CD7BDF">
        <w:rPr>
          <w:szCs w:val="22"/>
        </w:rPr>
        <w:t>shortly after</w:t>
      </w:r>
      <w:r w:rsidR="00E76B09">
        <w:rPr>
          <w:szCs w:val="22"/>
        </w:rPr>
        <w:t xml:space="preserve"> the opening of the grants opportunity</w:t>
      </w:r>
      <w:r w:rsidR="00CD7BDF">
        <w:rPr>
          <w:szCs w:val="22"/>
        </w:rPr>
        <w:t xml:space="preserve"> </w:t>
      </w:r>
      <w:r w:rsidR="00F07973" w:rsidRPr="002C5317">
        <w:rPr>
          <w:szCs w:val="22"/>
        </w:rPr>
        <w:t>which</w:t>
      </w:r>
      <w:r w:rsidR="00D057B5">
        <w:rPr>
          <w:szCs w:val="22"/>
        </w:rPr>
        <w:t xml:space="preserve"> </w:t>
      </w:r>
      <w:r>
        <w:rPr>
          <w:szCs w:val="22"/>
        </w:rPr>
        <w:t>will</w:t>
      </w:r>
      <w:r w:rsidR="00D057B5">
        <w:rPr>
          <w:szCs w:val="22"/>
        </w:rPr>
        <w:t xml:space="preserve"> provide</w:t>
      </w:r>
      <w:r>
        <w:rPr>
          <w:szCs w:val="22"/>
        </w:rPr>
        <w:t xml:space="preserve"> further </w:t>
      </w:r>
      <w:r w:rsidR="00F07973">
        <w:rPr>
          <w:szCs w:val="22"/>
        </w:rPr>
        <w:t>clarification</w:t>
      </w:r>
      <w:r w:rsidR="00E76B09">
        <w:rPr>
          <w:szCs w:val="22"/>
        </w:rPr>
        <w:t xml:space="preserve"> on the forthcoming grant requirements and submission process.</w:t>
      </w:r>
      <w:r w:rsidR="00420450">
        <w:rPr>
          <w:szCs w:val="22"/>
        </w:rPr>
        <w:t xml:space="preserve"> As we </w:t>
      </w:r>
      <w:r w:rsidR="00D057B5">
        <w:rPr>
          <w:szCs w:val="22"/>
        </w:rPr>
        <w:t xml:space="preserve">progress </w:t>
      </w:r>
      <w:r w:rsidR="00420450">
        <w:rPr>
          <w:szCs w:val="22"/>
        </w:rPr>
        <w:t xml:space="preserve">through to the delivery phase of </w:t>
      </w:r>
      <w:r w:rsidR="00997B8F">
        <w:rPr>
          <w:szCs w:val="22"/>
        </w:rPr>
        <w:t>commissioning</w:t>
      </w:r>
      <w:r w:rsidR="00420450">
        <w:rPr>
          <w:szCs w:val="22"/>
        </w:rPr>
        <w:t xml:space="preserve">, continued Government and subsector collaboration will </w:t>
      </w:r>
      <w:r w:rsidR="00D057B5">
        <w:rPr>
          <w:szCs w:val="22"/>
        </w:rPr>
        <w:t xml:space="preserve">be crucial to </w:t>
      </w:r>
      <w:r w:rsidR="00CD7BDF">
        <w:rPr>
          <w:szCs w:val="22"/>
        </w:rPr>
        <w:t xml:space="preserve">update and </w:t>
      </w:r>
      <w:r w:rsidR="00D057B5">
        <w:rPr>
          <w:szCs w:val="22"/>
        </w:rPr>
        <w:t xml:space="preserve">address the priorities outlined in the Statement of Priorities and </w:t>
      </w:r>
      <w:r w:rsidR="00420450">
        <w:rPr>
          <w:szCs w:val="22"/>
        </w:rPr>
        <w:t xml:space="preserve">meet </w:t>
      </w:r>
      <w:r w:rsidR="00D057B5">
        <w:rPr>
          <w:szCs w:val="22"/>
        </w:rPr>
        <w:t xml:space="preserve">the </w:t>
      </w:r>
      <w:r w:rsidR="00420450">
        <w:rPr>
          <w:szCs w:val="22"/>
        </w:rPr>
        <w:t>outcomes</w:t>
      </w:r>
      <w:r w:rsidR="00D057B5">
        <w:rPr>
          <w:szCs w:val="22"/>
        </w:rPr>
        <w:t xml:space="preserve"> we have identified through the commissioning </w:t>
      </w:r>
      <w:r w:rsidR="00997B8F">
        <w:rPr>
          <w:szCs w:val="22"/>
        </w:rPr>
        <w:t>journey</w:t>
      </w:r>
      <w:r w:rsidR="00D057B5">
        <w:rPr>
          <w:szCs w:val="22"/>
        </w:rPr>
        <w:t>.</w:t>
      </w:r>
    </w:p>
    <w:p w14:paraId="19DB2B14" w14:textId="77777777" w:rsidR="00AE0B37" w:rsidRPr="006C70C4" w:rsidRDefault="00AE0B37" w:rsidP="00C57651">
      <w:pPr>
        <w:spacing w:line="240" w:lineRule="auto"/>
        <w:rPr>
          <w:szCs w:val="22"/>
        </w:rPr>
      </w:pPr>
    </w:p>
    <w:p w14:paraId="2B555547" w14:textId="1D45EAE8" w:rsidR="00B5509B" w:rsidRPr="005A3EF5" w:rsidRDefault="00632AB3" w:rsidP="002C5317">
      <w:pPr>
        <w:pStyle w:val="Heading1"/>
      </w:pPr>
      <w:bookmarkStart w:id="17" w:name="_STIBBV_investment_priorities"/>
      <w:bookmarkStart w:id="18" w:name="_Toc144494380"/>
      <w:bookmarkEnd w:id="17"/>
      <w:r w:rsidRPr="005A3EF5">
        <w:t>STIBBV investment</w:t>
      </w:r>
      <w:r w:rsidR="00E42817" w:rsidRPr="005A3EF5">
        <w:t xml:space="preserve"> priorities</w:t>
      </w:r>
      <w:bookmarkEnd w:id="18"/>
    </w:p>
    <w:p w14:paraId="2E9BC55B" w14:textId="1C85476C" w:rsidR="00997B8F" w:rsidRDefault="0025346C" w:rsidP="00C57651">
      <w:pPr>
        <w:spacing w:line="240" w:lineRule="auto"/>
        <w:rPr>
          <w:szCs w:val="24"/>
          <w:lang w:val="en-US"/>
        </w:rPr>
      </w:pPr>
      <w:r>
        <w:rPr>
          <w:szCs w:val="24"/>
          <w:lang w:val="en-US"/>
        </w:rPr>
        <w:t>T</w:t>
      </w:r>
      <w:r w:rsidRPr="0025346C">
        <w:rPr>
          <w:szCs w:val="24"/>
          <w:lang w:val="en-US"/>
        </w:rPr>
        <w:t>he current scope for commissioning will culminate in the final procurement of services which seek to reduce the burden of STIBBV as per the World Health Organization understanding of STIBBV</w:t>
      </w:r>
      <w:r w:rsidR="00997B8F">
        <w:rPr>
          <w:szCs w:val="24"/>
          <w:lang w:val="en-US"/>
        </w:rPr>
        <w:t>,</w:t>
      </w:r>
      <w:r w:rsidR="00997B8F" w:rsidRPr="0025346C">
        <w:rPr>
          <w:szCs w:val="24"/>
          <w:lang w:val="en-US"/>
        </w:rPr>
        <w:t xml:space="preserve"> </w:t>
      </w:r>
    </w:p>
    <w:p w14:paraId="5E748A4C" w14:textId="1B412E59" w:rsidR="0025346C" w:rsidRPr="0025346C" w:rsidRDefault="0025346C" w:rsidP="00E9709E">
      <w:pPr>
        <w:spacing w:line="240" w:lineRule="auto"/>
        <w:ind w:left="720"/>
        <w:rPr>
          <w:szCs w:val="24"/>
        </w:rPr>
      </w:pPr>
      <w:r w:rsidRPr="0025346C">
        <w:rPr>
          <w:rFonts w:asciiTheme="minorHAnsi" w:eastAsiaTheme="minorEastAsia" w:cstheme="minorBidi"/>
          <w:i/>
          <w:iCs/>
          <w:kern w:val="24"/>
          <w:szCs w:val="24"/>
        </w:rPr>
        <w:t xml:space="preserve">‘infections which are spread through unprotected sexual contact and through contact with infected blood and blood products. Some STIs and BBVs can also be transmitted from mother to infant during </w:t>
      </w:r>
      <w:r w:rsidRPr="0025346C">
        <w:rPr>
          <w:szCs w:val="24"/>
        </w:rPr>
        <w:t>pregnancy and childbirth.’</w:t>
      </w:r>
    </w:p>
    <w:p w14:paraId="3BFD5422" w14:textId="51268C31" w:rsidR="00574479" w:rsidRPr="0019743A" w:rsidRDefault="00E42817" w:rsidP="006A6BCA">
      <w:pPr>
        <w:spacing w:line="240" w:lineRule="auto"/>
      </w:pPr>
      <w:r>
        <w:rPr>
          <w:szCs w:val="22"/>
        </w:rPr>
        <w:t xml:space="preserve">Priorities for </w:t>
      </w:r>
      <w:r w:rsidR="0026458F">
        <w:rPr>
          <w:szCs w:val="22"/>
        </w:rPr>
        <w:t>STIBBV commissioning</w:t>
      </w:r>
      <w:r w:rsidR="007143B0">
        <w:rPr>
          <w:szCs w:val="22"/>
        </w:rPr>
        <w:t xml:space="preserve"> investment</w:t>
      </w:r>
      <w:r w:rsidR="0026458F">
        <w:rPr>
          <w:szCs w:val="22"/>
        </w:rPr>
        <w:t xml:space="preserve"> include </w:t>
      </w:r>
      <w:r w:rsidR="006B036A">
        <w:rPr>
          <w:szCs w:val="22"/>
        </w:rPr>
        <w:t>activities in</w:t>
      </w:r>
      <w:r w:rsidR="0026458F">
        <w:rPr>
          <w:szCs w:val="22"/>
        </w:rPr>
        <w:t xml:space="preserve"> service categories listed below for the purposes of reducing the transmission, burden and social impact of </w:t>
      </w:r>
      <w:r w:rsidR="006B036A">
        <w:rPr>
          <w:szCs w:val="22"/>
        </w:rPr>
        <w:t>STIBBV.</w:t>
      </w:r>
      <w:r w:rsidR="006B1A4F">
        <w:rPr>
          <w:szCs w:val="22"/>
        </w:rPr>
        <w:t xml:space="preserve"> </w:t>
      </w:r>
      <w:r w:rsidR="00DE4657" w:rsidRPr="0019743A">
        <w:t xml:space="preserve">Services will be commissioned </w:t>
      </w:r>
      <w:r w:rsidR="00DE4657" w:rsidRPr="0019743A">
        <w:lastRenderedPageBreak/>
        <w:t>to re</w:t>
      </w:r>
      <w:r w:rsidR="001E45A3" w:rsidRPr="0019743A">
        <w:t xml:space="preserve">flect </w:t>
      </w:r>
      <w:r w:rsidR="006E546F" w:rsidRPr="0019743A">
        <w:t xml:space="preserve">the policy and legislative goals and requirements outlined </w:t>
      </w:r>
      <w:r w:rsidR="00574479" w:rsidRPr="0019743A">
        <w:t xml:space="preserve">in the Hepatitis B, Hepatitis C, HIV and Sexually transmissible Infections: ACT Statement of Priorities and the overarching </w:t>
      </w:r>
      <w:hyperlink r:id="rId29" w:history="1">
        <w:r w:rsidR="00997B8F" w:rsidRPr="0019743A">
          <w:rPr>
            <w:rStyle w:val="Hyperlink"/>
            <w:szCs w:val="22"/>
          </w:rPr>
          <w:t>National strategies</w:t>
        </w:r>
      </w:hyperlink>
      <w:r w:rsidR="00726017" w:rsidRPr="00935B45">
        <w:rPr>
          <w:rStyle w:val="FootnoteReference"/>
          <w:color w:val="0563C1" w:themeColor="hyperlink"/>
          <w:u w:val="single"/>
        </w:rPr>
        <w:footnoteReference w:id="28"/>
      </w:r>
      <w:r w:rsidR="00D96206">
        <w:rPr>
          <w:rStyle w:val="Hyperlink"/>
        </w:rPr>
        <w:t>:</w:t>
      </w:r>
    </w:p>
    <w:p w14:paraId="68182CF2" w14:textId="56DC3F78" w:rsidR="00574479" w:rsidRDefault="00DF26C1" w:rsidP="006A6BCA">
      <w:pPr>
        <w:pStyle w:val="ListParagraph"/>
        <w:numPr>
          <w:ilvl w:val="0"/>
          <w:numId w:val="33"/>
        </w:numPr>
        <w:spacing w:line="240" w:lineRule="auto"/>
        <w:contextualSpacing w:val="0"/>
        <w:rPr>
          <w:szCs w:val="22"/>
        </w:rPr>
      </w:pPr>
      <w:hyperlink r:id="rId30" w:history="1">
        <w:r w:rsidR="00574479" w:rsidRPr="00283AB0">
          <w:rPr>
            <w:rStyle w:val="Hyperlink"/>
            <w:szCs w:val="22"/>
          </w:rPr>
          <w:t>National Hepatitis B Strategy</w:t>
        </w:r>
      </w:hyperlink>
      <w:r w:rsidR="00574479">
        <w:rPr>
          <w:szCs w:val="22"/>
        </w:rPr>
        <w:t xml:space="preserve"> </w:t>
      </w:r>
    </w:p>
    <w:p w14:paraId="09057F31" w14:textId="573BC1FC" w:rsidR="00574479" w:rsidRDefault="00DF26C1" w:rsidP="006A6BCA">
      <w:pPr>
        <w:pStyle w:val="ListParagraph"/>
        <w:numPr>
          <w:ilvl w:val="0"/>
          <w:numId w:val="33"/>
        </w:numPr>
        <w:spacing w:line="240" w:lineRule="auto"/>
        <w:contextualSpacing w:val="0"/>
        <w:rPr>
          <w:szCs w:val="22"/>
        </w:rPr>
      </w:pPr>
      <w:hyperlink r:id="rId31" w:history="1">
        <w:r w:rsidR="00574479" w:rsidRPr="00283AB0">
          <w:rPr>
            <w:rStyle w:val="Hyperlink"/>
            <w:szCs w:val="22"/>
          </w:rPr>
          <w:t>National Hepatitis C Strategy</w:t>
        </w:r>
      </w:hyperlink>
      <w:r w:rsidR="00574479">
        <w:rPr>
          <w:szCs w:val="22"/>
        </w:rPr>
        <w:t xml:space="preserve"> </w:t>
      </w:r>
    </w:p>
    <w:p w14:paraId="01FC5CFA" w14:textId="225CF766" w:rsidR="00574479" w:rsidRDefault="00DF26C1" w:rsidP="006A6BCA">
      <w:pPr>
        <w:pStyle w:val="ListParagraph"/>
        <w:numPr>
          <w:ilvl w:val="0"/>
          <w:numId w:val="33"/>
        </w:numPr>
        <w:spacing w:line="240" w:lineRule="auto"/>
        <w:contextualSpacing w:val="0"/>
        <w:rPr>
          <w:szCs w:val="22"/>
        </w:rPr>
      </w:pPr>
      <w:hyperlink r:id="rId32" w:history="1">
        <w:r w:rsidR="00574479" w:rsidRPr="00283AB0">
          <w:rPr>
            <w:rStyle w:val="Hyperlink"/>
            <w:szCs w:val="22"/>
          </w:rPr>
          <w:t>National HIV Strategy</w:t>
        </w:r>
      </w:hyperlink>
      <w:r w:rsidR="00574479">
        <w:rPr>
          <w:szCs w:val="22"/>
        </w:rPr>
        <w:t xml:space="preserve"> </w:t>
      </w:r>
    </w:p>
    <w:p w14:paraId="6F383790" w14:textId="0BC47E49" w:rsidR="00574479" w:rsidRPr="00935B45" w:rsidRDefault="00DF26C1" w:rsidP="006A6BCA">
      <w:pPr>
        <w:pStyle w:val="ListParagraph"/>
        <w:numPr>
          <w:ilvl w:val="0"/>
          <w:numId w:val="33"/>
        </w:numPr>
        <w:spacing w:line="240" w:lineRule="auto"/>
        <w:contextualSpacing w:val="0"/>
        <w:rPr>
          <w:rStyle w:val="Hyperlink"/>
          <w:color w:val="auto"/>
          <w:u w:val="none"/>
        </w:rPr>
      </w:pPr>
      <w:hyperlink r:id="rId33" w:history="1">
        <w:r w:rsidR="00574479" w:rsidRPr="001360BF">
          <w:rPr>
            <w:rStyle w:val="Hyperlink"/>
            <w:szCs w:val="22"/>
          </w:rPr>
          <w:t>National Aboriginal and Torres Strait Islander BBV and STI Strategy</w:t>
        </w:r>
      </w:hyperlink>
    </w:p>
    <w:p w14:paraId="1E864805" w14:textId="73455CC9" w:rsidR="009638C0" w:rsidRDefault="00DF26C1" w:rsidP="006A6BCA">
      <w:pPr>
        <w:pStyle w:val="ListParagraph"/>
        <w:numPr>
          <w:ilvl w:val="0"/>
          <w:numId w:val="33"/>
        </w:numPr>
        <w:spacing w:line="240" w:lineRule="auto"/>
        <w:contextualSpacing w:val="0"/>
        <w:rPr>
          <w:szCs w:val="22"/>
        </w:rPr>
      </w:pPr>
      <w:hyperlink r:id="rId34" w:history="1">
        <w:r w:rsidR="009638C0" w:rsidRPr="009638C0">
          <w:rPr>
            <w:rStyle w:val="Hyperlink"/>
            <w:szCs w:val="22"/>
          </w:rPr>
          <w:t>National Sexually Transmissible Infections Strategy</w:t>
        </w:r>
      </w:hyperlink>
    </w:p>
    <w:p w14:paraId="767C8091" w14:textId="27CED910" w:rsidR="00E9709E" w:rsidRDefault="00DF26C1" w:rsidP="006A6BCA">
      <w:pPr>
        <w:pStyle w:val="ListParagraph"/>
        <w:numPr>
          <w:ilvl w:val="0"/>
          <w:numId w:val="33"/>
        </w:numPr>
        <w:spacing w:line="240" w:lineRule="auto"/>
        <w:contextualSpacing w:val="0"/>
        <w:rPr>
          <w:szCs w:val="22"/>
        </w:rPr>
      </w:pPr>
      <w:hyperlink r:id="rId35" w:history="1">
        <w:r w:rsidR="00574479" w:rsidRPr="00E9709E">
          <w:rPr>
            <w:rStyle w:val="Hyperlink"/>
            <w:szCs w:val="22"/>
          </w:rPr>
          <w:t>National</w:t>
        </w:r>
        <w:r w:rsidR="00574479" w:rsidRPr="00E9709E">
          <w:rPr>
            <w:rStyle w:val="Hyperlink"/>
            <w:i/>
            <w:iCs/>
            <w:szCs w:val="22"/>
          </w:rPr>
          <w:t xml:space="preserve"> </w:t>
        </w:r>
        <w:r w:rsidR="00E9709E" w:rsidRPr="00E9709E">
          <w:rPr>
            <w:rStyle w:val="Hyperlink"/>
            <w:i/>
            <w:iCs/>
            <w:szCs w:val="22"/>
          </w:rPr>
          <w:t>Health Act 1953</w:t>
        </w:r>
      </w:hyperlink>
      <w:r w:rsidR="00030ECD">
        <w:rPr>
          <w:szCs w:val="22"/>
        </w:rPr>
        <w:t xml:space="preserve"> </w:t>
      </w:r>
    </w:p>
    <w:p w14:paraId="3383D8EB" w14:textId="5B6648CE" w:rsidR="00AF08FE" w:rsidRPr="00AF08FE" w:rsidRDefault="00DF26C1" w:rsidP="006A6BCA">
      <w:pPr>
        <w:pStyle w:val="ListParagraph"/>
        <w:numPr>
          <w:ilvl w:val="0"/>
          <w:numId w:val="33"/>
        </w:numPr>
        <w:spacing w:line="240" w:lineRule="auto"/>
        <w:contextualSpacing w:val="0"/>
        <w:rPr>
          <w:szCs w:val="22"/>
        </w:rPr>
      </w:pPr>
      <w:hyperlink r:id="rId36" w:history="1">
        <w:r w:rsidR="00030ECD" w:rsidRPr="00E9709E">
          <w:rPr>
            <w:rStyle w:val="Hyperlink"/>
            <w:szCs w:val="22"/>
          </w:rPr>
          <w:t xml:space="preserve">National </w:t>
        </w:r>
        <w:r w:rsidR="00030ECD" w:rsidRPr="00E9709E">
          <w:rPr>
            <w:rStyle w:val="Hyperlink"/>
            <w:i/>
            <w:iCs/>
            <w:szCs w:val="22"/>
          </w:rPr>
          <w:t>Health (Highly specialised drugs program) Special Arrangement 2010</w:t>
        </w:r>
      </w:hyperlink>
      <w:r w:rsidR="00030ECD" w:rsidRPr="00030ECD">
        <w:rPr>
          <w:i/>
          <w:iCs/>
          <w:szCs w:val="22"/>
        </w:rPr>
        <w:t xml:space="preserve"> </w:t>
      </w:r>
      <w:r w:rsidR="00E9709E">
        <w:rPr>
          <w:i/>
          <w:iCs/>
          <w:szCs w:val="22"/>
        </w:rPr>
        <w:t>(</w:t>
      </w:r>
      <w:r w:rsidR="00030ECD">
        <w:rPr>
          <w:szCs w:val="22"/>
        </w:rPr>
        <w:t>for the provision of s100 highly specialised drugs</w:t>
      </w:r>
      <w:r w:rsidR="00E9709E">
        <w:rPr>
          <w:szCs w:val="22"/>
        </w:rPr>
        <w:t>).</w:t>
      </w:r>
    </w:p>
    <w:p w14:paraId="3D2E42B8" w14:textId="75A60988" w:rsidR="00A444F9" w:rsidRPr="0025346C" w:rsidRDefault="0025346C" w:rsidP="0025346C">
      <w:pPr>
        <w:tabs>
          <w:tab w:val="left" w:pos="709"/>
        </w:tabs>
        <w:spacing w:before="120" w:after="0" w:line="240" w:lineRule="auto"/>
        <w:rPr>
          <w:rFonts w:asciiTheme="majorHAnsi" w:eastAsiaTheme="minorHAnsi" w:hAnsiTheme="majorHAnsi" w:cs="Calibri"/>
          <w:color w:val="7030A0"/>
          <w:sz w:val="28"/>
          <w:szCs w:val="22"/>
        </w:rPr>
      </w:pPr>
      <w:r w:rsidRPr="0025346C">
        <w:rPr>
          <w:rFonts w:asciiTheme="majorHAnsi" w:eastAsiaTheme="minorHAnsi" w:hAnsiTheme="majorHAnsi" w:cs="Calibri"/>
          <w:color w:val="7030A0"/>
          <w:sz w:val="28"/>
          <w:szCs w:val="22"/>
        </w:rPr>
        <w:t xml:space="preserve">Future arrangements for </w:t>
      </w:r>
      <w:r>
        <w:rPr>
          <w:rFonts w:asciiTheme="majorHAnsi" w:eastAsiaTheme="minorHAnsi" w:hAnsiTheme="majorHAnsi" w:cs="Calibri"/>
          <w:color w:val="7030A0"/>
          <w:sz w:val="28"/>
          <w:szCs w:val="22"/>
        </w:rPr>
        <w:t>out-of-scope services</w:t>
      </w:r>
      <w:r w:rsidRPr="0025346C">
        <w:rPr>
          <w:rFonts w:asciiTheme="majorHAnsi" w:eastAsiaTheme="minorHAnsi" w:hAnsiTheme="majorHAnsi" w:cs="Calibri"/>
          <w:color w:val="7030A0"/>
          <w:sz w:val="28"/>
          <w:szCs w:val="22"/>
        </w:rPr>
        <w:t xml:space="preserve"> </w:t>
      </w:r>
    </w:p>
    <w:p w14:paraId="3567313A" w14:textId="09A7AF62" w:rsidR="0025346C" w:rsidRDefault="0025346C" w:rsidP="00C57651">
      <w:pPr>
        <w:spacing w:line="240" w:lineRule="auto"/>
        <w:rPr>
          <w:szCs w:val="22"/>
        </w:rPr>
      </w:pPr>
      <w:r>
        <w:rPr>
          <w:szCs w:val="22"/>
        </w:rPr>
        <w:t>Sexual</w:t>
      </w:r>
      <w:r w:rsidR="003C6114">
        <w:rPr>
          <w:szCs w:val="22"/>
        </w:rPr>
        <w:t xml:space="preserve"> and reproductive</w:t>
      </w:r>
      <w:r>
        <w:rPr>
          <w:szCs w:val="22"/>
        </w:rPr>
        <w:t xml:space="preserve"> health services</w:t>
      </w:r>
      <w:r>
        <w:t xml:space="preserve"> that are currently funded from the existing providers but out-of-scope for </w:t>
      </w:r>
      <w:r w:rsidR="005C005B">
        <w:t xml:space="preserve">the STIVBBV investment priorities </w:t>
      </w:r>
      <w:r>
        <w:t>will continue to be funded through</w:t>
      </w:r>
      <w:r w:rsidR="00460D3C">
        <w:t xml:space="preserve"> temporary </w:t>
      </w:r>
      <w:r w:rsidR="005B7095">
        <w:t xml:space="preserve">arrangements until </w:t>
      </w:r>
      <w:r w:rsidR="00CD7BDF">
        <w:t xml:space="preserve">at least </w:t>
      </w:r>
      <w:r w:rsidR="005B7095">
        <w:t>June 2025</w:t>
      </w:r>
      <w:r>
        <w:t xml:space="preserve"> to ensure continuity of these essential services. Future funding will be subject to </w:t>
      </w:r>
      <w:r w:rsidR="00E9709E">
        <w:t>ongoing discussion across Government</w:t>
      </w:r>
      <w:r>
        <w:t xml:space="preserve">. </w:t>
      </w:r>
    </w:p>
    <w:p w14:paraId="5BF246CF" w14:textId="015EBD04" w:rsidR="0025346C" w:rsidRPr="0025346C" w:rsidRDefault="0025346C" w:rsidP="0025346C">
      <w:pPr>
        <w:tabs>
          <w:tab w:val="left" w:pos="709"/>
        </w:tabs>
        <w:spacing w:before="120" w:after="0" w:line="240" w:lineRule="auto"/>
        <w:rPr>
          <w:rFonts w:asciiTheme="majorHAnsi" w:eastAsiaTheme="minorHAnsi" w:hAnsiTheme="majorHAnsi" w:cs="Calibri"/>
          <w:color w:val="7030A0"/>
          <w:sz w:val="28"/>
          <w:szCs w:val="22"/>
        </w:rPr>
      </w:pPr>
      <w:r w:rsidRPr="0025346C">
        <w:rPr>
          <w:rFonts w:asciiTheme="majorHAnsi" w:eastAsiaTheme="minorHAnsi" w:hAnsiTheme="majorHAnsi" w:cs="Calibri"/>
          <w:color w:val="7030A0"/>
          <w:sz w:val="28"/>
          <w:szCs w:val="22"/>
        </w:rPr>
        <w:t>Services categories for investment</w:t>
      </w:r>
    </w:p>
    <w:p w14:paraId="1E57D5B3" w14:textId="282149BB" w:rsidR="007B63DB" w:rsidRDefault="00AF08FE" w:rsidP="00C57651">
      <w:pPr>
        <w:spacing w:line="240" w:lineRule="auto"/>
        <w:rPr>
          <w:szCs w:val="22"/>
        </w:rPr>
      </w:pPr>
      <w:r>
        <w:rPr>
          <w:szCs w:val="22"/>
        </w:rPr>
        <w:t xml:space="preserve">The table below is informed by the current service offering within the subsector. Commissioning investment </w:t>
      </w:r>
      <w:r w:rsidR="00460D3C">
        <w:rPr>
          <w:szCs w:val="22"/>
        </w:rPr>
        <w:t xml:space="preserve">is intended to </w:t>
      </w:r>
      <w:r w:rsidR="00CD7BDF">
        <w:rPr>
          <w:szCs w:val="22"/>
        </w:rPr>
        <w:t>provide an opportunity for</w:t>
      </w:r>
      <w:r>
        <w:rPr>
          <w:szCs w:val="22"/>
        </w:rPr>
        <w:t xml:space="preserve"> </w:t>
      </w:r>
      <w:r w:rsidR="000372C7">
        <w:rPr>
          <w:szCs w:val="22"/>
        </w:rPr>
        <w:t xml:space="preserve">effective </w:t>
      </w:r>
      <w:r>
        <w:rPr>
          <w:szCs w:val="22"/>
        </w:rPr>
        <w:t>distribution of funding across these service categories and across the portfolio of STIBBV disease/transmission areas (i.e.</w:t>
      </w:r>
      <w:r w:rsidR="000345C7">
        <w:rPr>
          <w:szCs w:val="22"/>
        </w:rPr>
        <w:t xml:space="preserve"> hepatitis B</w:t>
      </w:r>
      <w:r w:rsidR="00E9709E">
        <w:rPr>
          <w:szCs w:val="22"/>
        </w:rPr>
        <w:t>,</w:t>
      </w:r>
      <w:r>
        <w:rPr>
          <w:szCs w:val="22"/>
        </w:rPr>
        <w:t xml:space="preserve"> </w:t>
      </w:r>
      <w:r w:rsidR="000345C7">
        <w:rPr>
          <w:szCs w:val="22"/>
        </w:rPr>
        <w:t>hepatitis C</w:t>
      </w:r>
      <w:r>
        <w:rPr>
          <w:szCs w:val="22"/>
        </w:rPr>
        <w:t>, HIV, STI) and target population groups.</w:t>
      </w:r>
    </w:p>
    <w:tbl>
      <w:tblPr>
        <w:tblStyle w:val="TableGrid"/>
        <w:tblW w:w="93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716"/>
      </w:tblGrid>
      <w:tr w:rsidR="007B63DB" w:rsidRPr="00F54A72" w14:paraId="22899857" w14:textId="77777777" w:rsidTr="0023064E">
        <w:trPr>
          <w:trHeight w:val="521"/>
          <w:tblHeader/>
        </w:trPr>
        <w:tc>
          <w:tcPr>
            <w:tcW w:w="2586" w:type="dxa"/>
            <w:tcBorders>
              <w:bottom w:val="single" w:sz="4" w:space="0" w:color="auto"/>
              <w:right w:val="single" w:sz="4" w:space="0" w:color="FFFFFF" w:themeColor="background1"/>
            </w:tcBorders>
            <w:shd w:val="clear" w:color="auto" w:fill="7030A0"/>
          </w:tcPr>
          <w:p w14:paraId="4064FE61" w14:textId="461D0D1D" w:rsidR="007B63DB" w:rsidRPr="00F54A72" w:rsidRDefault="000131D6" w:rsidP="00C57651">
            <w:pPr>
              <w:pStyle w:val="Tableheaderreverse"/>
              <w:spacing w:before="120" w:after="120"/>
              <w:rPr>
                <w:sz w:val="22"/>
                <w:szCs w:val="22"/>
              </w:rPr>
            </w:pPr>
            <w:r>
              <w:rPr>
                <w:sz w:val="22"/>
                <w:szCs w:val="22"/>
              </w:rPr>
              <w:t xml:space="preserve">Service </w:t>
            </w:r>
            <w:r w:rsidR="0039726A">
              <w:rPr>
                <w:sz w:val="22"/>
                <w:szCs w:val="22"/>
              </w:rPr>
              <w:t>c</w:t>
            </w:r>
            <w:r>
              <w:rPr>
                <w:sz w:val="22"/>
                <w:szCs w:val="22"/>
              </w:rPr>
              <w:t>ategories</w:t>
            </w:r>
          </w:p>
        </w:tc>
        <w:tc>
          <w:tcPr>
            <w:tcW w:w="6716" w:type="dxa"/>
            <w:tcBorders>
              <w:left w:val="single" w:sz="4" w:space="0" w:color="FFFFFF" w:themeColor="background1"/>
              <w:bottom w:val="single" w:sz="4" w:space="0" w:color="auto"/>
              <w:right w:val="single" w:sz="4" w:space="0" w:color="FFFFFF" w:themeColor="background1"/>
            </w:tcBorders>
            <w:shd w:val="clear" w:color="auto" w:fill="7030A0"/>
          </w:tcPr>
          <w:p w14:paraId="7D7F9525" w14:textId="77777777" w:rsidR="007B63DB" w:rsidRPr="00F54A72" w:rsidRDefault="007B63DB" w:rsidP="00C57651">
            <w:pPr>
              <w:pStyle w:val="Tableheaderreverse"/>
              <w:spacing w:before="120" w:after="120"/>
              <w:rPr>
                <w:sz w:val="22"/>
                <w:szCs w:val="22"/>
              </w:rPr>
            </w:pPr>
            <w:r w:rsidRPr="00F54A72">
              <w:rPr>
                <w:sz w:val="22"/>
                <w:szCs w:val="22"/>
              </w:rPr>
              <w:t>Descriptor</w:t>
            </w:r>
          </w:p>
        </w:tc>
      </w:tr>
      <w:tr w:rsidR="007B63DB" w:rsidRPr="00FD7F55" w14:paraId="120CA769" w14:textId="77777777">
        <w:trPr>
          <w:trHeight w:val="504"/>
        </w:trPr>
        <w:tc>
          <w:tcPr>
            <w:tcW w:w="2586" w:type="dxa"/>
            <w:tcBorders>
              <w:top w:val="single" w:sz="4" w:space="0" w:color="auto"/>
              <w:bottom w:val="single" w:sz="4" w:space="0" w:color="auto"/>
            </w:tcBorders>
          </w:tcPr>
          <w:p w14:paraId="13A60AAA" w14:textId="77777777" w:rsidR="007B63DB" w:rsidRPr="00984678" w:rsidRDefault="007B63DB" w:rsidP="00C57651">
            <w:pPr>
              <w:spacing w:before="120" w:after="120" w:line="240" w:lineRule="auto"/>
              <w:rPr>
                <w:b/>
                <w:bCs/>
              </w:rPr>
            </w:pPr>
            <w:r w:rsidRPr="006D5B70">
              <w:rPr>
                <w:b/>
                <w:bCs/>
              </w:rPr>
              <w:t xml:space="preserve">Clinical services </w:t>
            </w:r>
          </w:p>
          <w:p w14:paraId="63F3D30E" w14:textId="77777777" w:rsidR="007B63DB" w:rsidRPr="00984678" w:rsidRDefault="007B63DB" w:rsidP="00C57651">
            <w:pPr>
              <w:spacing w:before="120" w:after="120" w:line="240" w:lineRule="auto"/>
              <w:rPr>
                <w:rFonts w:cs="Calibri"/>
                <w:color w:val="000000"/>
              </w:rPr>
            </w:pPr>
          </w:p>
        </w:tc>
        <w:tc>
          <w:tcPr>
            <w:tcW w:w="6716" w:type="dxa"/>
            <w:tcBorders>
              <w:top w:val="single" w:sz="4" w:space="0" w:color="auto"/>
              <w:bottom w:val="single" w:sz="4" w:space="0" w:color="auto"/>
            </w:tcBorders>
          </w:tcPr>
          <w:p w14:paraId="1BF49BE0" w14:textId="77777777" w:rsidR="007B63DB" w:rsidRPr="00FD7F55" w:rsidRDefault="007B63DB" w:rsidP="00C57651">
            <w:pPr>
              <w:pStyle w:val="ListParagraph"/>
              <w:numPr>
                <w:ilvl w:val="0"/>
                <w:numId w:val="31"/>
              </w:numPr>
              <w:spacing w:before="120" w:after="120" w:line="240" w:lineRule="auto"/>
              <w:contextualSpacing w:val="0"/>
            </w:pPr>
            <w:r w:rsidRPr="006D5B70">
              <w:t>The</w:t>
            </w:r>
            <w:r w:rsidRPr="00984678">
              <w:rPr>
                <w:rFonts w:cs="Calibri"/>
                <w:color w:val="000000"/>
              </w:rPr>
              <w:t xml:space="preserve"> provision of </w:t>
            </w:r>
            <w:r>
              <w:rPr>
                <w:rFonts w:cs="Calibri"/>
                <w:color w:val="000000"/>
              </w:rPr>
              <w:t xml:space="preserve">socially and culturally appropriate </w:t>
            </w:r>
            <w:r w:rsidRPr="00984678">
              <w:rPr>
                <w:rFonts w:cs="Calibri"/>
                <w:color w:val="000000"/>
              </w:rPr>
              <w:t xml:space="preserve">health and medical services including testing, diagnosis, treatment, monitoring, and care of people with </w:t>
            </w:r>
            <w:r>
              <w:t xml:space="preserve">hepatitis B, hepatitis C, HIV and STIs. </w:t>
            </w:r>
          </w:p>
        </w:tc>
      </w:tr>
      <w:tr w:rsidR="007B63DB" w:rsidRPr="00342248" w14:paraId="756A33C7" w14:textId="77777777">
        <w:trPr>
          <w:trHeight w:val="504"/>
        </w:trPr>
        <w:tc>
          <w:tcPr>
            <w:tcW w:w="2586" w:type="dxa"/>
            <w:tcBorders>
              <w:top w:val="single" w:sz="4" w:space="0" w:color="auto"/>
              <w:bottom w:val="single" w:sz="4" w:space="0" w:color="auto"/>
            </w:tcBorders>
          </w:tcPr>
          <w:p w14:paraId="0A7F221E" w14:textId="77777777" w:rsidR="007B63DB" w:rsidRPr="00FD7F55" w:rsidRDefault="007B63DB" w:rsidP="00C57651">
            <w:pPr>
              <w:spacing w:before="120" w:after="120" w:line="240" w:lineRule="auto"/>
              <w:rPr>
                <w:b/>
                <w:bCs/>
              </w:rPr>
            </w:pPr>
            <w:r w:rsidRPr="00984678">
              <w:rPr>
                <w:b/>
                <w:bCs/>
              </w:rPr>
              <w:t>Prevention and harm reduction</w:t>
            </w:r>
          </w:p>
        </w:tc>
        <w:tc>
          <w:tcPr>
            <w:tcW w:w="6716" w:type="dxa"/>
            <w:tcBorders>
              <w:top w:val="single" w:sz="4" w:space="0" w:color="auto"/>
              <w:bottom w:val="single" w:sz="4" w:space="0" w:color="auto"/>
            </w:tcBorders>
          </w:tcPr>
          <w:p w14:paraId="65DC9445" w14:textId="77777777" w:rsidR="00051BE5" w:rsidRDefault="007B63DB" w:rsidP="00051BE5">
            <w:pPr>
              <w:pStyle w:val="ListParagraph"/>
              <w:numPr>
                <w:ilvl w:val="0"/>
                <w:numId w:val="32"/>
              </w:numPr>
              <w:spacing w:before="120" w:after="120" w:line="240" w:lineRule="auto"/>
              <w:ind w:left="318" w:hanging="318"/>
              <w:contextualSpacing w:val="0"/>
              <w:rPr>
                <w:rFonts w:cs="Calibri"/>
                <w:color w:val="000000"/>
              </w:rPr>
            </w:pPr>
            <w:r w:rsidRPr="00342248">
              <w:rPr>
                <w:rFonts w:cs="Calibri"/>
                <w:color w:val="000000"/>
              </w:rPr>
              <w:t xml:space="preserve">Activities that provide broad and equitable access to various means/resources of </w:t>
            </w:r>
            <w:r>
              <w:t xml:space="preserve">hepatitis B, hepatitis C, HIV and STI </w:t>
            </w:r>
            <w:r w:rsidRPr="00342248">
              <w:rPr>
                <w:rFonts w:cs="Calibri"/>
                <w:color w:val="000000"/>
              </w:rPr>
              <w:t>prevention</w:t>
            </w:r>
            <w:r>
              <w:rPr>
                <w:rFonts w:cs="Calibri"/>
                <w:color w:val="000000"/>
              </w:rPr>
              <w:t>, including pre-exposure prophylaxis (PrEP) and post exposure prophylaxis (PEP), sterile injecting equipment</w:t>
            </w:r>
            <w:r w:rsidR="00051BE5">
              <w:rPr>
                <w:rFonts w:cs="Calibri"/>
                <w:color w:val="000000"/>
              </w:rPr>
              <w:t>*</w:t>
            </w:r>
            <w:r>
              <w:rPr>
                <w:rFonts w:cs="Calibri"/>
                <w:color w:val="000000"/>
              </w:rPr>
              <w:t>, condoms, advice, and education.</w:t>
            </w:r>
          </w:p>
          <w:p w14:paraId="4A4C8A80" w14:textId="581A6466" w:rsidR="00051BE5" w:rsidRPr="00935B45" w:rsidRDefault="00051BE5" w:rsidP="00935B45">
            <w:pPr>
              <w:pStyle w:val="ListParagraph"/>
              <w:spacing w:before="120" w:after="120" w:line="240" w:lineRule="auto"/>
              <w:ind w:left="318"/>
              <w:contextualSpacing w:val="0"/>
              <w:rPr>
                <w:rFonts w:cs="Calibri"/>
                <w:i/>
                <w:iCs/>
                <w:color w:val="000000"/>
              </w:rPr>
            </w:pPr>
            <w:r w:rsidRPr="00935B45">
              <w:rPr>
                <w:rFonts w:cs="Calibri"/>
                <w:color w:val="000000"/>
                <w:sz w:val="20"/>
                <w:szCs w:val="18"/>
              </w:rPr>
              <w:t>*</w:t>
            </w:r>
            <w:r w:rsidR="00DB0BDA">
              <w:rPr>
                <w:rFonts w:cs="Calibri"/>
                <w:color w:val="000000"/>
                <w:sz w:val="20"/>
                <w:szCs w:val="18"/>
              </w:rPr>
              <w:t xml:space="preserve">Ongoing funding of </w:t>
            </w:r>
            <w:r w:rsidR="00DB0BDA">
              <w:rPr>
                <w:rFonts w:cs="Calibri"/>
                <w:iCs/>
                <w:color w:val="000000"/>
                <w:sz w:val="20"/>
                <w:szCs w:val="18"/>
              </w:rPr>
              <w:t>p</w:t>
            </w:r>
            <w:r w:rsidRPr="00935B45">
              <w:rPr>
                <w:rFonts w:cs="Calibri"/>
                <w:iCs/>
                <w:color w:val="000000"/>
                <w:sz w:val="20"/>
                <w:szCs w:val="18"/>
              </w:rPr>
              <w:t>rimary Needle and Syringe Programs</w:t>
            </w:r>
            <w:r w:rsidR="009F7490" w:rsidRPr="00935B45">
              <w:rPr>
                <w:rFonts w:cs="Calibri"/>
                <w:iCs/>
                <w:color w:val="000000"/>
                <w:sz w:val="20"/>
                <w:szCs w:val="18"/>
              </w:rPr>
              <w:t xml:space="preserve"> (NSPs)</w:t>
            </w:r>
            <w:r w:rsidR="00DB0BDA">
              <w:rPr>
                <w:rFonts w:cs="Calibri"/>
                <w:iCs/>
                <w:color w:val="000000"/>
                <w:sz w:val="20"/>
                <w:szCs w:val="18"/>
              </w:rPr>
              <w:t xml:space="preserve">, including provision of </w:t>
            </w:r>
            <w:r w:rsidR="00041845">
              <w:rPr>
                <w:rFonts w:cs="Calibri"/>
                <w:iCs/>
                <w:color w:val="000000"/>
                <w:sz w:val="20"/>
                <w:szCs w:val="18"/>
              </w:rPr>
              <w:t>sterile injecting equipment,</w:t>
            </w:r>
            <w:r w:rsidR="009F7490" w:rsidRPr="00935B45">
              <w:rPr>
                <w:rFonts w:cs="Calibri"/>
                <w:iCs/>
                <w:color w:val="000000"/>
                <w:sz w:val="20"/>
                <w:szCs w:val="18"/>
              </w:rPr>
              <w:t xml:space="preserve"> </w:t>
            </w:r>
            <w:r w:rsidR="00DB0BDA">
              <w:rPr>
                <w:rFonts w:cs="Calibri"/>
                <w:iCs/>
                <w:color w:val="000000"/>
                <w:sz w:val="20"/>
                <w:szCs w:val="18"/>
              </w:rPr>
              <w:t xml:space="preserve">will be through the </w:t>
            </w:r>
            <w:r w:rsidR="009F7490" w:rsidRPr="00935B45">
              <w:rPr>
                <w:rFonts w:cs="Calibri"/>
                <w:iCs/>
                <w:color w:val="000000"/>
                <w:sz w:val="20"/>
                <w:szCs w:val="18"/>
              </w:rPr>
              <w:t xml:space="preserve">Alcohol, Tobacco and Other Drugs </w:t>
            </w:r>
            <w:r w:rsidR="00DB0BDA">
              <w:rPr>
                <w:rFonts w:cs="Calibri"/>
                <w:iCs/>
                <w:color w:val="000000"/>
                <w:sz w:val="20"/>
                <w:szCs w:val="18"/>
              </w:rPr>
              <w:t>commissioning cycle</w:t>
            </w:r>
            <w:r w:rsidR="009F7490" w:rsidRPr="00935B45">
              <w:rPr>
                <w:rFonts w:cs="Calibri"/>
                <w:iCs/>
                <w:color w:val="000000"/>
                <w:sz w:val="20"/>
                <w:szCs w:val="18"/>
              </w:rPr>
              <w:t xml:space="preserve">. </w:t>
            </w:r>
            <w:r w:rsidR="00DB0BDA">
              <w:rPr>
                <w:rFonts w:cs="Calibri"/>
                <w:iCs/>
                <w:color w:val="000000"/>
                <w:sz w:val="20"/>
                <w:szCs w:val="18"/>
              </w:rPr>
              <w:t>Operation of secondary</w:t>
            </w:r>
            <w:r w:rsidR="009F7490" w:rsidRPr="00935B45">
              <w:rPr>
                <w:rFonts w:cs="Calibri"/>
                <w:iCs/>
                <w:color w:val="000000"/>
                <w:sz w:val="20"/>
                <w:szCs w:val="18"/>
              </w:rPr>
              <w:t xml:space="preserve"> NSPs will be considered for funding through the STIBBV investment process</w:t>
            </w:r>
            <w:r w:rsidR="00DB0BDA">
              <w:rPr>
                <w:rFonts w:cs="Calibri"/>
                <w:iCs/>
                <w:color w:val="000000"/>
                <w:sz w:val="20"/>
                <w:szCs w:val="18"/>
              </w:rPr>
              <w:t>.</w:t>
            </w:r>
            <w:r w:rsidR="009F7490" w:rsidRPr="00935B45">
              <w:rPr>
                <w:rFonts w:cs="Calibri"/>
                <w:iCs/>
                <w:color w:val="000000"/>
                <w:sz w:val="20"/>
                <w:szCs w:val="18"/>
              </w:rPr>
              <w:t xml:space="preserve"> </w:t>
            </w:r>
          </w:p>
        </w:tc>
      </w:tr>
      <w:tr w:rsidR="007B63DB" w:rsidRPr="00342248" w14:paraId="0839B981" w14:textId="77777777">
        <w:trPr>
          <w:trHeight w:val="504"/>
        </w:trPr>
        <w:tc>
          <w:tcPr>
            <w:tcW w:w="2586" w:type="dxa"/>
            <w:tcBorders>
              <w:top w:val="single" w:sz="4" w:space="0" w:color="auto"/>
              <w:bottom w:val="single" w:sz="4" w:space="0" w:color="auto"/>
            </w:tcBorders>
          </w:tcPr>
          <w:p w14:paraId="06514CFC" w14:textId="77777777" w:rsidR="007B63DB" w:rsidRPr="00984678" w:rsidRDefault="007B63DB" w:rsidP="00C57651">
            <w:pPr>
              <w:spacing w:before="120" w:after="120" w:line="240" w:lineRule="auto"/>
              <w:rPr>
                <w:b/>
                <w:bCs/>
              </w:rPr>
            </w:pPr>
            <w:r w:rsidRPr="00984678">
              <w:rPr>
                <w:b/>
                <w:bCs/>
              </w:rPr>
              <w:t>Support and advocacy</w:t>
            </w:r>
          </w:p>
          <w:p w14:paraId="78032467" w14:textId="77777777" w:rsidR="007B63DB" w:rsidRPr="00984678" w:rsidRDefault="007B63DB" w:rsidP="00C57651">
            <w:pPr>
              <w:pStyle w:val="Tablebody"/>
              <w:spacing w:before="120"/>
              <w:rPr>
                <w:sz w:val="22"/>
                <w:szCs w:val="22"/>
              </w:rPr>
            </w:pPr>
          </w:p>
        </w:tc>
        <w:tc>
          <w:tcPr>
            <w:tcW w:w="6716" w:type="dxa"/>
            <w:tcBorders>
              <w:top w:val="single" w:sz="4" w:space="0" w:color="auto"/>
              <w:bottom w:val="single" w:sz="4" w:space="0" w:color="auto"/>
            </w:tcBorders>
          </w:tcPr>
          <w:p w14:paraId="2B9880D9" w14:textId="77777777" w:rsidR="007B63DB" w:rsidRPr="00342248" w:rsidRDefault="007B63DB" w:rsidP="00C57651">
            <w:pPr>
              <w:pStyle w:val="ListParagraph"/>
              <w:numPr>
                <w:ilvl w:val="0"/>
                <w:numId w:val="31"/>
              </w:numPr>
              <w:spacing w:before="120" w:after="120" w:line="240" w:lineRule="auto"/>
              <w:contextualSpacing w:val="0"/>
            </w:pPr>
            <w:r w:rsidRPr="00984678">
              <w:rPr>
                <w:rFonts w:cs="Calibri"/>
                <w:color w:val="000000"/>
              </w:rPr>
              <w:t>Activities which address the legal, regulatory, policy and relational barriers related to</w:t>
            </w:r>
            <w:r>
              <w:rPr>
                <w:rFonts w:cs="Calibri"/>
                <w:color w:val="000000"/>
              </w:rPr>
              <w:t xml:space="preserve"> </w:t>
            </w:r>
            <w:r>
              <w:t xml:space="preserve">hepatitis B, hepatitis C, HIV and STIs. </w:t>
            </w:r>
          </w:p>
          <w:p w14:paraId="1493E15F" w14:textId="77777777" w:rsidR="007B63DB" w:rsidRPr="00342248" w:rsidRDefault="007B63DB" w:rsidP="00C57651">
            <w:pPr>
              <w:pStyle w:val="ListParagraph"/>
              <w:numPr>
                <w:ilvl w:val="0"/>
                <w:numId w:val="31"/>
              </w:numPr>
              <w:spacing w:before="120" w:after="120" w:line="240" w:lineRule="auto"/>
              <w:contextualSpacing w:val="0"/>
            </w:pPr>
            <w:r>
              <w:rPr>
                <w:rFonts w:cs="Calibri"/>
                <w:color w:val="000000"/>
              </w:rPr>
              <w:lastRenderedPageBreak/>
              <w:t>P</w:t>
            </w:r>
            <w:r w:rsidRPr="00E15929">
              <w:rPr>
                <w:rFonts w:cs="Calibri"/>
                <w:color w:val="000000"/>
              </w:rPr>
              <w:t xml:space="preserve">artnerships and coordination mechanisms between government, service providers, other stakeholders, and priority groups </w:t>
            </w:r>
            <w:r>
              <w:rPr>
                <w:rFonts w:cs="Calibri"/>
                <w:color w:val="000000"/>
              </w:rPr>
              <w:t xml:space="preserve">which bring attention to </w:t>
            </w:r>
            <w:r>
              <w:t xml:space="preserve">hepatitis B, hepatitis C, HIV and STIs, </w:t>
            </w:r>
            <w:r>
              <w:rPr>
                <w:rFonts w:cs="Calibri"/>
                <w:color w:val="000000"/>
              </w:rPr>
              <w:t>and improve pathways into care.</w:t>
            </w:r>
          </w:p>
        </w:tc>
      </w:tr>
      <w:tr w:rsidR="007B63DB" w:rsidRPr="00342248" w14:paraId="61768C9A" w14:textId="77777777">
        <w:trPr>
          <w:trHeight w:val="504"/>
        </w:trPr>
        <w:tc>
          <w:tcPr>
            <w:tcW w:w="2586" w:type="dxa"/>
            <w:tcBorders>
              <w:top w:val="single" w:sz="4" w:space="0" w:color="auto"/>
              <w:bottom w:val="single" w:sz="4" w:space="0" w:color="auto"/>
            </w:tcBorders>
          </w:tcPr>
          <w:p w14:paraId="298E41FC" w14:textId="77777777" w:rsidR="007B63DB" w:rsidRPr="00984678" w:rsidRDefault="007B63DB" w:rsidP="00C57651">
            <w:pPr>
              <w:spacing w:before="120" w:after="120" w:line="240" w:lineRule="auto"/>
              <w:rPr>
                <w:b/>
                <w:bCs/>
              </w:rPr>
            </w:pPr>
            <w:r w:rsidRPr="00984678">
              <w:rPr>
                <w:b/>
                <w:bCs/>
              </w:rPr>
              <w:lastRenderedPageBreak/>
              <w:t>Health promotion and education</w:t>
            </w:r>
          </w:p>
          <w:p w14:paraId="51863C42" w14:textId="77777777" w:rsidR="007B63DB" w:rsidRPr="00984678" w:rsidRDefault="007B63DB" w:rsidP="00C57651">
            <w:pPr>
              <w:pStyle w:val="Tablebody"/>
              <w:spacing w:before="120"/>
              <w:rPr>
                <w:sz w:val="22"/>
                <w:szCs w:val="22"/>
              </w:rPr>
            </w:pPr>
          </w:p>
        </w:tc>
        <w:tc>
          <w:tcPr>
            <w:tcW w:w="6716" w:type="dxa"/>
            <w:tcBorders>
              <w:top w:val="single" w:sz="4" w:space="0" w:color="auto"/>
              <w:bottom w:val="single" w:sz="4" w:space="0" w:color="auto"/>
            </w:tcBorders>
          </w:tcPr>
          <w:p w14:paraId="25C29668" w14:textId="77777777" w:rsidR="007B63DB" w:rsidRPr="00342248" w:rsidRDefault="007B63DB" w:rsidP="00C57651">
            <w:pPr>
              <w:pStyle w:val="ListParagraph"/>
              <w:numPr>
                <w:ilvl w:val="0"/>
                <w:numId w:val="31"/>
              </w:numPr>
              <w:spacing w:before="120" w:after="120" w:line="240" w:lineRule="auto"/>
              <w:contextualSpacing w:val="0"/>
            </w:pPr>
            <w:r>
              <w:rPr>
                <w:rFonts w:cs="Calibri"/>
                <w:color w:val="000000"/>
              </w:rPr>
              <w:t>E</w:t>
            </w:r>
            <w:r w:rsidRPr="00984678">
              <w:rPr>
                <w:rFonts w:cs="Calibri"/>
                <w:color w:val="000000"/>
              </w:rPr>
              <w:t xml:space="preserve">ducation and health promotion initiatives </w:t>
            </w:r>
            <w:r>
              <w:rPr>
                <w:rFonts w:cs="Calibri"/>
                <w:color w:val="000000"/>
              </w:rPr>
              <w:t xml:space="preserve">provided in community settings </w:t>
            </w:r>
            <w:r w:rsidRPr="00984678">
              <w:rPr>
                <w:rFonts w:cs="Calibri"/>
                <w:color w:val="000000"/>
              </w:rPr>
              <w:t xml:space="preserve">which build knowledge and awareness of </w:t>
            </w:r>
            <w:r>
              <w:t xml:space="preserve">hepatitis B, hepatitis C, HIV and STIs, </w:t>
            </w:r>
            <w:r w:rsidRPr="00984678">
              <w:rPr>
                <w:rFonts w:cs="Calibri"/>
                <w:color w:val="000000"/>
              </w:rPr>
              <w:t>and effectively target and engage priority groups.</w:t>
            </w:r>
          </w:p>
          <w:p w14:paraId="3510D2DF" w14:textId="77777777" w:rsidR="007B63DB" w:rsidRPr="00342248" w:rsidRDefault="007B63DB" w:rsidP="00C57651">
            <w:pPr>
              <w:pStyle w:val="ListParagraph"/>
              <w:numPr>
                <w:ilvl w:val="0"/>
                <w:numId w:val="31"/>
              </w:numPr>
              <w:spacing w:before="120" w:after="120" w:line="240" w:lineRule="auto"/>
              <w:contextualSpacing w:val="0"/>
            </w:pPr>
            <w:r>
              <w:rPr>
                <w:rFonts w:cs="Calibri"/>
                <w:color w:val="000000"/>
              </w:rPr>
              <w:t>I</w:t>
            </w:r>
            <w:r w:rsidRPr="00984678">
              <w:rPr>
                <w:rFonts w:cs="Calibri"/>
                <w:color w:val="000000"/>
              </w:rPr>
              <w:t xml:space="preserve">nitiatives </w:t>
            </w:r>
            <w:r>
              <w:rPr>
                <w:rFonts w:cs="Calibri"/>
                <w:color w:val="000000"/>
              </w:rPr>
              <w:t>which may be</w:t>
            </w:r>
            <w:r w:rsidRPr="00984678">
              <w:rPr>
                <w:rFonts w:cs="Calibri"/>
                <w:color w:val="000000"/>
              </w:rPr>
              <w:t xml:space="preserve"> community-led</w:t>
            </w:r>
            <w:r>
              <w:rPr>
                <w:rFonts w:cs="Calibri"/>
                <w:color w:val="000000"/>
              </w:rPr>
              <w:t xml:space="preserve"> or </w:t>
            </w:r>
            <w:r w:rsidRPr="00984678">
              <w:rPr>
                <w:rFonts w:cs="Calibri"/>
                <w:color w:val="000000"/>
              </w:rPr>
              <w:t xml:space="preserve">peer-based </w:t>
            </w:r>
            <w:r>
              <w:rPr>
                <w:rFonts w:cs="Calibri"/>
                <w:color w:val="000000"/>
              </w:rPr>
              <w:t xml:space="preserve">and those which may involve </w:t>
            </w:r>
            <w:r w:rsidRPr="00984678">
              <w:rPr>
                <w:rFonts w:cs="Calibri"/>
                <w:color w:val="000000"/>
              </w:rPr>
              <w:t>outreach</w:t>
            </w:r>
            <w:r>
              <w:rPr>
                <w:rFonts w:cs="Calibri"/>
                <w:color w:val="000000"/>
              </w:rPr>
              <w:t xml:space="preserve"> services and </w:t>
            </w:r>
            <w:r w:rsidRPr="00984678">
              <w:rPr>
                <w:rFonts w:cs="Calibri"/>
                <w:color w:val="000000"/>
              </w:rPr>
              <w:t>visiting programs</w:t>
            </w:r>
            <w:r>
              <w:rPr>
                <w:rFonts w:cs="Calibri"/>
                <w:color w:val="000000"/>
              </w:rPr>
              <w:t>.</w:t>
            </w:r>
          </w:p>
        </w:tc>
      </w:tr>
      <w:tr w:rsidR="007B63DB" w:rsidRPr="004D3772" w14:paraId="1F3675B5" w14:textId="77777777">
        <w:trPr>
          <w:trHeight w:val="504"/>
        </w:trPr>
        <w:tc>
          <w:tcPr>
            <w:tcW w:w="2586" w:type="dxa"/>
            <w:tcBorders>
              <w:top w:val="single" w:sz="4" w:space="0" w:color="auto"/>
              <w:bottom w:val="single" w:sz="4" w:space="0" w:color="auto"/>
            </w:tcBorders>
          </w:tcPr>
          <w:p w14:paraId="1BFCD6C0" w14:textId="77777777" w:rsidR="007B63DB" w:rsidRPr="00984678" w:rsidRDefault="007B63DB" w:rsidP="00C57651">
            <w:pPr>
              <w:spacing w:before="120" w:after="120" w:line="240" w:lineRule="auto"/>
              <w:rPr>
                <w:b/>
                <w:bCs/>
              </w:rPr>
            </w:pPr>
            <w:r w:rsidRPr="00984678">
              <w:rPr>
                <w:b/>
                <w:bCs/>
              </w:rPr>
              <w:t>Community development and engagement</w:t>
            </w:r>
          </w:p>
          <w:p w14:paraId="4DC73F51" w14:textId="77777777" w:rsidR="007B63DB" w:rsidRPr="00984678" w:rsidRDefault="007B63DB" w:rsidP="00C57651">
            <w:pPr>
              <w:pStyle w:val="Tablebody"/>
              <w:spacing w:before="120"/>
              <w:rPr>
                <w:sz w:val="22"/>
                <w:szCs w:val="22"/>
              </w:rPr>
            </w:pPr>
          </w:p>
        </w:tc>
        <w:tc>
          <w:tcPr>
            <w:tcW w:w="6716" w:type="dxa"/>
            <w:tcBorders>
              <w:top w:val="single" w:sz="4" w:space="0" w:color="auto"/>
              <w:bottom w:val="single" w:sz="4" w:space="0" w:color="auto"/>
            </w:tcBorders>
          </w:tcPr>
          <w:p w14:paraId="6FD4EFC6" w14:textId="77777777" w:rsidR="007B63DB" w:rsidRPr="00342248" w:rsidRDefault="007B63DB" w:rsidP="00C57651">
            <w:pPr>
              <w:pStyle w:val="Tablebody"/>
              <w:numPr>
                <w:ilvl w:val="0"/>
                <w:numId w:val="31"/>
              </w:numPr>
              <w:spacing w:before="120"/>
              <w:rPr>
                <w:color w:val="auto"/>
                <w:sz w:val="22"/>
                <w:szCs w:val="22"/>
              </w:rPr>
            </w:pPr>
            <w:r>
              <w:rPr>
                <w:rFonts w:cs="Calibri"/>
                <w:color w:val="000000"/>
                <w:sz w:val="22"/>
                <w:szCs w:val="22"/>
              </w:rPr>
              <w:t>I</w:t>
            </w:r>
            <w:r w:rsidRPr="00984678">
              <w:rPr>
                <w:rFonts w:cs="Calibri"/>
                <w:color w:val="000000"/>
                <w:sz w:val="22"/>
                <w:szCs w:val="22"/>
              </w:rPr>
              <w:t xml:space="preserve">nitiatives which seek to build relationships and capacity within communities to address </w:t>
            </w:r>
            <w:r w:rsidRPr="001F16FC">
              <w:rPr>
                <w:rFonts w:cs="Calibri"/>
                <w:color w:val="000000"/>
                <w:sz w:val="22"/>
                <w:szCs w:val="22"/>
              </w:rPr>
              <w:t xml:space="preserve">hepatitis B, hepatitis C, HIV and STI </w:t>
            </w:r>
            <w:r w:rsidRPr="00984678">
              <w:rPr>
                <w:rFonts w:cs="Calibri"/>
                <w:color w:val="000000"/>
                <w:sz w:val="22"/>
                <w:szCs w:val="22"/>
              </w:rPr>
              <w:t>related illness and harm.</w:t>
            </w:r>
          </w:p>
          <w:p w14:paraId="56FF679A" w14:textId="77777777" w:rsidR="007B63DB" w:rsidRPr="004D3772" w:rsidRDefault="007B63DB" w:rsidP="00C57651">
            <w:pPr>
              <w:pStyle w:val="Tablebody"/>
              <w:numPr>
                <w:ilvl w:val="0"/>
                <w:numId w:val="31"/>
              </w:numPr>
              <w:spacing w:before="120"/>
              <w:rPr>
                <w:color w:val="auto"/>
                <w:sz w:val="22"/>
                <w:szCs w:val="22"/>
              </w:rPr>
            </w:pPr>
            <w:r>
              <w:rPr>
                <w:color w:val="auto"/>
                <w:sz w:val="22"/>
                <w:szCs w:val="22"/>
              </w:rPr>
              <w:t xml:space="preserve">Harnessing opportunities to </w:t>
            </w:r>
            <w:r w:rsidRPr="004D3772">
              <w:rPr>
                <w:color w:val="auto"/>
                <w:sz w:val="22"/>
                <w:szCs w:val="22"/>
              </w:rPr>
              <w:t>collaborat</w:t>
            </w:r>
            <w:r>
              <w:rPr>
                <w:color w:val="auto"/>
                <w:sz w:val="22"/>
                <w:szCs w:val="22"/>
              </w:rPr>
              <w:t>e</w:t>
            </w:r>
            <w:r w:rsidRPr="004D3772">
              <w:rPr>
                <w:color w:val="auto"/>
                <w:sz w:val="22"/>
                <w:szCs w:val="22"/>
              </w:rPr>
              <w:t xml:space="preserve"> with community organisations and community leaders to explore</w:t>
            </w:r>
            <w:r>
              <w:rPr>
                <w:color w:val="auto"/>
                <w:sz w:val="22"/>
                <w:szCs w:val="22"/>
              </w:rPr>
              <w:t xml:space="preserve"> </w:t>
            </w:r>
            <w:r w:rsidRPr="004D3772">
              <w:rPr>
                <w:color w:val="auto"/>
                <w:sz w:val="22"/>
                <w:szCs w:val="22"/>
              </w:rPr>
              <w:t xml:space="preserve">new, and innovative </w:t>
            </w:r>
            <w:r>
              <w:rPr>
                <w:color w:val="auto"/>
                <w:sz w:val="22"/>
                <w:szCs w:val="22"/>
              </w:rPr>
              <w:t xml:space="preserve">approaches to </w:t>
            </w:r>
            <w:r w:rsidRPr="001F16FC">
              <w:rPr>
                <w:color w:val="auto"/>
                <w:sz w:val="22"/>
                <w:szCs w:val="22"/>
              </w:rPr>
              <w:t xml:space="preserve">hepatitis B, hepatitis C, HIV and STI </w:t>
            </w:r>
            <w:r>
              <w:rPr>
                <w:color w:val="auto"/>
                <w:sz w:val="22"/>
                <w:szCs w:val="22"/>
              </w:rPr>
              <w:t>treatment and care.</w:t>
            </w:r>
          </w:p>
        </w:tc>
      </w:tr>
      <w:tr w:rsidR="007B63DB" w:rsidRPr="00342248" w14:paraId="4D90663A" w14:textId="77777777">
        <w:trPr>
          <w:trHeight w:val="504"/>
        </w:trPr>
        <w:tc>
          <w:tcPr>
            <w:tcW w:w="2586" w:type="dxa"/>
            <w:tcBorders>
              <w:top w:val="single" w:sz="4" w:space="0" w:color="auto"/>
              <w:bottom w:val="single" w:sz="4" w:space="0" w:color="auto"/>
            </w:tcBorders>
          </w:tcPr>
          <w:p w14:paraId="074E76C6" w14:textId="77777777" w:rsidR="007B63DB" w:rsidRPr="00984678" w:rsidRDefault="007B63DB" w:rsidP="00C57651">
            <w:pPr>
              <w:spacing w:before="120" w:after="120" w:line="240" w:lineRule="auto"/>
              <w:rPr>
                <w:b/>
                <w:bCs/>
              </w:rPr>
            </w:pPr>
            <w:r w:rsidRPr="00984678">
              <w:rPr>
                <w:b/>
                <w:bCs/>
              </w:rPr>
              <w:t xml:space="preserve">Workforce training and development and clinical practice support </w:t>
            </w:r>
          </w:p>
          <w:p w14:paraId="682F517C" w14:textId="77777777" w:rsidR="007B63DB" w:rsidRPr="00984678" w:rsidRDefault="007B63DB" w:rsidP="00C57651">
            <w:pPr>
              <w:pStyle w:val="Tablebody"/>
              <w:spacing w:before="120"/>
              <w:rPr>
                <w:sz w:val="22"/>
                <w:szCs w:val="22"/>
              </w:rPr>
            </w:pPr>
          </w:p>
        </w:tc>
        <w:tc>
          <w:tcPr>
            <w:tcW w:w="6716" w:type="dxa"/>
            <w:tcBorders>
              <w:top w:val="single" w:sz="4" w:space="0" w:color="auto"/>
              <w:bottom w:val="single" w:sz="4" w:space="0" w:color="auto"/>
            </w:tcBorders>
          </w:tcPr>
          <w:p w14:paraId="5A43BC89" w14:textId="77777777" w:rsidR="00C27684" w:rsidRDefault="007B63DB" w:rsidP="00C27684">
            <w:pPr>
              <w:pStyle w:val="ListParagraph"/>
              <w:numPr>
                <w:ilvl w:val="0"/>
                <w:numId w:val="31"/>
              </w:numPr>
              <w:spacing w:before="120" w:after="120" w:line="240" w:lineRule="auto"/>
              <w:contextualSpacing w:val="0"/>
            </w:pPr>
            <w:r>
              <w:rPr>
                <w:rFonts w:cs="Calibri"/>
                <w:color w:val="000000"/>
              </w:rPr>
              <w:t>P</w:t>
            </w:r>
            <w:r w:rsidRPr="00984678">
              <w:rPr>
                <w:rFonts w:cs="Calibri"/>
                <w:color w:val="000000"/>
              </w:rPr>
              <w:t>rofessional development</w:t>
            </w:r>
            <w:r w:rsidR="00AA7E43">
              <w:rPr>
                <w:rFonts w:cs="Calibri"/>
                <w:color w:val="000000"/>
              </w:rPr>
              <w:t>, clinical training</w:t>
            </w:r>
            <w:r w:rsidRPr="00984678">
              <w:rPr>
                <w:rFonts w:cs="Calibri"/>
                <w:color w:val="000000"/>
              </w:rPr>
              <w:t xml:space="preserve">, </w:t>
            </w:r>
            <w:r>
              <w:rPr>
                <w:rFonts w:cs="Calibri"/>
                <w:color w:val="000000"/>
              </w:rPr>
              <w:t xml:space="preserve">practice </w:t>
            </w:r>
            <w:r w:rsidRPr="00984678">
              <w:rPr>
                <w:rFonts w:cs="Calibri"/>
                <w:color w:val="000000"/>
              </w:rPr>
              <w:t xml:space="preserve">support and networking opportunities for health clinicians, support workers, health promotion officers, </w:t>
            </w:r>
            <w:r>
              <w:rPr>
                <w:rFonts w:cs="Calibri"/>
                <w:color w:val="000000"/>
              </w:rPr>
              <w:t xml:space="preserve">educators </w:t>
            </w:r>
            <w:r w:rsidRPr="00984678">
              <w:rPr>
                <w:rFonts w:cs="Calibri"/>
                <w:color w:val="000000"/>
              </w:rPr>
              <w:t>and peer workers to increase their skills and knowledge to effectively care</w:t>
            </w:r>
            <w:r>
              <w:rPr>
                <w:rFonts w:cs="Calibri"/>
                <w:color w:val="000000"/>
              </w:rPr>
              <w:t xml:space="preserve"> and advocate</w:t>
            </w:r>
            <w:r w:rsidRPr="00984678">
              <w:rPr>
                <w:rFonts w:cs="Calibri"/>
                <w:color w:val="000000"/>
              </w:rPr>
              <w:t xml:space="preserve"> for people at risk of or who are living with </w:t>
            </w:r>
            <w:r>
              <w:t>hepatitis B, hepatitis C, HIV and STIs.</w:t>
            </w:r>
          </w:p>
          <w:p w14:paraId="7A55EDCA" w14:textId="37B24378" w:rsidR="00C27684" w:rsidRPr="00342248" w:rsidRDefault="0019743A" w:rsidP="00C27684">
            <w:pPr>
              <w:pStyle w:val="ListParagraph"/>
              <w:numPr>
                <w:ilvl w:val="0"/>
                <w:numId w:val="31"/>
              </w:numPr>
              <w:spacing w:before="120" w:after="120" w:line="240" w:lineRule="auto"/>
              <w:contextualSpacing w:val="0"/>
            </w:pPr>
            <w:r>
              <w:t>Clinical training a</w:t>
            </w:r>
            <w:r w:rsidR="00C27684">
              <w:t xml:space="preserve">ctivities that contribute to the teaching, acquiring and assessment of relevant clinical skills and recognised by an appropriate </w:t>
            </w:r>
            <w:r w:rsidR="00041845">
              <w:t>credentialling</w:t>
            </w:r>
            <w:r w:rsidR="00C27684">
              <w:t xml:space="preserve"> body for relevant </w:t>
            </w:r>
            <w:r>
              <w:t>professions</w:t>
            </w:r>
            <w:r w:rsidR="00C27684">
              <w:t xml:space="preserve">. </w:t>
            </w:r>
          </w:p>
        </w:tc>
      </w:tr>
    </w:tbl>
    <w:p w14:paraId="2FAC5C66" w14:textId="77777777" w:rsidR="00194CB6" w:rsidRDefault="00194CB6" w:rsidP="00E9709E">
      <w:pPr>
        <w:rPr>
          <w:rFonts w:eastAsia="Calibri" w:cstheme="minorHAnsi"/>
          <w:color w:val="000000" w:themeColor="text1"/>
        </w:rPr>
      </w:pPr>
    </w:p>
    <w:p w14:paraId="6BFBD884" w14:textId="55EB5088" w:rsidR="007B63DB" w:rsidRDefault="00160261" w:rsidP="00E9709E">
      <w:pPr>
        <w:rPr>
          <w:rFonts w:eastAsia="Calibri" w:cstheme="minorHAnsi"/>
          <w:color w:val="000000" w:themeColor="text1"/>
        </w:rPr>
      </w:pPr>
      <w:r>
        <w:rPr>
          <w:rFonts w:eastAsia="Calibri" w:cstheme="minorHAnsi"/>
          <w:color w:val="000000" w:themeColor="text1"/>
        </w:rPr>
        <w:t xml:space="preserve">Investment will be provided to </w:t>
      </w:r>
      <w:r w:rsidR="007143B0">
        <w:rPr>
          <w:rFonts w:eastAsia="Calibri" w:cstheme="minorHAnsi"/>
          <w:color w:val="000000" w:themeColor="text1"/>
        </w:rPr>
        <w:t>NGOs</w:t>
      </w:r>
      <w:r>
        <w:rPr>
          <w:rFonts w:eastAsia="Calibri" w:cstheme="minorHAnsi"/>
          <w:color w:val="000000" w:themeColor="text1"/>
        </w:rPr>
        <w:t xml:space="preserve"> </w:t>
      </w:r>
      <w:r w:rsidR="007D28BF">
        <w:rPr>
          <w:rFonts w:eastAsia="Calibri" w:cstheme="minorHAnsi"/>
          <w:color w:val="000000" w:themeColor="text1"/>
        </w:rPr>
        <w:t xml:space="preserve">that </w:t>
      </w:r>
      <w:r w:rsidR="00E9709E">
        <w:rPr>
          <w:rFonts w:eastAsia="Calibri" w:cstheme="minorHAnsi"/>
          <w:color w:val="000000" w:themeColor="text1"/>
        </w:rPr>
        <w:t xml:space="preserve">are assessed to </w:t>
      </w:r>
      <w:r w:rsidR="007D28BF">
        <w:rPr>
          <w:rFonts w:eastAsia="Calibri" w:cstheme="minorHAnsi"/>
          <w:color w:val="000000" w:themeColor="text1"/>
        </w:rPr>
        <w:t xml:space="preserve">improve health </w:t>
      </w:r>
      <w:r w:rsidR="007143B0">
        <w:rPr>
          <w:rFonts w:eastAsia="Calibri" w:cstheme="minorHAnsi"/>
          <w:color w:val="000000" w:themeColor="text1"/>
        </w:rPr>
        <w:t xml:space="preserve">and wellbeing </w:t>
      </w:r>
      <w:r w:rsidR="007D28BF">
        <w:rPr>
          <w:rFonts w:eastAsia="Calibri" w:cstheme="minorHAnsi"/>
          <w:color w:val="000000" w:themeColor="text1"/>
        </w:rPr>
        <w:t>outcomes in the following target priority population</w:t>
      </w:r>
      <w:r w:rsidR="00E72416">
        <w:rPr>
          <w:rFonts w:eastAsia="Calibri" w:cstheme="minorHAnsi"/>
          <w:color w:val="000000" w:themeColor="text1"/>
        </w:rPr>
        <w:t xml:space="preserve"> groups</w:t>
      </w:r>
      <w:r w:rsidR="000B48A7">
        <w:rPr>
          <w:rFonts w:eastAsia="Calibri" w:cstheme="minorHAnsi"/>
          <w:color w:val="000000" w:themeColor="text1"/>
        </w:rPr>
        <w:t xml:space="preserve"> </w:t>
      </w:r>
      <w:r w:rsidR="00E75006">
        <w:rPr>
          <w:rFonts w:eastAsia="Calibri" w:cstheme="minorHAnsi"/>
          <w:color w:val="000000" w:themeColor="text1"/>
        </w:rPr>
        <w:t xml:space="preserve">(acknowledging that each of these groups </w:t>
      </w:r>
      <w:r w:rsidR="004839B6">
        <w:rPr>
          <w:rFonts w:eastAsia="Calibri" w:cstheme="minorHAnsi"/>
          <w:color w:val="000000" w:themeColor="text1"/>
        </w:rPr>
        <w:t>have diverse needs commensurate to any BBV or STI condition they may be living with)</w:t>
      </w:r>
      <w:r w:rsidR="00E72416">
        <w:rPr>
          <w:rFonts w:eastAsia="Calibri" w:cstheme="minorHAnsi"/>
          <w:color w:val="000000" w:themeColor="text1"/>
        </w:rPr>
        <w:t xml:space="preserve"> identified during commissioning engagement:</w:t>
      </w:r>
    </w:p>
    <w:p w14:paraId="781DE87A" w14:textId="16921DDE" w:rsidR="00E1008B" w:rsidRDefault="00E1008B" w:rsidP="00E9709E">
      <w:pPr>
        <w:pStyle w:val="ListParagraph"/>
        <w:widowControl w:val="0"/>
        <w:numPr>
          <w:ilvl w:val="0"/>
          <w:numId w:val="34"/>
        </w:numPr>
        <w:spacing w:line="259" w:lineRule="auto"/>
        <w:ind w:left="714" w:hanging="357"/>
        <w:contextualSpacing w:val="0"/>
      </w:pPr>
      <w:r w:rsidRPr="00121CD0">
        <w:rPr>
          <w:b/>
          <w:bCs/>
        </w:rPr>
        <w:t>Travellers and mobile workers</w:t>
      </w:r>
      <w:r w:rsidRPr="00176B14">
        <w:t xml:space="preserve"> who may be at increased risk of exposure due to occupational and behavioural risk factors and are less able to navigate timely access to prevention and health</w:t>
      </w:r>
      <w:r w:rsidR="00253F8F">
        <w:t xml:space="preserve"> </w:t>
      </w:r>
      <w:r w:rsidRPr="00176B14">
        <w:t>care services in an unfamiliar environment</w:t>
      </w:r>
      <w:r>
        <w:t>.</w:t>
      </w:r>
    </w:p>
    <w:p w14:paraId="23038E0B" w14:textId="77777777" w:rsidR="00D04E87" w:rsidRDefault="00E1008B" w:rsidP="00E9709E">
      <w:pPr>
        <w:pStyle w:val="ListParagraph"/>
        <w:widowControl w:val="0"/>
        <w:numPr>
          <w:ilvl w:val="0"/>
          <w:numId w:val="34"/>
        </w:numPr>
        <w:spacing w:line="259" w:lineRule="auto"/>
        <w:ind w:left="714" w:hanging="357"/>
        <w:contextualSpacing w:val="0"/>
      </w:pPr>
      <w:r w:rsidRPr="00E9709E">
        <w:rPr>
          <w:b/>
          <w:bCs/>
        </w:rPr>
        <w:t>Young people under 30</w:t>
      </w:r>
      <w:r w:rsidRPr="00176B14">
        <w:t xml:space="preserve"> who are statistically more likely to be exposed to risk-factors associated with STIs and BBVs when compared to other age groups</w:t>
      </w:r>
      <w:r>
        <w:t>.</w:t>
      </w:r>
    </w:p>
    <w:p w14:paraId="133995BA" w14:textId="25159D3D" w:rsidR="00E1008B" w:rsidRDefault="00E1008B" w:rsidP="00935B45">
      <w:pPr>
        <w:pStyle w:val="ListParagraph"/>
        <w:widowControl w:val="0"/>
        <w:numPr>
          <w:ilvl w:val="0"/>
          <w:numId w:val="34"/>
        </w:numPr>
        <w:spacing w:line="259" w:lineRule="auto"/>
        <w:contextualSpacing w:val="0"/>
      </w:pPr>
      <w:r w:rsidRPr="00E9709E">
        <w:rPr>
          <w:b/>
          <w:bCs/>
        </w:rPr>
        <w:t>Sex workers</w:t>
      </w:r>
      <w:r w:rsidRPr="00176B14">
        <w:t xml:space="preserve"> who may be at increased exposure risk due to occupational risk factors, despite the prevalence in this employment cohort being roughly equal to the general population</w:t>
      </w:r>
      <w:r>
        <w:t>.</w:t>
      </w:r>
    </w:p>
    <w:p w14:paraId="5C3674DA" w14:textId="3669FC99" w:rsidR="000345C7" w:rsidRPr="00935B45" w:rsidRDefault="00E1008B" w:rsidP="00E9709E">
      <w:pPr>
        <w:pStyle w:val="ListParagraph"/>
        <w:widowControl w:val="0"/>
        <w:numPr>
          <w:ilvl w:val="0"/>
          <w:numId w:val="34"/>
        </w:numPr>
        <w:spacing w:line="259" w:lineRule="auto"/>
        <w:ind w:left="714" w:hanging="357"/>
        <w:contextualSpacing w:val="0"/>
      </w:pPr>
      <w:r w:rsidRPr="00E9709E">
        <w:rPr>
          <w:b/>
          <w:bCs/>
        </w:rPr>
        <w:t>People living with hepatitis B, hepatitis C and/or HIV</w:t>
      </w:r>
      <w:r w:rsidRPr="00176B14">
        <w:t xml:space="preserve"> who are more likely to experience poorer </w:t>
      </w:r>
      <w:r w:rsidRPr="00176B14">
        <w:lastRenderedPageBreak/>
        <w:t xml:space="preserve">health outcomes associated with repeat infection due </w:t>
      </w:r>
      <w:r>
        <w:t xml:space="preserve">to </w:t>
      </w:r>
      <w:r w:rsidRPr="00176B14">
        <w:t>factors like impaired immunity</w:t>
      </w:r>
      <w:r>
        <w:t xml:space="preserve"> and broader social determinants affecting their health.</w:t>
      </w:r>
    </w:p>
    <w:p w14:paraId="45C9570A" w14:textId="0261F8B2" w:rsidR="00E1008B" w:rsidRDefault="00E1008B" w:rsidP="00E9709E">
      <w:pPr>
        <w:pStyle w:val="ListParagraph"/>
        <w:widowControl w:val="0"/>
        <w:numPr>
          <w:ilvl w:val="0"/>
          <w:numId w:val="34"/>
        </w:numPr>
        <w:spacing w:line="259" w:lineRule="auto"/>
        <w:ind w:left="714" w:hanging="357"/>
        <w:contextualSpacing w:val="0"/>
      </w:pPr>
      <w:r w:rsidRPr="00E9709E">
        <w:rPr>
          <w:b/>
          <w:bCs/>
        </w:rPr>
        <w:t>Gay men, bisexual men, and men who have sex with men (GBMSM)</w:t>
      </w:r>
      <w:r w:rsidRPr="00176B14">
        <w:t xml:space="preserve"> who are disproportionately impacted by some STIs and BBVs in </w:t>
      </w:r>
      <w:r>
        <w:t>Australia.</w:t>
      </w:r>
    </w:p>
    <w:p w14:paraId="3E813E97" w14:textId="6E5F9054" w:rsidR="00E1008B" w:rsidRDefault="00E1008B" w:rsidP="00E9709E">
      <w:pPr>
        <w:pStyle w:val="ListParagraph"/>
        <w:widowControl w:val="0"/>
        <w:numPr>
          <w:ilvl w:val="0"/>
          <w:numId w:val="34"/>
        </w:numPr>
        <w:spacing w:line="259" w:lineRule="auto"/>
        <w:ind w:left="714" w:hanging="357"/>
        <w:contextualSpacing w:val="0"/>
      </w:pPr>
      <w:r w:rsidRPr="00E9709E">
        <w:rPr>
          <w:b/>
          <w:bCs/>
        </w:rPr>
        <w:t>People who are unvaccinated against hepatitis B and human papillomavirus (HPV</w:t>
      </w:r>
      <w:r w:rsidRPr="00176B14">
        <w:t>)</w:t>
      </w:r>
      <w:r w:rsidR="00D04E87">
        <w:t xml:space="preserve"> </w:t>
      </w:r>
      <w:r w:rsidR="00D04E87" w:rsidRPr="00935B45">
        <w:rPr>
          <w:b/>
          <w:bCs/>
        </w:rPr>
        <w:t>and</w:t>
      </w:r>
      <w:r w:rsidR="00A444F9">
        <w:br/>
      </w:r>
      <w:r w:rsidRPr="00E9709E">
        <w:rPr>
          <w:b/>
          <w:bCs/>
        </w:rPr>
        <w:t>People who inject drugs</w:t>
      </w:r>
      <w:r w:rsidRPr="00C635E2">
        <w:t xml:space="preserve"> or have ever injected drugs including illicit drugs and anabolic</w:t>
      </w:r>
      <w:r>
        <w:t xml:space="preserve"> </w:t>
      </w:r>
      <w:r w:rsidRPr="00C635E2">
        <w:t>steroids, as sharing injecting equipment is a common risk factor of BBV acquisition</w:t>
      </w:r>
      <w:r>
        <w:t>.</w:t>
      </w:r>
    </w:p>
    <w:p w14:paraId="5F743803" w14:textId="77777777" w:rsidR="00D04E87" w:rsidRDefault="00E1008B" w:rsidP="00E9709E">
      <w:pPr>
        <w:pStyle w:val="ListParagraph"/>
        <w:widowControl w:val="0"/>
        <w:numPr>
          <w:ilvl w:val="0"/>
          <w:numId w:val="34"/>
        </w:numPr>
        <w:spacing w:line="259" w:lineRule="auto"/>
        <w:contextualSpacing w:val="0"/>
      </w:pPr>
      <w:r w:rsidRPr="00E9709E">
        <w:rPr>
          <w:b/>
          <w:bCs/>
        </w:rPr>
        <w:t>People in custodial settings</w:t>
      </w:r>
      <w:r w:rsidRPr="00C635E2">
        <w:t xml:space="preserve"> who are more likely to engage in high-risk activities like sharing injecting equipment and less likely to have ready access to infection prevention measures</w:t>
      </w:r>
      <w:r>
        <w:t>.</w:t>
      </w:r>
    </w:p>
    <w:p w14:paraId="0528524B" w14:textId="3C807B07" w:rsidR="00E1008B" w:rsidRDefault="00E1008B" w:rsidP="00D04E87">
      <w:pPr>
        <w:pStyle w:val="ListParagraph"/>
        <w:widowControl w:val="0"/>
        <w:numPr>
          <w:ilvl w:val="0"/>
          <w:numId w:val="34"/>
        </w:numPr>
        <w:spacing w:line="259" w:lineRule="auto"/>
        <w:contextualSpacing w:val="0"/>
      </w:pPr>
      <w:r w:rsidRPr="00E9709E">
        <w:rPr>
          <w:b/>
          <w:bCs/>
        </w:rPr>
        <w:t>Women of reproductive age</w:t>
      </w:r>
      <w:r w:rsidRPr="00C635E2">
        <w:t xml:space="preserve"> who may be at risk of transmitting infection or viruses to an unborn baby during pregnancy and childbirth, resulting in congenital infection and adverse maternal and neonatal outcomes</w:t>
      </w:r>
      <w:r>
        <w:t>.</w:t>
      </w:r>
      <w:r w:rsidRPr="00C635E2">
        <w:t xml:space="preserve"> </w:t>
      </w:r>
    </w:p>
    <w:p w14:paraId="485DAD0E" w14:textId="77777777" w:rsidR="00D04E87" w:rsidRDefault="00E1008B" w:rsidP="00D04E87">
      <w:pPr>
        <w:pStyle w:val="ListParagraph"/>
        <w:widowControl w:val="0"/>
        <w:numPr>
          <w:ilvl w:val="0"/>
          <w:numId w:val="34"/>
        </w:numPr>
        <w:spacing w:line="259" w:lineRule="auto"/>
        <w:ind w:left="714" w:hanging="357"/>
        <w:contextualSpacing w:val="0"/>
      </w:pPr>
      <w:r w:rsidRPr="00E9709E">
        <w:rPr>
          <w:b/>
          <w:bCs/>
        </w:rPr>
        <w:t>Transgender (trans) and gender-diverse populations</w:t>
      </w:r>
      <w:r w:rsidRPr="00C635E2">
        <w:t xml:space="preserve"> who may experience specific sexual health needs and/or barriers to prevent, treatment and care that need to be considered</w:t>
      </w:r>
      <w:r>
        <w:t>.</w:t>
      </w:r>
      <w:r w:rsidRPr="00C635E2">
        <w:t xml:space="preserve"> </w:t>
      </w:r>
    </w:p>
    <w:p w14:paraId="2868999D" w14:textId="4B166EA0" w:rsidR="00D04E87" w:rsidRDefault="00E1008B" w:rsidP="009035D2">
      <w:pPr>
        <w:pStyle w:val="ListParagraph"/>
        <w:widowControl w:val="0"/>
        <w:numPr>
          <w:ilvl w:val="0"/>
          <w:numId w:val="34"/>
        </w:numPr>
        <w:spacing w:line="259" w:lineRule="auto"/>
        <w:contextualSpacing w:val="0"/>
      </w:pPr>
      <w:r w:rsidRPr="00E9709E">
        <w:rPr>
          <w:b/>
          <w:bCs/>
        </w:rPr>
        <w:t>First Nations Australians and people from Culturally and Linguistically Diverse (CALD) backgrounds</w:t>
      </w:r>
      <w:r w:rsidRPr="00C635E2">
        <w:t xml:space="preserve"> as they are often disproportionately impacted and require tailored, culturally suitable support.</w:t>
      </w:r>
    </w:p>
    <w:p w14:paraId="4931F4E8" w14:textId="32A15D5A" w:rsidR="00D04E87" w:rsidRPr="00E1008B" w:rsidRDefault="00D04E87" w:rsidP="00935B45">
      <w:pPr>
        <w:widowControl w:val="0"/>
        <w:spacing w:line="259" w:lineRule="auto"/>
      </w:pPr>
      <w:r>
        <w:t xml:space="preserve">Further details on the characteristics and needs of these priority population groups are also available in the </w:t>
      </w:r>
      <w:hyperlink r:id="rId37" w:history="1">
        <w:r w:rsidRPr="00D04E87">
          <w:rPr>
            <w:rStyle w:val="Hyperlink"/>
          </w:rPr>
          <w:t>National Strategies</w:t>
        </w:r>
      </w:hyperlink>
      <w:r>
        <w:t xml:space="preserve"> and the </w:t>
      </w:r>
      <w:hyperlink r:id="rId38" w:history="1">
        <w:r w:rsidRPr="00012E46">
          <w:rPr>
            <w:rStyle w:val="Hyperlink"/>
          </w:rPr>
          <w:t xml:space="preserve">STIBBV </w:t>
        </w:r>
        <w:r w:rsidR="00012E46" w:rsidRPr="00012E46">
          <w:rPr>
            <w:rStyle w:val="Hyperlink"/>
          </w:rPr>
          <w:t>Commissioning</w:t>
        </w:r>
        <w:r w:rsidRPr="00012E46">
          <w:rPr>
            <w:rStyle w:val="Hyperlink"/>
          </w:rPr>
          <w:t xml:space="preserve"> Needs Analysis</w:t>
        </w:r>
      </w:hyperlink>
      <w:r>
        <w:t xml:space="preserve"> document.</w:t>
      </w:r>
    </w:p>
    <w:p w14:paraId="0C41B2AA" w14:textId="267DE2E3" w:rsidR="00B5509B" w:rsidRPr="002C285A" w:rsidRDefault="00B5509B" w:rsidP="00E9709E">
      <w:pPr>
        <w:rPr>
          <w:b/>
          <w:bCs/>
          <w:i/>
          <w:iCs/>
        </w:rPr>
      </w:pPr>
      <w:bookmarkStart w:id="19" w:name="_Hlk145685028"/>
      <w:r w:rsidRPr="00D26E41">
        <w:rPr>
          <w:rFonts w:eastAsia="Calibri" w:cstheme="minorHAnsi"/>
          <w:color w:val="000000" w:themeColor="text1"/>
        </w:rPr>
        <w:t xml:space="preserve">The table below provides guidance on the </w:t>
      </w:r>
      <w:r w:rsidR="000B429E">
        <w:rPr>
          <w:rFonts w:eastAsia="Calibri" w:cstheme="minorHAnsi"/>
          <w:color w:val="000000" w:themeColor="text1"/>
        </w:rPr>
        <w:t>priority criteria</w:t>
      </w:r>
      <w:r w:rsidRPr="00D26E41">
        <w:rPr>
          <w:rFonts w:eastAsia="Calibri" w:cstheme="minorHAnsi"/>
          <w:color w:val="000000" w:themeColor="text1"/>
        </w:rPr>
        <w:t xml:space="preserve"> that will be considered in the </w:t>
      </w:r>
      <w:r w:rsidR="00AB004C">
        <w:rPr>
          <w:rFonts w:eastAsia="Calibri" w:cstheme="minorHAnsi"/>
          <w:color w:val="000000" w:themeColor="text1"/>
        </w:rPr>
        <w:t>i</w:t>
      </w:r>
      <w:r w:rsidR="00AB004C" w:rsidRPr="00D26E41">
        <w:rPr>
          <w:rFonts w:eastAsia="Calibri" w:cstheme="minorHAnsi"/>
          <w:color w:val="000000" w:themeColor="text1"/>
        </w:rPr>
        <w:t xml:space="preserve">nvest </w:t>
      </w:r>
      <w:r w:rsidRPr="00D26E41">
        <w:rPr>
          <w:rFonts w:eastAsia="Calibri" w:cstheme="minorHAnsi"/>
          <w:color w:val="000000" w:themeColor="text1"/>
        </w:rPr>
        <w:t>phase.</w:t>
      </w:r>
    </w:p>
    <w:tbl>
      <w:tblPr>
        <w:tblStyle w:val="TableGrid"/>
        <w:tblW w:w="0" w:type="auto"/>
        <w:tblLook w:val="04A0" w:firstRow="1" w:lastRow="0" w:firstColumn="1" w:lastColumn="0" w:noHBand="0" w:noVBand="1"/>
      </w:tblPr>
      <w:tblGrid>
        <w:gridCol w:w="2660"/>
        <w:gridCol w:w="6356"/>
      </w:tblGrid>
      <w:tr w:rsidR="00B5509B" w:rsidRPr="00AF414B" w14:paraId="13D84C7A" w14:textId="77777777" w:rsidTr="0023064E">
        <w:tc>
          <w:tcPr>
            <w:tcW w:w="2660" w:type="dxa"/>
            <w:shd w:val="clear" w:color="auto" w:fill="7030A0"/>
          </w:tcPr>
          <w:p w14:paraId="4F6FE28C" w14:textId="77777777" w:rsidR="00B5509B" w:rsidRPr="00E1008B" w:rsidRDefault="00B5509B" w:rsidP="006A6BCA">
            <w:pPr>
              <w:keepNext/>
              <w:keepLines/>
              <w:spacing w:before="120" w:after="120" w:line="240" w:lineRule="auto"/>
              <w:rPr>
                <w:b/>
                <w:bCs/>
                <w:color w:val="FFFFFF" w:themeColor="background1"/>
              </w:rPr>
            </w:pPr>
            <w:bookmarkStart w:id="20" w:name="_Hlk145685217"/>
            <w:bookmarkEnd w:id="19"/>
            <w:r w:rsidRPr="00E1008B">
              <w:rPr>
                <w:b/>
                <w:bCs/>
                <w:color w:val="FFFFFF" w:themeColor="background1"/>
              </w:rPr>
              <w:t>Prioritisation criteria</w:t>
            </w:r>
          </w:p>
        </w:tc>
        <w:tc>
          <w:tcPr>
            <w:tcW w:w="6356" w:type="dxa"/>
            <w:shd w:val="clear" w:color="auto" w:fill="7030A0"/>
          </w:tcPr>
          <w:p w14:paraId="1252F6F2" w14:textId="77777777" w:rsidR="00B5509B" w:rsidRPr="00E1008B" w:rsidRDefault="00B5509B" w:rsidP="006A6BCA">
            <w:pPr>
              <w:keepNext/>
              <w:keepLines/>
              <w:spacing w:before="120" w:after="120" w:line="240" w:lineRule="auto"/>
              <w:rPr>
                <w:b/>
                <w:bCs/>
                <w:color w:val="FFFFFF" w:themeColor="background1"/>
              </w:rPr>
            </w:pPr>
            <w:r w:rsidRPr="00E1008B">
              <w:rPr>
                <w:b/>
                <w:bCs/>
                <w:color w:val="FFFFFF" w:themeColor="background1"/>
              </w:rPr>
              <w:t>Definition</w:t>
            </w:r>
          </w:p>
        </w:tc>
      </w:tr>
      <w:tr w:rsidR="00B5509B" w14:paraId="450FBE93" w14:textId="77777777" w:rsidTr="00B5509B">
        <w:tc>
          <w:tcPr>
            <w:tcW w:w="2660" w:type="dxa"/>
          </w:tcPr>
          <w:p w14:paraId="6BFA9E63" w14:textId="77777777" w:rsidR="00B5509B" w:rsidRPr="002C285A" w:rsidRDefault="00B5509B" w:rsidP="006A6BCA">
            <w:pPr>
              <w:spacing w:before="120" w:after="120" w:line="240" w:lineRule="auto"/>
              <w:rPr>
                <w:b/>
                <w:bCs/>
              </w:rPr>
            </w:pPr>
            <w:r w:rsidRPr="002C285A">
              <w:rPr>
                <w:b/>
                <w:bCs/>
              </w:rPr>
              <w:t>In scope</w:t>
            </w:r>
          </w:p>
        </w:tc>
        <w:tc>
          <w:tcPr>
            <w:tcW w:w="6356" w:type="dxa"/>
          </w:tcPr>
          <w:p w14:paraId="089B3367" w14:textId="5C1F6436" w:rsidR="00B5509B" w:rsidRDefault="00B5509B" w:rsidP="006A6BCA">
            <w:pPr>
              <w:keepNext/>
              <w:keepLines/>
              <w:spacing w:before="120" w:after="120" w:line="240" w:lineRule="auto"/>
            </w:pPr>
            <w:r>
              <w:t>STIBBV treatment/support services. Opportunity to improve health</w:t>
            </w:r>
            <w:r w:rsidR="00E42817">
              <w:t xml:space="preserve"> and wellbeing</w:t>
            </w:r>
            <w:r>
              <w:t xml:space="preserve"> outcomes</w:t>
            </w:r>
            <w:r w:rsidR="00E9709E">
              <w:t>.</w:t>
            </w:r>
          </w:p>
        </w:tc>
      </w:tr>
      <w:tr w:rsidR="00B5509B" w14:paraId="3E3BED09" w14:textId="77777777" w:rsidTr="00B5509B">
        <w:tc>
          <w:tcPr>
            <w:tcW w:w="2660" w:type="dxa"/>
          </w:tcPr>
          <w:p w14:paraId="080EE42C" w14:textId="77777777" w:rsidR="00B5509B" w:rsidRPr="002C285A" w:rsidRDefault="00B5509B" w:rsidP="006A6BCA">
            <w:pPr>
              <w:spacing w:before="120" w:after="120" w:line="240" w:lineRule="auto"/>
              <w:rPr>
                <w:b/>
                <w:bCs/>
              </w:rPr>
            </w:pPr>
            <w:r w:rsidRPr="002C285A">
              <w:rPr>
                <w:b/>
                <w:bCs/>
              </w:rPr>
              <w:t>Validation of need</w:t>
            </w:r>
          </w:p>
        </w:tc>
        <w:tc>
          <w:tcPr>
            <w:tcW w:w="6356" w:type="dxa"/>
          </w:tcPr>
          <w:p w14:paraId="3E542C80" w14:textId="7FC27194" w:rsidR="00B5509B" w:rsidRDefault="00B5509B" w:rsidP="006A6BCA">
            <w:pPr>
              <w:spacing w:before="120" w:after="120" w:line="240" w:lineRule="auto"/>
            </w:pPr>
            <w:r>
              <w:t>Evidence of need has been established</w:t>
            </w:r>
            <w:r w:rsidR="00E9709E">
              <w:t>.</w:t>
            </w:r>
          </w:p>
        </w:tc>
      </w:tr>
      <w:tr w:rsidR="00B5509B" w14:paraId="16BCDA3E" w14:textId="77777777" w:rsidTr="00B5509B">
        <w:tc>
          <w:tcPr>
            <w:tcW w:w="2660" w:type="dxa"/>
          </w:tcPr>
          <w:p w14:paraId="1C015780" w14:textId="77777777" w:rsidR="00B5509B" w:rsidRPr="002C285A" w:rsidRDefault="00B5509B" w:rsidP="006A6BCA">
            <w:pPr>
              <w:spacing w:before="120" w:after="120" w:line="240" w:lineRule="auto"/>
              <w:rPr>
                <w:b/>
                <w:bCs/>
              </w:rPr>
            </w:pPr>
            <w:r w:rsidRPr="002C285A">
              <w:rPr>
                <w:b/>
                <w:bCs/>
              </w:rPr>
              <w:t>Urgency</w:t>
            </w:r>
          </w:p>
        </w:tc>
        <w:tc>
          <w:tcPr>
            <w:tcW w:w="6356" w:type="dxa"/>
          </w:tcPr>
          <w:p w14:paraId="7A868C2F" w14:textId="26997F91" w:rsidR="00B5509B" w:rsidRDefault="00B5509B" w:rsidP="006A6BCA">
            <w:pPr>
              <w:spacing w:before="120" w:after="120" w:line="240" w:lineRule="auto"/>
            </w:pPr>
            <w:r>
              <w:t>Issue requires swift action</w:t>
            </w:r>
            <w:r w:rsidR="00E9709E">
              <w:t>.</w:t>
            </w:r>
          </w:p>
        </w:tc>
      </w:tr>
      <w:tr w:rsidR="00B5509B" w14:paraId="007A1E9A" w14:textId="77777777" w:rsidTr="00B5509B">
        <w:tc>
          <w:tcPr>
            <w:tcW w:w="2660" w:type="dxa"/>
          </w:tcPr>
          <w:p w14:paraId="660D370A" w14:textId="77777777" w:rsidR="00B5509B" w:rsidRPr="002C285A" w:rsidRDefault="00B5509B" w:rsidP="006A6BCA">
            <w:pPr>
              <w:spacing w:before="120" w:after="120" w:line="240" w:lineRule="auto"/>
              <w:rPr>
                <w:b/>
                <w:bCs/>
              </w:rPr>
            </w:pPr>
            <w:r w:rsidRPr="002C285A">
              <w:rPr>
                <w:b/>
                <w:bCs/>
              </w:rPr>
              <w:t>Potential impact</w:t>
            </w:r>
          </w:p>
        </w:tc>
        <w:tc>
          <w:tcPr>
            <w:tcW w:w="6356" w:type="dxa"/>
          </w:tcPr>
          <w:p w14:paraId="24057584" w14:textId="562AF217" w:rsidR="00B5509B" w:rsidRDefault="00B5509B" w:rsidP="006A6BCA">
            <w:pPr>
              <w:spacing w:before="120" w:after="120" w:line="240" w:lineRule="auto"/>
            </w:pPr>
            <w:r>
              <w:t>Extent of anticipated effect/outcome</w:t>
            </w:r>
            <w:r w:rsidR="00E9709E">
              <w:t>.</w:t>
            </w:r>
          </w:p>
        </w:tc>
      </w:tr>
      <w:tr w:rsidR="00B5509B" w14:paraId="3C5E01AD" w14:textId="77777777" w:rsidTr="00B5509B">
        <w:tc>
          <w:tcPr>
            <w:tcW w:w="2660" w:type="dxa"/>
          </w:tcPr>
          <w:p w14:paraId="67F49EA8" w14:textId="77777777" w:rsidR="00B5509B" w:rsidRPr="002C285A" w:rsidRDefault="00B5509B" w:rsidP="006A6BCA">
            <w:pPr>
              <w:spacing w:before="120" w:after="120" w:line="240" w:lineRule="auto"/>
              <w:rPr>
                <w:b/>
                <w:bCs/>
              </w:rPr>
            </w:pPr>
            <w:r w:rsidRPr="002C285A">
              <w:rPr>
                <w:b/>
                <w:bCs/>
              </w:rPr>
              <w:t>Risk of unmet need</w:t>
            </w:r>
          </w:p>
        </w:tc>
        <w:tc>
          <w:tcPr>
            <w:tcW w:w="6356" w:type="dxa"/>
          </w:tcPr>
          <w:p w14:paraId="2E779363" w14:textId="7253A229" w:rsidR="00B5509B" w:rsidRDefault="00B5509B" w:rsidP="006A6BCA">
            <w:pPr>
              <w:spacing w:before="120" w:after="120" w:line="240" w:lineRule="auto"/>
            </w:pPr>
            <w:r>
              <w:t>Likelihood and severity of possible risks of not addressing need/service gap. Risk of proceeding or not proceeding with action on the service need</w:t>
            </w:r>
            <w:r w:rsidR="00E9709E">
              <w:t>.</w:t>
            </w:r>
          </w:p>
        </w:tc>
      </w:tr>
      <w:tr w:rsidR="00B5509B" w14:paraId="578E4484" w14:textId="77777777" w:rsidTr="00B5509B">
        <w:tc>
          <w:tcPr>
            <w:tcW w:w="2660" w:type="dxa"/>
          </w:tcPr>
          <w:p w14:paraId="7D7312F9" w14:textId="77777777" w:rsidR="00B5509B" w:rsidRPr="002C285A" w:rsidRDefault="00B5509B" w:rsidP="006A6BCA">
            <w:pPr>
              <w:spacing w:before="120" w:after="120" w:line="240" w:lineRule="auto"/>
              <w:rPr>
                <w:b/>
                <w:bCs/>
              </w:rPr>
            </w:pPr>
            <w:r w:rsidRPr="002C285A">
              <w:rPr>
                <w:b/>
                <w:bCs/>
              </w:rPr>
              <w:t>Risk level</w:t>
            </w:r>
          </w:p>
        </w:tc>
        <w:tc>
          <w:tcPr>
            <w:tcW w:w="6356" w:type="dxa"/>
          </w:tcPr>
          <w:p w14:paraId="42ABE573" w14:textId="38E2EFED" w:rsidR="00B5509B" w:rsidRDefault="00B5509B" w:rsidP="006A6BCA">
            <w:pPr>
              <w:spacing w:before="120" w:after="120" w:line="240" w:lineRule="auto"/>
            </w:pPr>
            <w:r>
              <w:t>Likelihood and severity of possible unintended or negative consequences</w:t>
            </w:r>
            <w:r w:rsidR="00E9709E">
              <w:t>.</w:t>
            </w:r>
          </w:p>
        </w:tc>
      </w:tr>
      <w:tr w:rsidR="00B5509B" w14:paraId="73014701" w14:textId="77777777" w:rsidTr="00B5509B">
        <w:tc>
          <w:tcPr>
            <w:tcW w:w="2660" w:type="dxa"/>
          </w:tcPr>
          <w:p w14:paraId="07E770B2" w14:textId="77777777" w:rsidR="00B5509B" w:rsidRPr="002C285A" w:rsidRDefault="00B5509B" w:rsidP="006A6BCA">
            <w:pPr>
              <w:spacing w:before="120" w:after="120" w:line="240" w:lineRule="auto"/>
              <w:rPr>
                <w:b/>
                <w:bCs/>
              </w:rPr>
            </w:pPr>
            <w:r w:rsidRPr="002C285A">
              <w:rPr>
                <w:b/>
                <w:bCs/>
              </w:rPr>
              <w:t>Feasibility</w:t>
            </w:r>
          </w:p>
        </w:tc>
        <w:tc>
          <w:tcPr>
            <w:tcW w:w="6356" w:type="dxa"/>
          </w:tcPr>
          <w:p w14:paraId="54DB0FFD" w14:textId="77777777" w:rsidR="00B5509B" w:rsidRDefault="00B5509B" w:rsidP="006A6BCA">
            <w:pPr>
              <w:spacing w:before="120" w:after="120" w:line="240" w:lineRule="auto"/>
            </w:pPr>
            <w:r>
              <w:t>Funding, assets, infrastructure, workforce skills and capacity.</w:t>
            </w:r>
          </w:p>
        </w:tc>
      </w:tr>
      <w:tr w:rsidR="00B5509B" w14:paraId="73EC2938" w14:textId="77777777" w:rsidTr="00B5509B">
        <w:tc>
          <w:tcPr>
            <w:tcW w:w="2660" w:type="dxa"/>
          </w:tcPr>
          <w:p w14:paraId="130DF95C" w14:textId="77777777" w:rsidR="00B5509B" w:rsidRPr="002C285A" w:rsidRDefault="00B5509B" w:rsidP="006A6BCA">
            <w:pPr>
              <w:spacing w:before="120" w:after="120" w:line="240" w:lineRule="auto"/>
              <w:rPr>
                <w:b/>
                <w:bCs/>
              </w:rPr>
            </w:pPr>
            <w:r w:rsidRPr="002C285A">
              <w:rPr>
                <w:b/>
                <w:bCs/>
              </w:rPr>
              <w:t>Alignment with strategic priorities</w:t>
            </w:r>
            <w:r w:rsidR="00F85216">
              <w:rPr>
                <w:b/>
                <w:bCs/>
              </w:rPr>
              <w:t xml:space="preserve"> and grant objectives/outcomes</w:t>
            </w:r>
          </w:p>
        </w:tc>
        <w:tc>
          <w:tcPr>
            <w:tcW w:w="6356" w:type="dxa"/>
          </w:tcPr>
          <w:p w14:paraId="1A240BFA" w14:textId="36EA6036" w:rsidR="00B5509B" w:rsidRPr="00935B45" w:rsidRDefault="00AA7E43" w:rsidP="009035D2">
            <w:pPr>
              <w:pStyle w:val="pf0"/>
              <w:rPr>
                <w:rFonts w:asciiTheme="minorHAnsi" w:hAnsiTheme="minorHAnsi" w:cstheme="minorHAnsi"/>
                <w:szCs w:val="22"/>
              </w:rPr>
            </w:pPr>
            <w:r w:rsidRPr="009035D2">
              <w:rPr>
                <w:rStyle w:val="cf01"/>
                <w:rFonts w:asciiTheme="minorHAnsi" w:hAnsiTheme="minorHAnsi" w:cstheme="minorHAnsi"/>
                <w:sz w:val="22"/>
                <w:szCs w:val="22"/>
              </w:rPr>
              <w:t xml:space="preserve">Priorities for STIBBV commissioning investment include activities in service categories listed below for the purposes of reducing the transmission, burden and social impact of STIBBV. Services will be commissioned to reflect the policy and legislative goals and </w:t>
            </w:r>
            <w:r w:rsidRPr="009035D2">
              <w:rPr>
                <w:rStyle w:val="cf01"/>
                <w:rFonts w:asciiTheme="minorHAnsi" w:hAnsiTheme="minorHAnsi" w:cstheme="minorHAnsi"/>
                <w:sz w:val="22"/>
                <w:szCs w:val="22"/>
              </w:rPr>
              <w:lastRenderedPageBreak/>
              <w:t xml:space="preserve">requirements outlined in the Hepatitis B, Hepatitis C, HIV and Sexually </w:t>
            </w:r>
            <w:r w:rsidR="009035D2">
              <w:rPr>
                <w:rStyle w:val="cf01"/>
                <w:rFonts w:asciiTheme="minorHAnsi" w:hAnsiTheme="minorHAnsi" w:cstheme="minorHAnsi"/>
                <w:sz w:val="22"/>
                <w:szCs w:val="22"/>
              </w:rPr>
              <w:t>T</w:t>
            </w:r>
            <w:r w:rsidRPr="009035D2">
              <w:rPr>
                <w:rStyle w:val="cf01"/>
                <w:rFonts w:asciiTheme="minorHAnsi" w:hAnsiTheme="minorHAnsi" w:cstheme="minorHAnsi"/>
                <w:sz w:val="22"/>
                <w:szCs w:val="22"/>
              </w:rPr>
              <w:t xml:space="preserve">ransmissible Infections: ACT Statement of Priorities and the overarching </w:t>
            </w:r>
            <w:hyperlink r:id="rId39" w:history="1">
              <w:r w:rsidRPr="009035D2">
                <w:rPr>
                  <w:rStyle w:val="cf01"/>
                  <w:rFonts w:asciiTheme="minorHAnsi" w:hAnsiTheme="minorHAnsi" w:cstheme="minorHAnsi"/>
                  <w:color w:val="0000FF"/>
                  <w:sz w:val="22"/>
                  <w:szCs w:val="22"/>
                  <w:u w:val="single"/>
                </w:rPr>
                <w:t>National strategies</w:t>
              </w:r>
            </w:hyperlink>
            <w:r w:rsidR="00935B45">
              <w:rPr>
                <w:rStyle w:val="cf01"/>
              </w:rPr>
              <w:t>.</w:t>
            </w:r>
          </w:p>
        </w:tc>
      </w:tr>
      <w:tr w:rsidR="00B5509B" w14:paraId="3067F9C1" w14:textId="77777777" w:rsidTr="00B5509B">
        <w:tc>
          <w:tcPr>
            <w:tcW w:w="2660" w:type="dxa"/>
          </w:tcPr>
          <w:p w14:paraId="45F63A69" w14:textId="77777777" w:rsidR="00B5509B" w:rsidRPr="002C285A" w:rsidRDefault="00B5509B" w:rsidP="006A6BCA">
            <w:pPr>
              <w:spacing w:before="120" w:after="120" w:line="240" w:lineRule="auto"/>
              <w:rPr>
                <w:b/>
                <w:bCs/>
              </w:rPr>
            </w:pPr>
            <w:r w:rsidRPr="002C285A">
              <w:rPr>
                <w:b/>
                <w:bCs/>
              </w:rPr>
              <w:lastRenderedPageBreak/>
              <w:t>Equity of health outcomes</w:t>
            </w:r>
          </w:p>
        </w:tc>
        <w:tc>
          <w:tcPr>
            <w:tcW w:w="6356" w:type="dxa"/>
          </w:tcPr>
          <w:p w14:paraId="122BABBC" w14:textId="77777777" w:rsidR="00B5509B" w:rsidRDefault="00B5509B" w:rsidP="006A6BCA">
            <w:pPr>
              <w:spacing w:before="120" w:after="120" w:line="240" w:lineRule="auto"/>
            </w:pPr>
            <w:r>
              <w:t>Resources are distributed and processes are designed in ways most likely to equalise the health outcomes of disadvantaged social groups with the outcomes of their counterparts not experiencing disadvantage.</w:t>
            </w:r>
          </w:p>
        </w:tc>
      </w:tr>
      <w:bookmarkEnd w:id="20"/>
    </w:tbl>
    <w:p w14:paraId="0F2EE011" w14:textId="77777777" w:rsidR="00472A80" w:rsidRPr="00195E7B" w:rsidRDefault="00472A80" w:rsidP="00195E7B">
      <w:pPr>
        <w:spacing w:before="120" w:after="0" w:line="240" w:lineRule="auto"/>
        <w:rPr>
          <w:szCs w:val="22"/>
        </w:rPr>
      </w:pPr>
    </w:p>
    <w:p w14:paraId="6A8EB8EF" w14:textId="1456952A" w:rsidR="006C70C4" w:rsidRPr="005A3EF5" w:rsidRDefault="004D3A4E" w:rsidP="002C5317">
      <w:pPr>
        <w:pStyle w:val="Heading1"/>
      </w:pPr>
      <w:bookmarkStart w:id="21" w:name="_Toc144494381"/>
      <w:r w:rsidRPr="005A3EF5">
        <w:t>Invest</w:t>
      </w:r>
      <w:r w:rsidR="00E42817" w:rsidRPr="005A3EF5">
        <w:t>ment pathways</w:t>
      </w:r>
      <w:bookmarkEnd w:id="21"/>
    </w:p>
    <w:p w14:paraId="074A72C2" w14:textId="5F498B2F" w:rsidR="00AE0B37" w:rsidRDefault="0070141C" w:rsidP="006A6BCA">
      <w:pPr>
        <w:spacing w:line="240" w:lineRule="auto"/>
        <w:rPr>
          <w:szCs w:val="22"/>
        </w:rPr>
      </w:pPr>
      <w:r w:rsidRPr="006C70C4">
        <w:rPr>
          <w:szCs w:val="22"/>
        </w:rPr>
        <w:t xml:space="preserve">To support a transition </w:t>
      </w:r>
      <w:r w:rsidR="00E42817">
        <w:rPr>
          <w:szCs w:val="22"/>
        </w:rPr>
        <w:t xml:space="preserve">to investment, </w:t>
      </w:r>
      <w:r w:rsidRPr="006C70C4">
        <w:rPr>
          <w:szCs w:val="22"/>
        </w:rPr>
        <w:t>ACT</w:t>
      </w:r>
      <w:r w:rsidR="00E42817">
        <w:rPr>
          <w:szCs w:val="22"/>
        </w:rPr>
        <w:t>HD</w:t>
      </w:r>
      <w:r w:rsidRPr="006C70C4">
        <w:rPr>
          <w:szCs w:val="22"/>
        </w:rPr>
        <w:t xml:space="preserve"> </w:t>
      </w:r>
      <w:r w:rsidR="005D05F1">
        <w:rPr>
          <w:szCs w:val="22"/>
        </w:rPr>
        <w:t xml:space="preserve">will </w:t>
      </w:r>
      <w:r w:rsidRPr="006C70C4">
        <w:rPr>
          <w:szCs w:val="22"/>
        </w:rPr>
        <w:t xml:space="preserve">extend the contracts of current </w:t>
      </w:r>
      <w:r w:rsidR="00E42817">
        <w:rPr>
          <w:szCs w:val="22"/>
        </w:rPr>
        <w:t xml:space="preserve">STIBBV </w:t>
      </w:r>
      <w:r w:rsidRPr="006C70C4">
        <w:rPr>
          <w:szCs w:val="22"/>
        </w:rPr>
        <w:t xml:space="preserve">service providers to </w:t>
      </w:r>
      <w:r w:rsidR="00DF26C1">
        <w:rPr>
          <w:szCs w:val="22"/>
        </w:rPr>
        <w:t>30 April 2024</w:t>
      </w:r>
      <w:r w:rsidR="002C1E67">
        <w:rPr>
          <w:szCs w:val="22"/>
        </w:rPr>
        <w:t>,</w:t>
      </w:r>
      <w:r w:rsidRPr="006C70C4">
        <w:rPr>
          <w:szCs w:val="22"/>
        </w:rPr>
        <w:t xml:space="preserve"> so that all parties c</w:t>
      </w:r>
      <w:r w:rsidR="00E42817">
        <w:rPr>
          <w:szCs w:val="22"/>
        </w:rPr>
        <w:t>an</w:t>
      </w:r>
      <w:r w:rsidRPr="006C70C4">
        <w:rPr>
          <w:szCs w:val="22"/>
        </w:rPr>
        <w:t xml:space="preserve"> continue to work together </w:t>
      </w:r>
      <w:r w:rsidR="00E42817">
        <w:rPr>
          <w:szCs w:val="22"/>
        </w:rPr>
        <w:t>to achieve outcomes for the Canberra community.</w:t>
      </w:r>
    </w:p>
    <w:p w14:paraId="6030AB26" w14:textId="4C5E17F8" w:rsidR="00E62C5C" w:rsidRDefault="00E42817" w:rsidP="006A6BCA">
      <w:pPr>
        <w:spacing w:line="240" w:lineRule="auto"/>
        <w:rPr>
          <w:szCs w:val="22"/>
        </w:rPr>
      </w:pPr>
      <w:r>
        <w:t xml:space="preserve">STIBBV NGO </w:t>
      </w:r>
      <w:r w:rsidR="006A6BCA">
        <w:t xml:space="preserve">investment </w:t>
      </w:r>
      <w:r>
        <w:t xml:space="preserve">requires considered alignment between addressing the investment priorities (as identified above) and selecting the most appropriate investment pathways to enable </w:t>
      </w:r>
      <w:r w:rsidR="00942AA4">
        <w:t>strong and sustainable investment outcomes</w:t>
      </w:r>
      <w:r>
        <w:t xml:space="preserve">. </w:t>
      </w:r>
    </w:p>
    <w:p w14:paraId="1A1E56E0" w14:textId="25D60C5A" w:rsidR="0040121E" w:rsidRDefault="0040121E" w:rsidP="00935B45">
      <w:pPr>
        <w:spacing w:before="120" w:after="0" w:line="240" w:lineRule="auto"/>
      </w:pPr>
      <w:r>
        <w:t xml:space="preserve">STIBBV commissioning investment may include one or more investment approaches depending on the investment priorities. The table below describes how these approaches differ. In all approaches, all organisations will be required to follow a similar process and provide responses to service requirements and evaluation criteria outlined in the </w:t>
      </w:r>
      <w:r w:rsidR="0069110D">
        <w:t xml:space="preserve">investment </w:t>
      </w:r>
      <w:r>
        <w:t xml:space="preserve">package/s. </w:t>
      </w:r>
    </w:p>
    <w:tbl>
      <w:tblPr>
        <w:tblStyle w:val="GridTable4-Accent5"/>
        <w:tblW w:w="9634" w:type="dxa"/>
        <w:tblLook w:val="04A0" w:firstRow="1" w:lastRow="0" w:firstColumn="1" w:lastColumn="0" w:noHBand="0" w:noVBand="1"/>
      </w:tblPr>
      <w:tblGrid>
        <w:gridCol w:w="2122"/>
        <w:gridCol w:w="7512"/>
      </w:tblGrid>
      <w:tr w:rsidR="0040121E" w14:paraId="6282B3D0" w14:textId="77777777" w:rsidTr="006A6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7030A0"/>
          </w:tcPr>
          <w:p w14:paraId="18F79A4E" w14:textId="77777777" w:rsidR="0040121E" w:rsidRPr="001360BF" w:rsidRDefault="0040121E" w:rsidP="006A6BCA">
            <w:pPr>
              <w:spacing w:before="120" w:after="120" w:line="240" w:lineRule="auto"/>
              <w:rPr>
                <w:bCs w:val="0"/>
              </w:rPr>
            </w:pPr>
            <w:r w:rsidRPr="001360BF">
              <w:rPr>
                <w:bCs w:val="0"/>
              </w:rPr>
              <w:t>Approach</w:t>
            </w:r>
          </w:p>
        </w:tc>
        <w:tc>
          <w:tcPr>
            <w:tcW w:w="7512" w:type="dxa"/>
            <w:shd w:val="clear" w:color="auto" w:fill="7030A0"/>
          </w:tcPr>
          <w:p w14:paraId="6DE76E63" w14:textId="77777777" w:rsidR="0040121E" w:rsidRPr="001360BF" w:rsidRDefault="0040121E" w:rsidP="006A6BCA">
            <w:pPr>
              <w:spacing w:before="120" w:after="120" w:line="240" w:lineRule="auto"/>
              <w:cnfStyle w:val="100000000000" w:firstRow="1" w:lastRow="0" w:firstColumn="0" w:lastColumn="0" w:oddVBand="0" w:evenVBand="0" w:oddHBand="0" w:evenHBand="0" w:firstRowFirstColumn="0" w:firstRowLastColumn="0" w:lastRowFirstColumn="0" w:lastRowLastColumn="0"/>
              <w:rPr>
                <w:bCs w:val="0"/>
              </w:rPr>
            </w:pPr>
            <w:r w:rsidRPr="001360BF">
              <w:rPr>
                <w:bCs w:val="0"/>
              </w:rPr>
              <w:t>Description</w:t>
            </w:r>
          </w:p>
        </w:tc>
      </w:tr>
      <w:tr w:rsidR="0040121E" w14:paraId="6A58D252" w14:textId="3DEC4F55" w:rsidTr="006A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E6D5F3"/>
          </w:tcPr>
          <w:p w14:paraId="4B392979" w14:textId="4610F6DC" w:rsidR="0040121E" w:rsidRPr="001360BF" w:rsidRDefault="0040121E" w:rsidP="006A6BCA">
            <w:pPr>
              <w:spacing w:before="120" w:after="120" w:line="240" w:lineRule="auto"/>
              <w:rPr>
                <w:rFonts w:asciiTheme="minorHAnsi" w:eastAsiaTheme="minorEastAsia" w:hAnsiTheme="minorHAnsi" w:cstheme="minorBidi"/>
                <w:kern w:val="28"/>
              </w:rPr>
            </w:pPr>
            <w:r w:rsidRPr="001360BF">
              <w:rPr>
                <w:rFonts w:asciiTheme="minorHAnsi" w:eastAsiaTheme="minorEastAsia" w:hAnsiTheme="minorHAnsi" w:cstheme="minorBidi"/>
                <w:kern w:val="28"/>
              </w:rPr>
              <w:t>Direct sourcing grant</w:t>
            </w:r>
          </w:p>
        </w:tc>
        <w:tc>
          <w:tcPr>
            <w:tcW w:w="7512" w:type="dxa"/>
            <w:shd w:val="clear" w:color="auto" w:fill="E6D5F3"/>
          </w:tcPr>
          <w:p w14:paraId="6AF8EAE9" w14:textId="2B1774E5" w:rsidR="0040121E" w:rsidRPr="001853FE" w:rsidRDefault="0040121E" w:rsidP="006A6BCA">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sidRPr="001853FE">
              <w:rPr>
                <w:rFonts w:asciiTheme="minorHAnsi" w:eastAsiaTheme="minorEastAsia" w:hAnsiTheme="minorHAnsi" w:cstheme="minorBidi"/>
                <w:kern w:val="28"/>
              </w:rPr>
              <w:t xml:space="preserve">A direct approach from ACT government to </w:t>
            </w:r>
            <w:r>
              <w:rPr>
                <w:rFonts w:asciiTheme="minorHAnsi" w:eastAsiaTheme="minorEastAsia" w:hAnsiTheme="minorHAnsi" w:cstheme="minorBidi"/>
                <w:kern w:val="28"/>
              </w:rPr>
              <w:t>one or more organisations</w:t>
            </w:r>
          </w:p>
        </w:tc>
      </w:tr>
      <w:tr w:rsidR="0040121E" w14:paraId="248DE5F4" w14:textId="77777777" w:rsidTr="006A6BCA">
        <w:tc>
          <w:tcPr>
            <w:cnfStyle w:val="001000000000" w:firstRow="0" w:lastRow="0" w:firstColumn="1" w:lastColumn="0" w:oddVBand="0" w:evenVBand="0" w:oddHBand="0" w:evenHBand="0" w:firstRowFirstColumn="0" w:firstRowLastColumn="0" w:lastRowFirstColumn="0" w:lastRowLastColumn="0"/>
            <w:tcW w:w="2122" w:type="dxa"/>
            <w:shd w:val="clear" w:color="auto" w:fill="E6D5F3"/>
          </w:tcPr>
          <w:p w14:paraId="6C89805C" w14:textId="746A8E78" w:rsidR="0040121E" w:rsidRPr="001360BF" w:rsidRDefault="0040121E" w:rsidP="006A6BCA">
            <w:pPr>
              <w:spacing w:before="120" w:after="120" w:line="240" w:lineRule="auto"/>
              <w:rPr>
                <w:rFonts w:asciiTheme="minorHAnsi" w:eastAsiaTheme="minorEastAsia" w:hAnsiTheme="minorHAnsi" w:cstheme="minorBidi"/>
                <w:kern w:val="28"/>
              </w:rPr>
            </w:pPr>
            <w:r w:rsidRPr="001360BF">
              <w:rPr>
                <w:rFonts w:asciiTheme="minorHAnsi" w:eastAsiaTheme="minorEastAsia" w:hAnsiTheme="minorHAnsi" w:cstheme="minorBidi"/>
                <w:kern w:val="28"/>
              </w:rPr>
              <w:t>Open grant</w:t>
            </w:r>
          </w:p>
        </w:tc>
        <w:tc>
          <w:tcPr>
            <w:tcW w:w="7512" w:type="dxa"/>
            <w:shd w:val="clear" w:color="auto" w:fill="E6D5F3"/>
          </w:tcPr>
          <w:p w14:paraId="720E2AD3" w14:textId="77777777" w:rsidR="0040121E" w:rsidRPr="001853FE" w:rsidRDefault="0040121E" w:rsidP="006A6BC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sidRPr="001853FE">
              <w:rPr>
                <w:rFonts w:asciiTheme="minorHAnsi" w:eastAsiaTheme="minorEastAsia" w:hAnsiTheme="minorHAnsi" w:cstheme="minorBidi"/>
                <w:kern w:val="28"/>
              </w:rPr>
              <w:t>The public release of the grant or tender through ACT Government Grants</w:t>
            </w:r>
            <w:r>
              <w:rPr>
                <w:rFonts w:asciiTheme="minorHAnsi" w:eastAsiaTheme="minorEastAsia" w:hAnsiTheme="minorHAnsi" w:cstheme="minorBidi"/>
                <w:kern w:val="28"/>
              </w:rPr>
              <w:t>.</w:t>
            </w:r>
          </w:p>
        </w:tc>
      </w:tr>
      <w:tr w:rsidR="0040121E" w14:paraId="4BAA6FB5" w14:textId="77777777" w:rsidTr="006A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E6D5F3"/>
          </w:tcPr>
          <w:p w14:paraId="72BB7A82" w14:textId="77777777" w:rsidR="0040121E" w:rsidRPr="001360BF" w:rsidRDefault="0040121E" w:rsidP="006A6BCA">
            <w:pPr>
              <w:spacing w:before="120" w:after="120" w:line="240" w:lineRule="auto"/>
              <w:rPr>
                <w:rFonts w:asciiTheme="minorHAnsi" w:eastAsiaTheme="minorEastAsia" w:hAnsiTheme="minorHAnsi" w:cstheme="minorBidi"/>
                <w:kern w:val="28"/>
              </w:rPr>
            </w:pPr>
            <w:r w:rsidRPr="001360BF">
              <w:rPr>
                <w:rFonts w:asciiTheme="minorHAnsi" w:eastAsiaTheme="minorEastAsia" w:hAnsiTheme="minorHAnsi" w:cstheme="minorBidi"/>
                <w:kern w:val="28"/>
              </w:rPr>
              <w:t>Variations to existing contracts</w:t>
            </w:r>
          </w:p>
        </w:tc>
        <w:tc>
          <w:tcPr>
            <w:tcW w:w="7512" w:type="dxa"/>
            <w:shd w:val="clear" w:color="auto" w:fill="E6D5F3"/>
          </w:tcPr>
          <w:p w14:paraId="1D57C843" w14:textId="77777777" w:rsidR="0040121E" w:rsidRPr="001853FE" w:rsidRDefault="0040121E" w:rsidP="006A6BCA">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sidRPr="001853FE">
              <w:rPr>
                <w:rFonts w:asciiTheme="minorHAnsi" w:eastAsiaTheme="minorEastAsia" w:hAnsiTheme="minorHAnsi" w:cstheme="minorBidi"/>
                <w:kern w:val="28"/>
              </w:rPr>
              <w:t>Where appropriate or required, existing contracts or funding agreements may be varied (time, funding amount, service scope, reporting requirements).</w:t>
            </w:r>
          </w:p>
        </w:tc>
      </w:tr>
    </w:tbl>
    <w:p w14:paraId="55715294" w14:textId="548F5B23" w:rsidR="00A60C3E" w:rsidRDefault="00991503" w:rsidP="006A6BCA">
      <w:pPr>
        <w:spacing w:line="240" w:lineRule="auto"/>
        <w:rPr>
          <w:color w:val="000000" w:themeColor="text1"/>
          <w:szCs w:val="22"/>
        </w:rPr>
      </w:pPr>
      <w:r>
        <w:rPr>
          <w:color w:val="000000" w:themeColor="text1"/>
          <w:szCs w:val="22"/>
        </w:rPr>
        <w:t>D</w:t>
      </w:r>
      <w:r w:rsidR="00A60C3E" w:rsidRPr="00B079C6">
        <w:rPr>
          <w:color w:val="000000" w:themeColor="text1"/>
          <w:szCs w:val="22"/>
        </w:rPr>
        <w:t xml:space="preserve">rawing from the insights </w:t>
      </w:r>
      <w:r w:rsidR="006A6BCA">
        <w:rPr>
          <w:color w:val="000000" w:themeColor="text1"/>
          <w:szCs w:val="22"/>
        </w:rPr>
        <w:t xml:space="preserve">gained </w:t>
      </w:r>
      <w:r w:rsidR="00A60C3E" w:rsidRPr="00B079C6">
        <w:rPr>
          <w:color w:val="000000" w:themeColor="text1"/>
          <w:szCs w:val="22"/>
        </w:rPr>
        <w:t xml:space="preserve">through </w:t>
      </w:r>
      <w:r w:rsidR="006A6BCA">
        <w:rPr>
          <w:color w:val="000000" w:themeColor="text1"/>
          <w:szCs w:val="22"/>
        </w:rPr>
        <w:t>e</w:t>
      </w:r>
      <w:r w:rsidR="00A60C3E" w:rsidRPr="00B079C6">
        <w:rPr>
          <w:color w:val="000000" w:themeColor="text1"/>
          <w:szCs w:val="22"/>
        </w:rPr>
        <w:t>ngagement</w:t>
      </w:r>
      <w:r w:rsidR="006A6BCA">
        <w:rPr>
          <w:color w:val="000000" w:themeColor="text1"/>
          <w:szCs w:val="22"/>
        </w:rPr>
        <w:t xml:space="preserve"> through the commissioning cycle</w:t>
      </w:r>
      <w:r w:rsidR="00A60C3E" w:rsidRPr="00B079C6">
        <w:rPr>
          <w:color w:val="000000" w:themeColor="text1"/>
          <w:szCs w:val="22"/>
        </w:rPr>
        <w:t xml:space="preserve">, </w:t>
      </w:r>
      <w:r w:rsidR="0040121E">
        <w:rPr>
          <w:color w:val="000000" w:themeColor="text1"/>
          <w:szCs w:val="22"/>
        </w:rPr>
        <w:t xml:space="preserve">ACTHD </w:t>
      </w:r>
      <w:r w:rsidR="00A60C3E" w:rsidRPr="00B079C6">
        <w:rPr>
          <w:color w:val="000000" w:themeColor="text1"/>
          <w:szCs w:val="22"/>
        </w:rPr>
        <w:t>has considered a number of factors to determine an open grant</w:t>
      </w:r>
      <w:r>
        <w:rPr>
          <w:color w:val="000000" w:themeColor="text1"/>
          <w:szCs w:val="22"/>
        </w:rPr>
        <w:t xml:space="preserve"> approach for all service categories and </w:t>
      </w:r>
      <w:r w:rsidR="000372C7">
        <w:rPr>
          <w:color w:val="000000" w:themeColor="text1"/>
          <w:szCs w:val="22"/>
        </w:rPr>
        <w:t xml:space="preserve">adaptations </w:t>
      </w:r>
      <w:r w:rsidR="00E4581D">
        <w:rPr>
          <w:color w:val="000000" w:themeColor="text1"/>
          <w:szCs w:val="22"/>
        </w:rPr>
        <w:t>to existing contracts for sexual and reproductive health services (out of scope for this commissioning process – but essential for the community)</w:t>
      </w:r>
      <w:r w:rsidR="00935B45">
        <w:rPr>
          <w:color w:val="000000" w:themeColor="text1"/>
          <w:szCs w:val="22"/>
        </w:rPr>
        <w:t>. with the</w:t>
      </w:r>
      <w:r w:rsidR="00A60C3E" w:rsidRPr="00B079C6">
        <w:rPr>
          <w:color w:val="000000" w:themeColor="text1"/>
          <w:szCs w:val="22"/>
        </w:rPr>
        <w:t xml:space="preserve"> following factors considered as a guide:</w:t>
      </w:r>
    </w:p>
    <w:p w14:paraId="7504D0E3" w14:textId="448ABA10" w:rsidR="00765C0D" w:rsidRPr="00B079C6" w:rsidRDefault="00765C0D" w:rsidP="006A6BCA">
      <w:pPr>
        <w:numPr>
          <w:ilvl w:val="0"/>
          <w:numId w:val="21"/>
        </w:numPr>
        <w:spacing w:line="240" w:lineRule="auto"/>
        <w:ind w:left="771" w:hanging="357"/>
        <w:rPr>
          <w:szCs w:val="22"/>
        </w:rPr>
      </w:pPr>
      <w:r w:rsidRPr="00B079C6">
        <w:rPr>
          <w:szCs w:val="22"/>
        </w:rPr>
        <w:t>how best we can meet the needs of</w:t>
      </w:r>
      <w:r w:rsidR="00780729">
        <w:rPr>
          <w:szCs w:val="22"/>
        </w:rPr>
        <w:t xml:space="preserve"> existing and new</w:t>
      </w:r>
      <w:r w:rsidRPr="00B079C6">
        <w:rPr>
          <w:szCs w:val="22"/>
        </w:rPr>
        <w:t xml:space="preserve"> clients</w:t>
      </w:r>
      <w:r w:rsidR="00A60C3E" w:rsidRPr="00B079C6">
        <w:rPr>
          <w:szCs w:val="22"/>
        </w:rPr>
        <w:t>: specific cohorts have different needs and may require different ways of engagement</w:t>
      </w:r>
      <w:r w:rsidR="00010E87">
        <w:rPr>
          <w:szCs w:val="22"/>
        </w:rPr>
        <w:t xml:space="preserve"> and bespoke services </w:t>
      </w:r>
      <w:r w:rsidR="006A6BCA">
        <w:rPr>
          <w:szCs w:val="22"/>
        </w:rPr>
        <w:t>(</w:t>
      </w:r>
      <w:r w:rsidR="00974E75">
        <w:rPr>
          <w:szCs w:val="22"/>
        </w:rPr>
        <w:t>e.g.,</w:t>
      </w:r>
      <w:r w:rsidR="00010E87">
        <w:rPr>
          <w:szCs w:val="22"/>
        </w:rPr>
        <w:t xml:space="preserve"> for Aboriginal and Torres Strait Islander</w:t>
      </w:r>
      <w:r w:rsidR="006A6BCA">
        <w:rPr>
          <w:szCs w:val="22"/>
        </w:rPr>
        <w:t xml:space="preserve"> peoples)</w:t>
      </w:r>
    </w:p>
    <w:p w14:paraId="46B65492" w14:textId="1F2B1498" w:rsidR="00B079C6" w:rsidRPr="00B079C6" w:rsidRDefault="00765C0D" w:rsidP="006A6BCA">
      <w:pPr>
        <w:numPr>
          <w:ilvl w:val="0"/>
          <w:numId w:val="21"/>
        </w:numPr>
        <w:spacing w:line="240" w:lineRule="auto"/>
        <w:ind w:left="771" w:hanging="357"/>
        <w:rPr>
          <w:szCs w:val="22"/>
        </w:rPr>
      </w:pPr>
      <w:r w:rsidRPr="00B079C6">
        <w:rPr>
          <w:szCs w:val="22"/>
        </w:rPr>
        <w:t>the impact on clients of potential interruption to service provision</w:t>
      </w:r>
    </w:p>
    <w:p w14:paraId="55460F87" w14:textId="1910DF84" w:rsidR="00780729" w:rsidRPr="00780729" w:rsidRDefault="006A6BCA" w:rsidP="006A6BCA">
      <w:pPr>
        <w:numPr>
          <w:ilvl w:val="0"/>
          <w:numId w:val="21"/>
        </w:numPr>
        <w:spacing w:line="240" w:lineRule="auto"/>
        <w:ind w:left="771" w:hanging="357"/>
        <w:rPr>
          <w:szCs w:val="22"/>
        </w:rPr>
      </w:pPr>
      <w:r>
        <w:rPr>
          <w:szCs w:val="22"/>
        </w:rPr>
        <w:t xml:space="preserve">the </w:t>
      </w:r>
      <w:r w:rsidR="00780729">
        <w:rPr>
          <w:szCs w:val="22"/>
        </w:rPr>
        <w:t xml:space="preserve">availability of other organisations in the subsector that can offer services under each of the service categories </w:t>
      </w:r>
    </w:p>
    <w:p w14:paraId="1AC4929E" w14:textId="375B8D6A" w:rsidR="00B079C6" w:rsidRPr="00B079C6" w:rsidRDefault="00765C0D" w:rsidP="006A6BCA">
      <w:pPr>
        <w:numPr>
          <w:ilvl w:val="0"/>
          <w:numId w:val="21"/>
        </w:numPr>
        <w:spacing w:line="240" w:lineRule="auto"/>
        <w:ind w:left="771" w:hanging="357"/>
        <w:rPr>
          <w:szCs w:val="22"/>
        </w:rPr>
      </w:pPr>
      <w:r w:rsidRPr="00B079C6">
        <w:rPr>
          <w:szCs w:val="22"/>
        </w:rPr>
        <w:t>the size of the organisations and the type of services they provide</w:t>
      </w:r>
      <w:r w:rsidR="00B079C6" w:rsidRPr="00B079C6">
        <w:rPr>
          <w:szCs w:val="22"/>
        </w:rPr>
        <w:t xml:space="preserve">: a sustainable, </w:t>
      </w:r>
      <w:r w:rsidR="00780729" w:rsidRPr="00B079C6">
        <w:rPr>
          <w:szCs w:val="22"/>
        </w:rPr>
        <w:t>vibrant,</w:t>
      </w:r>
      <w:r w:rsidR="00B079C6" w:rsidRPr="00B079C6">
        <w:rPr>
          <w:szCs w:val="22"/>
        </w:rPr>
        <w:t xml:space="preserve"> and diverse </w:t>
      </w:r>
      <w:r w:rsidR="00780729">
        <w:rPr>
          <w:szCs w:val="22"/>
        </w:rPr>
        <w:t>STIBBV</w:t>
      </w:r>
      <w:r w:rsidR="00B079C6" w:rsidRPr="00B079C6">
        <w:rPr>
          <w:szCs w:val="22"/>
        </w:rPr>
        <w:t xml:space="preserve"> </w:t>
      </w:r>
      <w:r w:rsidR="00780729">
        <w:rPr>
          <w:szCs w:val="22"/>
        </w:rPr>
        <w:t>sub</w:t>
      </w:r>
      <w:r w:rsidR="00B079C6" w:rsidRPr="00B079C6">
        <w:rPr>
          <w:szCs w:val="22"/>
        </w:rPr>
        <w:t>sector is supported by having a diversity of service providers, from small to large, and from generalist to specialist</w:t>
      </w:r>
    </w:p>
    <w:p w14:paraId="616B4E49" w14:textId="4E4CF9C4" w:rsidR="00B079C6" w:rsidRPr="00D416DF" w:rsidRDefault="00765C0D" w:rsidP="006A6BCA">
      <w:pPr>
        <w:numPr>
          <w:ilvl w:val="0"/>
          <w:numId w:val="21"/>
        </w:numPr>
        <w:spacing w:line="240" w:lineRule="auto"/>
        <w:ind w:left="771" w:hanging="357"/>
        <w:rPr>
          <w:b/>
          <w:bCs/>
          <w:szCs w:val="22"/>
        </w:rPr>
      </w:pPr>
      <w:r w:rsidRPr="006C70C4">
        <w:rPr>
          <w:szCs w:val="22"/>
        </w:rPr>
        <w:lastRenderedPageBreak/>
        <w:t xml:space="preserve">the number of service programs </w:t>
      </w:r>
      <w:r w:rsidR="00CD6830">
        <w:rPr>
          <w:szCs w:val="22"/>
        </w:rPr>
        <w:t xml:space="preserve">organisations </w:t>
      </w:r>
      <w:r w:rsidRPr="006C70C4">
        <w:rPr>
          <w:szCs w:val="22"/>
        </w:rPr>
        <w:t xml:space="preserve">deliver and whether the </w:t>
      </w:r>
      <w:r w:rsidR="00780729">
        <w:rPr>
          <w:szCs w:val="22"/>
        </w:rPr>
        <w:t>STIBBV</w:t>
      </w:r>
      <w:r w:rsidRPr="006C70C4">
        <w:rPr>
          <w:szCs w:val="22"/>
        </w:rPr>
        <w:t xml:space="preserve"> service program is their primary service</w:t>
      </w:r>
      <w:r w:rsidR="00B079C6">
        <w:rPr>
          <w:szCs w:val="22"/>
        </w:rPr>
        <w:t xml:space="preserve">: </w:t>
      </w:r>
      <w:r w:rsidR="00F913EE">
        <w:rPr>
          <w:szCs w:val="22"/>
        </w:rPr>
        <w:t>t</w:t>
      </w:r>
      <w:r w:rsidR="00B079C6">
        <w:rPr>
          <w:szCs w:val="22"/>
        </w:rPr>
        <w:t xml:space="preserve">he impact on the ongoing viability of an organisation where the </w:t>
      </w:r>
      <w:r w:rsidR="00780729">
        <w:rPr>
          <w:szCs w:val="22"/>
        </w:rPr>
        <w:t xml:space="preserve">STIBBV </w:t>
      </w:r>
      <w:r w:rsidR="00B079C6">
        <w:rPr>
          <w:szCs w:val="22"/>
        </w:rPr>
        <w:t>service program is their primary funded service was considered</w:t>
      </w:r>
    </w:p>
    <w:p w14:paraId="64696AF6" w14:textId="7A16C15F" w:rsidR="00B079C6" w:rsidRPr="006C70C4" w:rsidRDefault="00B079C6" w:rsidP="006A6BCA">
      <w:pPr>
        <w:numPr>
          <w:ilvl w:val="0"/>
          <w:numId w:val="21"/>
        </w:numPr>
        <w:spacing w:line="240" w:lineRule="auto"/>
        <w:ind w:left="771" w:hanging="357"/>
        <w:rPr>
          <w:szCs w:val="22"/>
        </w:rPr>
      </w:pPr>
      <w:r>
        <w:rPr>
          <w:szCs w:val="22"/>
        </w:rPr>
        <w:t>established networks and advocacy support services</w:t>
      </w:r>
      <w:r w:rsidR="00F913EE">
        <w:rPr>
          <w:szCs w:val="22"/>
        </w:rPr>
        <w:t xml:space="preserve"> were considered</w:t>
      </w:r>
    </w:p>
    <w:p w14:paraId="0DB41041" w14:textId="244D0A4E" w:rsidR="00B079C6" w:rsidRPr="0046284D" w:rsidRDefault="00765C0D" w:rsidP="006A6BCA">
      <w:pPr>
        <w:numPr>
          <w:ilvl w:val="0"/>
          <w:numId w:val="21"/>
        </w:numPr>
        <w:spacing w:line="240" w:lineRule="auto"/>
        <w:ind w:left="771" w:hanging="357"/>
        <w:rPr>
          <w:b/>
          <w:bCs/>
          <w:szCs w:val="22"/>
        </w:rPr>
      </w:pPr>
      <w:r w:rsidRPr="006C70C4">
        <w:rPr>
          <w:szCs w:val="22"/>
        </w:rPr>
        <w:t>value of the funding</w:t>
      </w:r>
      <w:r w:rsidR="00B079C6">
        <w:rPr>
          <w:szCs w:val="22"/>
        </w:rPr>
        <w:t>:</w:t>
      </w:r>
      <w:r w:rsidR="00B079C6" w:rsidRPr="00B079C6">
        <w:rPr>
          <w:b/>
          <w:bCs/>
          <w:szCs w:val="22"/>
        </w:rPr>
        <w:t xml:space="preserve"> </w:t>
      </w:r>
      <w:r w:rsidR="00B079C6" w:rsidRPr="00B079C6">
        <w:rPr>
          <w:szCs w:val="22"/>
        </w:rPr>
        <w:t>f</w:t>
      </w:r>
      <w:r w:rsidR="00B079C6" w:rsidRPr="0046284D">
        <w:rPr>
          <w:szCs w:val="22"/>
        </w:rPr>
        <w:t>or larger funding envelopes</w:t>
      </w:r>
      <w:r w:rsidR="00B079C6">
        <w:rPr>
          <w:szCs w:val="22"/>
        </w:rPr>
        <w:t xml:space="preserve"> in particular, </w:t>
      </w:r>
      <w:r w:rsidR="00B079C6" w:rsidRPr="0046284D">
        <w:rPr>
          <w:szCs w:val="22"/>
        </w:rPr>
        <w:t>consideration is given to whether an open grant/tender process may be the most appropriate approach</w:t>
      </w:r>
    </w:p>
    <w:p w14:paraId="6FD74F4C" w14:textId="19B4970D" w:rsidR="00765C0D" w:rsidRPr="006C70C4" w:rsidRDefault="00A60C3E" w:rsidP="006A6BCA">
      <w:pPr>
        <w:numPr>
          <w:ilvl w:val="0"/>
          <w:numId w:val="21"/>
        </w:numPr>
        <w:spacing w:line="240" w:lineRule="auto"/>
        <w:ind w:left="771" w:hanging="357"/>
        <w:rPr>
          <w:szCs w:val="22"/>
        </w:rPr>
      </w:pPr>
      <w:r w:rsidRPr="00B079C6">
        <w:rPr>
          <w:szCs w:val="22"/>
        </w:rPr>
        <w:t xml:space="preserve">the level of </w:t>
      </w:r>
      <w:r w:rsidR="00765C0D" w:rsidRPr="00B079C6">
        <w:rPr>
          <w:szCs w:val="22"/>
        </w:rPr>
        <w:t>risk</w:t>
      </w:r>
      <w:r w:rsidR="00B079C6" w:rsidRPr="00B079C6">
        <w:rPr>
          <w:szCs w:val="22"/>
        </w:rPr>
        <w:t xml:space="preserve">: </w:t>
      </w:r>
      <w:r w:rsidR="006A6BCA">
        <w:rPr>
          <w:szCs w:val="22"/>
        </w:rPr>
        <w:t>a</w:t>
      </w:r>
      <w:r w:rsidR="006A6BCA" w:rsidRPr="00B079C6">
        <w:rPr>
          <w:szCs w:val="22"/>
        </w:rPr>
        <w:t xml:space="preserve"> </w:t>
      </w:r>
      <w:r w:rsidR="00B079C6" w:rsidRPr="00B079C6">
        <w:rPr>
          <w:szCs w:val="22"/>
        </w:rPr>
        <w:t xml:space="preserve">range </w:t>
      </w:r>
      <w:r w:rsidR="00B079C6">
        <w:rPr>
          <w:szCs w:val="22"/>
        </w:rPr>
        <w:t xml:space="preserve">of risks are considered when determining </w:t>
      </w:r>
      <w:r w:rsidR="006A6BCA">
        <w:rPr>
          <w:szCs w:val="22"/>
        </w:rPr>
        <w:t xml:space="preserve">the </w:t>
      </w:r>
      <w:r w:rsidR="00B079C6">
        <w:rPr>
          <w:szCs w:val="22"/>
        </w:rPr>
        <w:t>investment approach, including value of funding, maturity of organisations/sector,</w:t>
      </w:r>
      <w:r w:rsidR="00F913EE">
        <w:rPr>
          <w:szCs w:val="22"/>
        </w:rPr>
        <w:t xml:space="preserve"> and</w:t>
      </w:r>
      <w:r w:rsidR="00B079C6">
        <w:rPr>
          <w:szCs w:val="22"/>
        </w:rPr>
        <w:t xml:space="preserve"> history of organisational performance.</w:t>
      </w:r>
    </w:p>
    <w:p w14:paraId="26B1A033" w14:textId="01A750CB" w:rsidR="006C70C4" w:rsidRPr="006C70C4" w:rsidRDefault="006C70C4" w:rsidP="006A6BCA">
      <w:pPr>
        <w:spacing w:line="240" w:lineRule="auto"/>
      </w:pPr>
      <w:r w:rsidRPr="006C70C4">
        <w:rPr>
          <w:color w:val="000000" w:themeColor="text1"/>
          <w:szCs w:val="22"/>
        </w:rPr>
        <w:t xml:space="preserve">Regardless of the </w:t>
      </w:r>
      <w:r w:rsidR="00277C62">
        <w:rPr>
          <w:color w:val="000000" w:themeColor="text1"/>
          <w:szCs w:val="22"/>
        </w:rPr>
        <w:t xml:space="preserve">investment </w:t>
      </w:r>
      <w:r w:rsidR="00765C0D">
        <w:rPr>
          <w:color w:val="000000" w:themeColor="text1"/>
          <w:szCs w:val="22"/>
        </w:rPr>
        <w:t>approach</w:t>
      </w:r>
      <w:r w:rsidRPr="006C70C4">
        <w:rPr>
          <w:color w:val="000000" w:themeColor="text1"/>
          <w:szCs w:val="22"/>
        </w:rPr>
        <w:t xml:space="preserve">, organisations will be required </w:t>
      </w:r>
      <w:r w:rsidRPr="006C70C4">
        <w:t xml:space="preserve">to apply for funding and meet the relevant </w:t>
      </w:r>
      <w:r w:rsidR="00765C0D">
        <w:t>assessment</w:t>
      </w:r>
      <w:r w:rsidR="00765C0D" w:rsidRPr="006C70C4">
        <w:t xml:space="preserve"> </w:t>
      </w:r>
      <w:r w:rsidRPr="006C70C4">
        <w:t>criteria. This is important to:</w:t>
      </w:r>
    </w:p>
    <w:p w14:paraId="075B8CE9" w14:textId="4BCE1F78" w:rsidR="006C70C4" w:rsidRPr="006C70C4" w:rsidRDefault="006C70C4" w:rsidP="006A6BCA">
      <w:pPr>
        <w:numPr>
          <w:ilvl w:val="0"/>
          <w:numId w:val="21"/>
        </w:numPr>
        <w:spacing w:line="240" w:lineRule="auto"/>
        <w:ind w:left="771" w:hanging="357"/>
        <w:rPr>
          <w:szCs w:val="22"/>
        </w:rPr>
      </w:pPr>
      <w:r w:rsidRPr="006C70C4">
        <w:rPr>
          <w:szCs w:val="22"/>
        </w:rPr>
        <w:t>provide an opportunity to jointly review and reset service models to meet current and future needs</w:t>
      </w:r>
      <w:r w:rsidR="004051C9">
        <w:rPr>
          <w:szCs w:val="22"/>
        </w:rPr>
        <w:t>,</w:t>
      </w:r>
      <w:r w:rsidR="001F2765">
        <w:rPr>
          <w:szCs w:val="22"/>
        </w:rPr>
        <w:t xml:space="preserve"> as per the </w:t>
      </w:r>
      <w:r w:rsidR="006A6BCA">
        <w:rPr>
          <w:szCs w:val="22"/>
        </w:rPr>
        <w:t xml:space="preserve">commissioning </w:t>
      </w:r>
      <w:r w:rsidR="001F2765">
        <w:rPr>
          <w:szCs w:val="22"/>
        </w:rPr>
        <w:t>engagement findings</w:t>
      </w:r>
    </w:p>
    <w:p w14:paraId="5E398BF4" w14:textId="5BC4EAB4" w:rsidR="006C70C4" w:rsidRPr="006C70C4" w:rsidRDefault="006C70C4" w:rsidP="006A6BCA">
      <w:pPr>
        <w:numPr>
          <w:ilvl w:val="0"/>
          <w:numId w:val="21"/>
        </w:numPr>
        <w:spacing w:line="240" w:lineRule="auto"/>
        <w:ind w:left="771" w:hanging="357"/>
        <w:rPr>
          <w:szCs w:val="22"/>
        </w:rPr>
      </w:pPr>
      <w:r w:rsidRPr="006C70C4">
        <w:rPr>
          <w:szCs w:val="22"/>
        </w:rPr>
        <w:t xml:space="preserve">respond to the gaps and barriers jointly identified during </w:t>
      </w:r>
      <w:r w:rsidR="006A6BCA">
        <w:rPr>
          <w:szCs w:val="22"/>
        </w:rPr>
        <w:t>c</w:t>
      </w:r>
      <w:r w:rsidR="00E17F79">
        <w:rPr>
          <w:szCs w:val="22"/>
        </w:rPr>
        <w:t xml:space="preserve">ommissioning </w:t>
      </w:r>
      <w:r w:rsidR="004051C9">
        <w:rPr>
          <w:szCs w:val="22"/>
        </w:rPr>
        <w:t>e</w:t>
      </w:r>
      <w:r w:rsidR="00E17F79">
        <w:rPr>
          <w:szCs w:val="22"/>
        </w:rPr>
        <w:t>ngagement</w:t>
      </w:r>
    </w:p>
    <w:p w14:paraId="60BAEA27" w14:textId="2C6CD1EF" w:rsidR="006C70C4" w:rsidRPr="006C70C4" w:rsidRDefault="006C70C4" w:rsidP="006A6BCA">
      <w:pPr>
        <w:numPr>
          <w:ilvl w:val="0"/>
          <w:numId w:val="21"/>
        </w:numPr>
        <w:spacing w:line="240" w:lineRule="auto"/>
        <w:ind w:left="771" w:hanging="357"/>
        <w:rPr>
          <w:szCs w:val="22"/>
        </w:rPr>
      </w:pPr>
      <w:r w:rsidRPr="006C70C4">
        <w:rPr>
          <w:szCs w:val="22"/>
        </w:rPr>
        <w:t>identify outcomes and key performance indicators</w:t>
      </w:r>
    </w:p>
    <w:p w14:paraId="7DB5C430" w14:textId="5A9F5402" w:rsidR="006C70C4" w:rsidRPr="006C70C4" w:rsidRDefault="006C70C4" w:rsidP="006A6BCA">
      <w:pPr>
        <w:numPr>
          <w:ilvl w:val="0"/>
          <w:numId w:val="21"/>
        </w:numPr>
        <w:spacing w:line="240" w:lineRule="auto"/>
        <w:ind w:left="771" w:hanging="357"/>
        <w:rPr>
          <w:szCs w:val="22"/>
        </w:rPr>
      </w:pPr>
      <w:r w:rsidRPr="006C70C4">
        <w:rPr>
          <w:szCs w:val="22"/>
        </w:rPr>
        <w:t xml:space="preserve">contribute to a more integrated </w:t>
      </w:r>
      <w:r w:rsidR="00FE7EED">
        <w:rPr>
          <w:szCs w:val="22"/>
        </w:rPr>
        <w:t>STIBBV</w:t>
      </w:r>
      <w:r w:rsidRPr="006C70C4">
        <w:rPr>
          <w:szCs w:val="22"/>
        </w:rPr>
        <w:t xml:space="preserve"> service system </w:t>
      </w:r>
    </w:p>
    <w:p w14:paraId="41346677" w14:textId="58341CA1" w:rsidR="006C70C4" w:rsidRPr="006C70C4" w:rsidRDefault="006C70C4" w:rsidP="006A6BCA">
      <w:pPr>
        <w:numPr>
          <w:ilvl w:val="0"/>
          <w:numId w:val="21"/>
        </w:numPr>
        <w:spacing w:line="240" w:lineRule="auto"/>
        <w:ind w:left="771" w:hanging="357"/>
        <w:rPr>
          <w:szCs w:val="22"/>
        </w:rPr>
      </w:pPr>
      <w:r w:rsidRPr="006C70C4">
        <w:rPr>
          <w:szCs w:val="22"/>
        </w:rPr>
        <w:t xml:space="preserve">ensure that ACT Government and the </w:t>
      </w:r>
      <w:r w:rsidR="006A6BCA">
        <w:rPr>
          <w:szCs w:val="22"/>
        </w:rPr>
        <w:t>sector</w:t>
      </w:r>
      <w:r w:rsidR="006A6BCA" w:rsidRPr="006C70C4">
        <w:rPr>
          <w:szCs w:val="22"/>
        </w:rPr>
        <w:t xml:space="preserve"> </w:t>
      </w:r>
      <w:r w:rsidRPr="006C70C4">
        <w:rPr>
          <w:szCs w:val="22"/>
        </w:rPr>
        <w:t xml:space="preserve">fulfill legislative and community expectations to ensure public money is used responsibly. </w:t>
      </w:r>
    </w:p>
    <w:p w14:paraId="124BB4FB" w14:textId="623B30BE" w:rsidR="006C70C4" w:rsidRPr="006C70C4" w:rsidRDefault="006C70C4" w:rsidP="006A6BCA">
      <w:pPr>
        <w:rPr>
          <w:szCs w:val="22"/>
        </w:rPr>
      </w:pPr>
      <w:r w:rsidRPr="006C70C4">
        <w:rPr>
          <w:szCs w:val="22"/>
        </w:rPr>
        <w:t xml:space="preserve">Each </w:t>
      </w:r>
      <w:r w:rsidR="001F2765">
        <w:rPr>
          <w:szCs w:val="22"/>
        </w:rPr>
        <w:t>funding</w:t>
      </w:r>
      <w:r w:rsidRPr="006C70C4">
        <w:rPr>
          <w:szCs w:val="22"/>
        </w:rPr>
        <w:t xml:space="preserve"> proposal</w:t>
      </w:r>
      <w:r w:rsidR="00754C9B">
        <w:rPr>
          <w:szCs w:val="22"/>
        </w:rPr>
        <w:t>/application</w:t>
      </w:r>
      <w:r w:rsidRPr="006C70C4">
        <w:rPr>
          <w:szCs w:val="22"/>
        </w:rPr>
        <w:t xml:space="preserve"> received by </w:t>
      </w:r>
      <w:r w:rsidR="00FE7EED">
        <w:rPr>
          <w:szCs w:val="22"/>
        </w:rPr>
        <w:t>ACT</w:t>
      </w:r>
      <w:r w:rsidR="006A6BCA">
        <w:rPr>
          <w:szCs w:val="22"/>
        </w:rPr>
        <w:t>HD</w:t>
      </w:r>
      <w:r w:rsidRPr="006C70C4">
        <w:rPr>
          <w:szCs w:val="22"/>
        </w:rPr>
        <w:t xml:space="preserve"> will be assessed to determine delivery of client need</w:t>
      </w:r>
      <w:r w:rsidR="008601FC">
        <w:rPr>
          <w:szCs w:val="22"/>
        </w:rPr>
        <w:t>s</w:t>
      </w:r>
      <w:r w:rsidRPr="006C70C4">
        <w:rPr>
          <w:szCs w:val="22"/>
        </w:rPr>
        <w:t xml:space="preserve"> and value for money. To demonstrate this value, organisations are encouraged to consider </w:t>
      </w:r>
      <w:r w:rsidR="008601FC">
        <w:rPr>
          <w:szCs w:val="22"/>
        </w:rPr>
        <w:t>a flexible model that respond</w:t>
      </w:r>
      <w:r w:rsidR="00983567">
        <w:rPr>
          <w:szCs w:val="22"/>
        </w:rPr>
        <w:t>s</w:t>
      </w:r>
      <w:r w:rsidR="008601FC">
        <w:rPr>
          <w:szCs w:val="22"/>
        </w:rPr>
        <w:t xml:space="preserve"> to client needs </w:t>
      </w:r>
      <w:r w:rsidRPr="006C70C4">
        <w:rPr>
          <w:szCs w:val="22"/>
        </w:rPr>
        <w:t xml:space="preserve">and consider how this can be described </w:t>
      </w:r>
      <w:r w:rsidR="00766B66">
        <w:rPr>
          <w:szCs w:val="22"/>
        </w:rPr>
        <w:t>in the funding proposal</w:t>
      </w:r>
      <w:r w:rsidR="00754C9B">
        <w:rPr>
          <w:szCs w:val="22"/>
        </w:rPr>
        <w:t>/application</w:t>
      </w:r>
      <w:r w:rsidRPr="006C70C4">
        <w:rPr>
          <w:szCs w:val="22"/>
        </w:rPr>
        <w:t xml:space="preserve">. Should a response be found unsuccessful, </w:t>
      </w:r>
      <w:r w:rsidR="0040121E">
        <w:rPr>
          <w:szCs w:val="22"/>
        </w:rPr>
        <w:t xml:space="preserve">ACTHD </w:t>
      </w:r>
      <w:r w:rsidRPr="006C70C4">
        <w:rPr>
          <w:szCs w:val="22"/>
        </w:rPr>
        <w:t xml:space="preserve">reserves the right to reissue the grant/tender through alternative </w:t>
      </w:r>
      <w:r w:rsidR="006B6DB7">
        <w:rPr>
          <w:szCs w:val="22"/>
        </w:rPr>
        <w:t xml:space="preserve">investment </w:t>
      </w:r>
      <w:r w:rsidR="004051C9">
        <w:rPr>
          <w:szCs w:val="22"/>
        </w:rPr>
        <w:t>approaches</w:t>
      </w:r>
      <w:r w:rsidRPr="006C70C4">
        <w:rPr>
          <w:szCs w:val="22"/>
        </w:rPr>
        <w:t xml:space="preserve">. </w:t>
      </w:r>
    </w:p>
    <w:p w14:paraId="18A3EC6B" w14:textId="7E778751" w:rsidR="006C70C4" w:rsidRPr="00BD09CE" w:rsidRDefault="0040121E" w:rsidP="006A6BCA">
      <w:pPr>
        <w:rPr>
          <w:szCs w:val="22"/>
        </w:rPr>
      </w:pPr>
      <w:r>
        <w:rPr>
          <w:szCs w:val="22"/>
        </w:rPr>
        <w:t xml:space="preserve">ACTHD </w:t>
      </w:r>
      <w:r w:rsidR="006C70C4" w:rsidRPr="00BD09CE">
        <w:rPr>
          <w:szCs w:val="22"/>
        </w:rPr>
        <w:t>remains open minded about the number of organisations that will deliver each service</w:t>
      </w:r>
      <w:r>
        <w:rPr>
          <w:szCs w:val="22"/>
        </w:rPr>
        <w:t>/</w:t>
      </w:r>
      <w:r w:rsidR="006C70C4" w:rsidRPr="00BD09CE">
        <w:rPr>
          <w:szCs w:val="22"/>
        </w:rPr>
        <w:t>program</w:t>
      </w:r>
      <w:r>
        <w:rPr>
          <w:szCs w:val="22"/>
        </w:rPr>
        <w:t xml:space="preserve">. </w:t>
      </w:r>
      <w:r w:rsidR="006C70C4" w:rsidRPr="00BD09CE">
        <w:rPr>
          <w:szCs w:val="22"/>
        </w:rPr>
        <w:t xml:space="preserve">As such, these numbers are subject to change based on requirements. </w:t>
      </w:r>
      <w:r w:rsidR="006C70C4" w:rsidRPr="006C70C4">
        <w:rPr>
          <w:szCs w:val="22"/>
        </w:rPr>
        <w:t xml:space="preserve">When submitting </w:t>
      </w:r>
      <w:r w:rsidR="00987C10">
        <w:rPr>
          <w:szCs w:val="22"/>
        </w:rPr>
        <w:t xml:space="preserve">an application through </w:t>
      </w:r>
      <w:r w:rsidR="006C70C4" w:rsidRPr="006C70C4">
        <w:rPr>
          <w:szCs w:val="22"/>
        </w:rPr>
        <w:t xml:space="preserve">a </w:t>
      </w:r>
      <w:r>
        <w:rPr>
          <w:szCs w:val="22"/>
        </w:rPr>
        <w:t xml:space="preserve">direct, </w:t>
      </w:r>
      <w:r w:rsidR="004051C9">
        <w:rPr>
          <w:szCs w:val="22"/>
        </w:rPr>
        <w:t>s</w:t>
      </w:r>
      <w:r w:rsidR="00BD09CE" w:rsidRPr="006C70C4">
        <w:rPr>
          <w:szCs w:val="22"/>
        </w:rPr>
        <w:t xml:space="preserve">elect </w:t>
      </w:r>
      <w:r w:rsidR="006C70C4" w:rsidRPr="006C70C4">
        <w:rPr>
          <w:szCs w:val="22"/>
        </w:rPr>
        <w:t xml:space="preserve">or </w:t>
      </w:r>
      <w:r w:rsidR="004051C9">
        <w:rPr>
          <w:szCs w:val="22"/>
        </w:rPr>
        <w:t>o</w:t>
      </w:r>
      <w:r w:rsidR="00BD09CE" w:rsidRPr="006C70C4">
        <w:rPr>
          <w:szCs w:val="22"/>
        </w:rPr>
        <w:t>pen</w:t>
      </w:r>
      <w:r>
        <w:rPr>
          <w:szCs w:val="22"/>
        </w:rPr>
        <w:t>/competitive</w:t>
      </w:r>
      <w:r w:rsidR="00BD09CE" w:rsidRPr="006C70C4">
        <w:rPr>
          <w:szCs w:val="22"/>
        </w:rPr>
        <w:t xml:space="preserve"> </w:t>
      </w:r>
      <w:r w:rsidR="004051C9">
        <w:rPr>
          <w:szCs w:val="22"/>
        </w:rPr>
        <w:t>g</w:t>
      </w:r>
      <w:r w:rsidR="00BD09CE" w:rsidRPr="006C70C4">
        <w:rPr>
          <w:szCs w:val="22"/>
        </w:rPr>
        <w:t xml:space="preserve">rant </w:t>
      </w:r>
      <w:r w:rsidR="006C70C4" w:rsidRPr="006C70C4">
        <w:rPr>
          <w:szCs w:val="22"/>
        </w:rPr>
        <w:t xml:space="preserve">or </w:t>
      </w:r>
      <w:r w:rsidR="004051C9">
        <w:rPr>
          <w:szCs w:val="22"/>
        </w:rPr>
        <w:t>t</w:t>
      </w:r>
      <w:r w:rsidR="00BD09CE" w:rsidRPr="006C70C4">
        <w:rPr>
          <w:szCs w:val="22"/>
        </w:rPr>
        <w:t>ender</w:t>
      </w:r>
      <w:r w:rsidR="006C70C4" w:rsidRPr="006C70C4">
        <w:rPr>
          <w:szCs w:val="22"/>
        </w:rPr>
        <w:t>, o</w:t>
      </w:r>
      <w:r w:rsidR="006C70C4" w:rsidRPr="00BD09CE">
        <w:rPr>
          <w:szCs w:val="22"/>
        </w:rPr>
        <w:t xml:space="preserve">rganisations may choose </w:t>
      </w:r>
      <w:r>
        <w:rPr>
          <w:szCs w:val="22"/>
        </w:rPr>
        <w:t xml:space="preserve">to respond as a single, independent entity, through </w:t>
      </w:r>
      <w:r w:rsidR="006C70C4" w:rsidRPr="00BD09CE">
        <w:rPr>
          <w:szCs w:val="22"/>
        </w:rPr>
        <w:t xml:space="preserve">a partnership arrangement with a lead </w:t>
      </w:r>
      <w:r w:rsidR="00BD09CE" w:rsidRPr="00BD09CE">
        <w:rPr>
          <w:szCs w:val="22"/>
        </w:rPr>
        <w:t>organisation or</w:t>
      </w:r>
      <w:r w:rsidR="006C70C4" w:rsidRPr="00BD09CE">
        <w:rPr>
          <w:szCs w:val="22"/>
        </w:rPr>
        <w:t xml:space="preserve"> may nominate other alternative arrangements.  </w:t>
      </w:r>
    </w:p>
    <w:p w14:paraId="26D68BEB" w14:textId="4A8F1CDF" w:rsidR="00AE0B37" w:rsidRPr="00195E7B" w:rsidRDefault="00AE0B37" w:rsidP="006A6BCA">
      <w:pPr>
        <w:spacing w:line="240" w:lineRule="auto"/>
        <w:rPr>
          <w:szCs w:val="22"/>
        </w:rPr>
      </w:pPr>
      <w:bookmarkStart w:id="22" w:name="_Toc117149914"/>
      <w:bookmarkStart w:id="23" w:name="_Toc117150818"/>
      <w:bookmarkStart w:id="24" w:name="_Toc117149915"/>
      <w:bookmarkStart w:id="25" w:name="_Toc117150819"/>
      <w:bookmarkStart w:id="26" w:name="_Toc117149916"/>
      <w:bookmarkStart w:id="27" w:name="_Toc117150820"/>
      <w:bookmarkStart w:id="28" w:name="_Toc117149917"/>
      <w:bookmarkStart w:id="29" w:name="_Toc117150821"/>
      <w:bookmarkStart w:id="30" w:name="_Toc117149918"/>
      <w:bookmarkStart w:id="31" w:name="_Toc117150822"/>
      <w:bookmarkStart w:id="32" w:name="_Toc117149919"/>
      <w:bookmarkStart w:id="33" w:name="_Toc117150823"/>
      <w:bookmarkStart w:id="34" w:name="_Toc117149920"/>
      <w:bookmarkStart w:id="35" w:name="_Toc117150824"/>
      <w:bookmarkStart w:id="36" w:name="_Toc117149924"/>
      <w:bookmarkStart w:id="37" w:name="_Toc11715082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1BE59C4" w14:textId="1F8A68A2" w:rsidR="006C70C4" w:rsidRPr="0023064E" w:rsidRDefault="000263DA" w:rsidP="002C5317">
      <w:pPr>
        <w:pStyle w:val="Heading1"/>
      </w:pPr>
      <w:bookmarkStart w:id="38" w:name="_Toc117149926"/>
      <w:bookmarkStart w:id="39" w:name="_Toc117150830"/>
      <w:bookmarkStart w:id="40" w:name="_Toc117149927"/>
      <w:bookmarkStart w:id="41" w:name="_Toc117150831"/>
      <w:bookmarkStart w:id="42" w:name="_Toc117149937"/>
      <w:bookmarkStart w:id="43" w:name="_Toc117150841"/>
      <w:bookmarkStart w:id="44" w:name="_Toc117249109"/>
      <w:bookmarkStart w:id="45" w:name="_Toc144494382"/>
      <w:bookmarkEnd w:id="38"/>
      <w:bookmarkEnd w:id="39"/>
      <w:bookmarkEnd w:id="40"/>
      <w:bookmarkEnd w:id="41"/>
      <w:bookmarkEnd w:id="42"/>
      <w:bookmarkEnd w:id="43"/>
      <w:r w:rsidRPr="0023064E">
        <w:t>Participating</w:t>
      </w:r>
      <w:r w:rsidR="006C70C4" w:rsidRPr="0023064E">
        <w:t xml:space="preserve"> in </w:t>
      </w:r>
      <w:r w:rsidR="00AC7A29" w:rsidRPr="0023064E">
        <w:t>formal investment approaches (grants and tenders)</w:t>
      </w:r>
      <w:bookmarkEnd w:id="44"/>
      <w:bookmarkEnd w:id="45"/>
    </w:p>
    <w:p w14:paraId="06620FED" w14:textId="1DE41548" w:rsidR="00C04C1B" w:rsidRDefault="009D48AF" w:rsidP="006A6BCA">
      <w:r>
        <w:t xml:space="preserve">The </w:t>
      </w:r>
      <w:r w:rsidR="006C70C4">
        <w:t>ACT Government actively encourage</w:t>
      </w:r>
      <w:r w:rsidR="704F1E04">
        <w:t>s</w:t>
      </w:r>
      <w:r w:rsidR="006C70C4">
        <w:t xml:space="preserve"> innovative, flexible evidence-based service models that demonstrate value for money.</w:t>
      </w:r>
      <w:r w:rsidR="00C04C1B" w:rsidRPr="00C04C1B">
        <w:t xml:space="preserve"> </w:t>
      </w:r>
      <w:r w:rsidR="00C04C1B">
        <w:t xml:space="preserve">In considering which investment approach ACTHD will </w:t>
      </w:r>
      <w:r w:rsidR="0040121E">
        <w:t>select</w:t>
      </w:r>
      <w:r w:rsidR="00C04C1B">
        <w:t xml:space="preserve"> for specific service</w:t>
      </w:r>
      <w:r w:rsidR="0040121E">
        <w:t xml:space="preserve"> </w:t>
      </w:r>
      <w:r w:rsidR="00C04C1B">
        <w:t>types, the following factors will be considered:</w:t>
      </w:r>
    </w:p>
    <w:p w14:paraId="7B09B1EA" w14:textId="64307255" w:rsidR="00C04C1B" w:rsidRDefault="006A6BCA" w:rsidP="006A6BCA">
      <w:pPr>
        <w:pStyle w:val="ListParagraph"/>
        <w:numPr>
          <w:ilvl w:val="0"/>
          <w:numId w:val="36"/>
        </w:numPr>
        <w:contextualSpacing w:val="0"/>
      </w:pPr>
      <w:r>
        <w:t>f</w:t>
      </w:r>
      <w:r w:rsidR="00C04C1B">
        <w:t>unding thresholds</w:t>
      </w:r>
    </w:p>
    <w:p w14:paraId="3DFB4E67" w14:textId="3D7A4AB3" w:rsidR="00C04C1B" w:rsidRDefault="006A6BCA" w:rsidP="006A6BCA">
      <w:pPr>
        <w:pStyle w:val="ListParagraph"/>
        <w:numPr>
          <w:ilvl w:val="0"/>
          <w:numId w:val="36"/>
        </w:numPr>
        <w:contextualSpacing w:val="0"/>
      </w:pPr>
      <w:r>
        <w:t>c</w:t>
      </w:r>
      <w:r w:rsidR="00C04C1B">
        <w:t>onsideration of an appropriately competitive process</w:t>
      </w:r>
    </w:p>
    <w:p w14:paraId="6CFB8A93" w14:textId="3FC4B7AB" w:rsidR="00C04C1B" w:rsidRDefault="006A6BCA" w:rsidP="006A6BCA">
      <w:pPr>
        <w:pStyle w:val="ListParagraph"/>
        <w:numPr>
          <w:ilvl w:val="0"/>
          <w:numId w:val="36"/>
        </w:numPr>
        <w:contextualSpacing w:val="0"/>
      </w:pPr>
      <w:r>
        <w:t>f</w:t>
      </w:r>
      <w:r w:rsidR="00C04C1B">
        <w:t>airness and impartiality</w:t>
      </w:r>
    </w:p>
    <w:p w14:paraId="09001C59" w14:textId="502B8BC8" w:rsidR="00C04C1B" w:rsidRDefault="006A6BCA" w:rsidP="006A6BCA">
      <w:pPr>
        <w:pStyle w:val="ListParagraph"/>
        <w:numPr>
          <w:ilvl w:val="0"/>
          <w:numId w:val="36"/>
        </w:numPr>
        <w:contextualSpacing w:val="0"/>
      </w:pPr>
      <w:r>
        <w:lastRenderedPageBreak/>
        <w:t>c</w:t>
      </w:r>
      <w:r w:rsidR="00C04C1B">
        <w:t>onsistency, transparency, and accountability</w:t>
      </w:r>
    </w:p>
    <w:p w14:paraId="644C2805" w14:textId="1A87F192" w:rsidR="00C04C1B" w:rsidRDefault="006A6BCA" w:rsidP="006A6BCA">
      <w:pPr>
        <w:pStyle w:val="ListParagraph"/>
        <w:numPr>
          <w:ilvl w:val="0"/>
          <w:numId w:val="36"/>
        </w:numPr>
        <w:contextualSpacing w:val="0"/>
      </w:pPr>
      <w:r>
        <w:t>v</w:t>
      </w:r>
      <w:r w:rsidR="00C04C1B">
        <w:t>alue for money</w:t>
      </w:r>
    </w:p>
    <w:p w14:paraId="58A82FAA" w14:textId="133AC367" w:rsidR="00C04C1B" w:rsidRDefault="006A6BCA" w:rsidP="006A6BCA">
      <w:pPr>
        <w:pStyle w:val="ListParagraph"/>
        <w:numPr>
          <w:ilvl w:val="0"/>
          <w:numId w:val="36"/>
        </w:numPr>
        <w:contextualSpacing w:val="0"/>
      </w:pPr>
      <w:r>
        <w:t>n</w:t>
      </w:r>
      <w:r w:rsidR="00C04C1B">
        <w:t>eed for organisation/s to have specialist knowledge</w:t>
      </w:r>
    </w:p>
    <w:p w14:paraId="5E869010" w14:textId="27A9B790" w:rsidR="006C70C4" w:rsidRPr="006C70C4" w:rsidRDefault="006A6BCA" w:rsidP="006A6BCA">
      <w:pPr>
        <w:pStyle w:val="ListParagraph"/>
        <w:numPr>
          <w:ilvl w:val="0"/>
          <w:numId w:val="36"/>
        </w:numPr>
        <w:contextualSpacing w:val="0"/>
      </w:pPr>
      <w:r>
        <w:t>n</w:t>
      </w:r>
      <w:r w:rsidR="00C04C1B">
        <w:t>umber of organisation/s that can supply a particular service</w:t>
      </w:r>
      <w:r>
        <w:t>.</w:t>
      </w:r>
    </w:p>
    <w:p w14:paraId="1F6907C7" w14:textId="57A503A1" w:rsidR="006C70C4" w:rsidRPr="0023064E" w:rsidRDefault="006C70C4" w:rsidP="006C70C4">
      <w:pPr>
        <w:tabs>
          <w:tab w:val="left" w:pos="709"/>
        </w:tabs>
        <w:spacing w:before="120" w:after="0" w:line="240" w:lineRule="auto"/>
        <w:rPr>
          <w:rFonts w:asciiTheme="majorHAnsi" w:eastAsiaTheme="minorHAnsi" w:hAnsiTheme="majorHAnsi" w:cs="Calibri"/>
          <w:color w:val="7030A0"/>
          <w:sz w:val="28"/>
          <w:szCs w:val="22"/>
        </w:rPr>
      </w:pPr>
      <w:r w:rsidRPr="0023064E">
        <w:rPr>
          <w:rFonts w:asciiTheme="majorHAnsi" w:eastAsiaTheme="minorHAnsi" w:hAnsiTheme="majorHAnsi" w:cs="Calibri"/>
          <w:color w:val="7030A0"/>
          <w:sz w:val="28"/>
          <w:szCs w:val="22"/>
        </w:rPr>
        <w:t>Open grants and tenders</w:t>
      </w:r>
    </w:p>
    <w:p w14:paraId="1B5C1917" w14:textId="57398527" w:rsidR="006C70C4" w:rsidRPr="006C70C4" w:rsidRDefault="006C70C4" w:rsidP="006A6BCA">
      <w:pPr>
        <w:tabs>
          <w:tab w:val="left" w:pos="709"/>
        </w:tabs>
        <w:rPr>
          <w:szCs w:val="22"/>
        </w:rPr>
      </w:pPr>
      <w:r w:rsidRPr="006C70C4">
        <w:rPr>
          <w:szCs w:val="22"/>
        </w:rPr>
        <w:t xml:space="preserve">Information about </w:t>
      </w:r>
      <w:r w:rsidR="005D202A">
        <w:rPr>
          <w:szCs w:val="22"/>
        </w:rPr>
        <w:t>o</w:t>
      </w:r>
      <w:r w:rsidRPr="006C70C4">
        <w:rPr>
          <w:szCs w:val="22"/>
        </w:rPr>
        <w:t xml:space="preserve">pen </w:t>
      </w:r>
      <w:r w:rsidR="005D202A">
        <w:rPr>
          <w:szCs w:val="22"/>
        </w:rPr>
        <w:t>g</w:t>
      </w:r>
      <w:r w:rsidRPr="006C70C4">
        <w:rPr>
          <w:szCs w:val="22"/>
        </w:rPr>
        <w:t xml:space="preserve">rant and </w:t>
      </w:r>
      <w:r w:rsidR="005D202A">
        <w:rPr>
          <w:szCs w:val="22"/>
        </w:rPr>
        <w:t>open t</w:t>
      </w:r>
      <w:r w:rsidRPr="006C70C4">
        <w:rPr>
          <w:szCs w:val="22"/>
        </w:rPr>
        <w:t xml:space="preserve">ender processes will be made publicly available through </w:t>
      </w:r>
      <w:r w:rsidR="00EC17C9">
        <w:rPr>
          <w:szCs w:val="22"/>
        </w:rPr>
        <w:t xml:space="preserve">respective </w:t>
      </w:r>
      <w:r w:rsidRPr="006C70C4">
        <w:rPr>
          <w:szCs w:val="22"/>
        </w:rPr>
        <w:t xml:space="preserve">portals and also via the </w:t>
      </w:r>
      <w:r w:rsidR="00EC17C9">
        <w:rPr>
          <w:szCs w:val="22"/>
        </w:rPr>
        <w:t>C</w:t>
      </w:r>
      <w:r w:rsidRPr="006C70C4">
        <w:rPr>
          <w:szCs w:val="22"/>
        </w:rPr>
        <w:t>ommissioning website</w:t>
      </w:r>
      <w:r w:rsidR="00AB004C">
        <w:rPr>
          <w:szCs w:val="22"/>
        </w:rPr>
        <w:t xml:space="preserve">. </w:t>
      </w:r>
    </w:p>
    <w:p w14:paraId="30D2703F" w14:textId="1CD2683D" w:rsidR="00C04C1B" w:rsidRPr="0023064E" w:rsidRDefault="00C04C1B" w:rsidP="00C04C1B">
      <w:pPr>
        <w:tabs>
          <w:tab w:val="left" w:pos="709"/>
        </w:tabs>
        <w:spacing w:before="120" w:after="0" w:line="240" w:lineRule="auto"/>
        <w:rPr>
          <w:rFonts w:asciiTheme="majorHAnsi" w:eastAsiaTheme="minorHAnsi" w:hAnsiTheme="majorHAnsi" w:cs="Calibri"/>
          <w:color w:val="7030A0"/>
          <w:sz w:val="28"/>
          <w:szCs w:val="22"/>
        </w:rPr>
      </w:pPr>
      <w:r w:rsidRPr="0023064E">
        <w:rPr>
          <w:rFonts w:asciiTheme="majorHAnsi" w:eastAsiaTheme="minorHAnsi" w:hAnsiTheme="majorHAnsi" w:cs="Calibri"/>
          <w:color w:val="7030A0"/>
          <w:sz w:val="28"/>
          <w:szCs w:val="22"/>
        </w:rPr>
        <w:t>Joint applications</w:t>
      </w:r>
    </w:p>
    <w:p w14:paraId="1428DE08" w14:textId="0FED818A" w:rsidR="00C04C1B" w:rsidRDefault="00C04C1B" w:rsidP="006A6BCA">
      <w:pPr>
        <w:rPr>
          <w:rFonts w:asciiTheme="minorHAnsi" w:hAnsiTheme="minorHAnsi" w:cstheme="minorBidi"/>
        </w:rPr>
      </w:pPr>
      <w:r>
        <w:rPr>
          <w:rFonts w:asciiTheme="minorHAnsi" w:hAnsiTheme="minorHAnsi" w:cstheme="minorBidi"/>
        </w:rPr>
        <w:t>When responding to a grant or tender, organisations can nominate to enter a partnership arrangement with a lead organisation or other alternative arrangements. Joint applications will need to include details of proposed governance arrangements.</w:t>
      </w:r>
    </w:p>
    <w:p w14:paraId="7EDA94C5" w14:textId="7DA94CD5" w:rsidR="00C04C1B" w:rsidRPr="0023064E" w:rsidRDefault="00C04C1B" w:rsidP="00C04C1B">
      <w:pPr>
        <w:tabs>
          <w:tab w:val="left" w:pos="709"/>
        </w:tabs>
        <w:spacing w:before="120" w:after="0" w:line="240" w:lineRule="auto"/>
        <w:rPr>
          <w:rFonts w:asciiTheme="majorHAnsi" w:eastAsiaTheme="minorHAnsi" w:hAnsiTheme="majorHAnsi" w:cs="Calibri"/>
          <w:color w:val="7030A0"/>
          <w:sz w:val="28"/>
          <w:szCs w:val="22"/>
        </w:rPr>
      </w:pPr>
      <w:r w:rsidRPr="0023064E">
        <w:rPr>
          <w:rFonts w:asciiTheme="majorHAnsi" w:eastAsiaTheme="minorHAnsi" w:hAnsiTheme="majorHAnsi" w:cs="Calibri"/>
          <w:color w:val="7030A0"/>
          <w:sz w:val="28"/>
          <w:szCs w:val="22"/>
        </w:rPr>
        <w:t xml:space="preserve">Secure Local Jobs Code </w:t>
      </w:r>
    </w:p>
    <w:p w14:paraId="228A4ECB" w14:textId="77777777" w:rsidR="00C04C1B" w:rsidRDefault="00C04C1B" w:rsidP="006A6BCA">
      <w:pPr>
        <w:rPr>
          <w:rFonts w:asciiTheme="minorHAnsi" w:hAnsiTheme="minorHAnsi" w:cstheme="minorBidi"/>
        </w:rPr>
      </w:pPr>
      <w:r>
        <w:rPr>
          <w:rFonts w:asciiTheme="minorHAnsi" w:hAnsiTheme="minorHAnsi" w:cstheme="minorBidi"/>
        </w:rPr>
        <w:t xml:space="preserve">The Secure Local Jobs Code was introduced to strengthen ACT Government procurement practices by awarding contracts to businesses that do the right thing by their workers. </w:t>
      </w:r>
    </w:p>
    <w:p w14:paraId="2EFD73BA" w14:textId="77777777" w:rsidR="00C04C1B" w:rsidRDefault="00C04C1B" w:rsidP="162D5AE6">
      <w:pPr>
        <w:rPr>
          <w:rFonts w:asciiTheme="minorHAnsi" w:hAnsiTheme="minorHAnsi" w:cstheme="minorBidi"/>
        </w:rPr>
      </w:pPr>
      <w:r w:rsidRPr="162D5AE6">
        <w:rPr>
          <w:rFonts w:asciiTheme="minorHAnsi" w:hAnsiTheme="minorHAnsi" w:cstheme="minorBidi"/>
        </w:rPr>
        <w:t xml:space="preserve">Sector partners involved in ACT commissioning cycle/s are encouraged to obtain the Secure Local Jobs Code Certificate so that they are well placed to participate in investment processes. Organisations can include the cost of obtaining the certificate as part of their administration budget. </w:t>
      </w:r>
    </w:p>
    <w:p w14:paraId="4C4D5FF7" w14:textId="77777777" w:rsidR="00C04C1B" w:rsidRDefault="00C04C1B" w:rsidP="006A6BCA">
      <w:r>
        <w:rPr>
          <w:rFonts w:asciiTheme="minorHAnsi" w:hAnsiTheme="minorHAnsi" w:cstheme="minorBidi"/>
        </w:rPr>
        <w:t>From 1 February 2022, the Ethical Treatment of Workers Evaluation commenced. It introduces the Fair and Safe Employment Evaluation Criteria to the procurement process and builds on the existing assessment of submissions.</w:t>
      </w:r>
    </w:p>
    <w:p w14:paraId="4F6765D0" w14:textId="77777777" w:rsidR="00C04C1B" w:rsidRDefault="00C04C1B" w:rsidP="006A6BCA">
      <w:pPr>
        <w:rPr>
          <w:rFonts w:asciiTheme="minorHAnsi" w:hAnsiTheme="minorHAnsi" w:cstheme="minorBidi"/>
        </w:rPr>
      </w:pPr>
      <w:r>
        <w:rPr>
          <w:rFonts w:asciiTheme="minorHAnsi" w:hAnsiTheme="minorHAnsi" w:cstheme="minorBidi"/>
        </w:rPr>
        <w:t xml:space="preserve">Further information is available on the </w:t>
      </w:r>
      <w:hyperlink r:id="rId40" w:history="1">
        <w:r>
          <w:rPr>
            <w:rStyle w:val="Hyperlink"/>
            <w:rFonts w:asciiTheme="minorHAnsi" w:hAnsiTheme="minorHAnsi" w:cstheme="minorBidi"/>
          </w:rPr>
          <w:t>Procurement ACT Secure Local Jobs website</w:t>
        </w:r>
      </w:hyperlink>
      <w:r>
        <w:rPr>
          <w:rFonts w:asciiTheme="minorHAnsi" w:hAnsiTheme="minorHAnsi" w:cstheme="minorBidi"/>
        </w:rPr>
        <w:t xml:space="preserve">. </w:t>
      </w:r>
    </w:p>
    <w:p w14:paraId="4CB9C9A8" w14:textId="6714BC94" w:rsidR="00C04C1B" w:rsidRPr="0023064E" w:rsidRDefault="00C04C1B" w:rsidP="00C04C1B">
      <w:pPr>
        <w:tabs>
          <w:tab w:val="left" w:pos="709"/>
        </w:tabs>
        <w:spacing w:before="120" w:after="0" w:line="240" w:lineRule="auto"/>
        <w:rPr>
          <w:rFonts w:asciiTheme="majorHAnsi" w:eastAsiaTheme="minorHAnsi" w:hAnsiTheme="majorHAnsi" w:cs="Calibri"/>
          <w:color w:val="7030A0"/>
          <w:sz w:val="28"/>
          <w:szCs w:val="22"/>
        </w:rPr>
      </w:pPr>
      <w:bookmarkStart w:id="46" w:name="_Toc129775108"/>
      <w:bookmarkStart w:id="47" w:name="_Toc141195867"/>
      <w:r w:rsidRPr="0023064E">
        <w:rPr>
          <w:rFonts w:asciiTheme="majorHAnsi" w:eastAsiaTheme="minorHAnsi" w:hAnsiTheme="majorHAnsi" w:cs="Calibri"/>
          <w:color w:val="7030A0"/>
          <w:sz w:val="28"/>
          <w:szCs w:val="22"/>
        </w:rPr>
        <w:t>Probity</w:t>
      </w:r>
      <w:bookmarkEnd w:id="46"/>
      <w:bookmarkEnd w:id="47"/>
      <w:r w:rsidRPr="0023064E">
        <w:rPr>
          <w:rFonts w:asciiTheme="majorHAnsi" w:eastAsiaTheme="minorHAnsi" w:hAnsiTheme="majorHAnsi" w:cs="Calibri"/>
          <w:color w:val="7030A0"/>
          <w:sz w:val="28"/>
          <w:szCs w:val="22"/>
        </w:rPr>
        <w:t xml:space="preserve"> </w:t>
      </w:r>
    </w:p>
    <w:p w14:paraId="0E7A1DDB" w14:textId="77777777" w:rsidR="00C04C1B" w:rsidRDefault="00C04C1B" w:rsidP="006A6BCA">
      <w:pPr>
        <w:rPr>
          <w:rFonts w:eastAsia="Calibri" w:cs="Calibri"/>
          <w:szCs w:val="22"/>
        </w:rPr>
      </w:pPr>
      <w:r>
        <w:rPr>
          <w:rFonts w:eastAsia="Calibri" w:cs="Calibri"/>
          <w:szCs w:val="22"/>
        </w:rPr>
        <w:t>Probity is the evidence of ethical behaviour in a particular process. Probity may be defined as complete and confirmed integrity, uprightness and honesty. Broadly, the following probity principles apply to the procurement process:</w:t>
      </w:r>
    </w:p>
    <w:p w14:paraId="7DD81CA4" w14:textId="3ECA59C2" w:rsidR="00C04C1B" w:rsidRDefault="00AB004C" w:rsidP="006A6BCA">
      <w:pPr>
        <w:pStyle w:val="ListParagraph"/>
        <w:numPr>
          <w:ilvl w:val="0"/>
          <w:numId w:val="37"/>
        </w:numPr>
        <w:contextualSpacing w:val="0"/>
      </w:pPr>
      <w:r>
        <w:rPr>
          <w:rFonts w:eastAsia="Calibri" w:cs="Calibri"/>
          <w:szCs w:val="22"/>
        </w:rPr>
        <w:t>c</w:t>
      </w:r>
      <w:r w:rsidR="00C04C1B">
        <w:rPr>
          <w:rFonts w:eastAsia="Calibri" w:cs="Calibri"/>
          <w:szCs w:val="22"/>
        </w:rPr>
        <w:t xml:space="preserve">ompliance with the legal and policy framework applying to procurement decisions (including the </w:t>
      </w:r>
      <w:r>
        <w:rPr>
          <w:rFonts w:eastAsia="Calibri" w:cs="Calibri"/>
          <w:szCs w:val="22"/>
        </w:rPr>
        <w:t xml:space="preserve">Government </w:t>
      </w:r>
      <w:r w:rsidR="00C04C1B">
        <w:rPr>
          <w:rFonts w:eastAsia="Calibri" w:cs="Calibri"/>
          <w:szCs w:val="22"/>
        </w:rPr>
        <w:t>Procurement Act</w:t>
      </w:r>
      <w:r>
        <w:rPr>
          <w:rFonts w:eastAsia="Calibri" w:cs="Calibri"/>
          <w:szCs w:val="22"/>
        </w:rPr>
        <w:t xml:space="preserve"> 2001</w:t>
      </w:r>
      <w:r w:rsidR="00C04C1B">
        <w:rPr>
          <w:rFonts w:eastAsia="Calibri" w:cs="Calibri"/>
          <w:szCs w:val="22"/>
        </w:rPr>
        <w:t>, Financial Management Act 1996 and Public Sector Management Act 1994 (PSM Act))</w:t>
      </w:r>
    </w:p>
    <w:p w14:paraId="66CFC7B9" w14:textId="54B5FD46" w:rsidR="00C04C1B" w:rsidRDefault="00AB004C" w:rsidP="006A6BCA">
      <w:pPr>
        <w:pStyle w:val="ListParagraph"/>
        <w:numPr>
          <w:ilvl w:val="0"/>
          <w:numId w:val="37"/>
        </w:numPr>
        <w:contextualSpacing w:val="0"/>
      </w:pPr>
      <w:r>
        <w:rPr>
          <w:rFonts w:eastAsia="Calibri" w:cs="Calibri"/>
          <w:szCs w:val="22"/>
        </w:rPr>
        <w:t>u</w:t>
      </w:r>
      <w:r w:rsidR="00C04C1B">
        <w:rPr>
          <w:rFonts w:eastAsia="Calibri" w:cs="Calibri"/>
          <w:szCs w:val="22"/>
        </w:rPr>
        <w:t xml:space="preserve">se of an appropriately competitive procurement process during the </w:t>
      </w:r>
      <w:r>
        <w:rPr>
          <w:rFonts w:eastAsia="Calibri" w:cs="Calibri"/>
          <w:szCs w:val="22"/>
        </w:rPr>
        <w:t xml:space="preserve">invest </w:t>
      </w:r>
      <w:r w:rsidR="00C04C1B">
        <w:rPr>
          <w:rFonts w:eastAsia="Calibri" w:cs="Calibri"/>
          <w:szCs w:val="22"/>
        </w:rPr>
        <w:t>phase</w:t>
      </w:r>
    </w:p>
    <w:p w14:paraId="4C2DDFB2" w14:textId="17946D91" w:rsidR="00C04C1B" w:rsidRDefault="00AB004C" w:rsidP="006A6BCA">
      <w:pPr>
        <w:pStyle w:val="ListParagraph"/>
        <w:numPr>
          <w:ilvl w:val="0"/>
          <w:numId w:val="37"/>
        </w:numPr>
        <w:contextualSpacing w:val="0"/>
      </w:pPr>
      <w:r>
        <w:rPr>
          <w:rFonts w:eastAsia="Calibri" w:cs="Calibri"/>
          <w:szCs w:val="22"/>
        </w:rPr>
        <w:t>f</w:t>
      </w:r>
      <w:r w:rsidR="00C04C1B">
        <w:rPr>
          <w:rFonts w:eastAsia="Calibri" w:cs="Calibri"/>
          <w:szCs w:val="22"/>
        </w:rPr>
        <w:t>airness and impartiality</w:t>
      </w:r>
    </w:p>
    <w:p w14:paraId="16EB8130" w14:textId="5942E398" w:rsidR="00C04C1B" w:rsidRDefault="00AB004C" w:rsidP="006A6BCA">
      <w:pPr>
        <w:pStyle w:val="ListParagraph"/>
        <w:numPr>
          <w:ilvl w:val="0"/>
          <w:numId w:val="37"/>
        </w:numPr>
        <w:contextualSpacing w:val="0"/>
      </w:pPr>
      <w:r>
        <w:rPr>
          <w:rFonts w:eastAsia="Calibri" w:cs="Calibri"/>
          <w:szCs w:val="22"/>
        </w:rPr>
        <w:t>c</w:t>
      </w:r>
      <w:r w:rsidR="00C04C1B">
        <w:rPr>
          <w:rFonts w:eastAsia="Calibri" w:cs="Calibri"/>
          <w:szCs w:val="22"/>
        </w:rPr>
        <w:t>onsistency and transparency</w:t>
      </w:r>
    </w:p>
    <w:p w14:paraId="63C7D9E3" w14:textId="61BCC48B" w:rsidR="00C04C1B" w:rsidRDefault="00AB004C" w:rsidP="006A6BCA">
      <w:pPr>
        <w:pStyle w:val="ListParagraph"/>
        <w:numPr>
          <w:ilvl w:val="0"/>
          <w:numId w:val="37"/>
        </w:numPr>
        <w:contextualSpacing w:val="0"/>
      </w:pPr>
      <w:r>
        <w:rPr>
          <w:rFonts w:eastAsia="Calibri" w:cs="Calibri"/>
          <w:szCs w:val="22"/>
        </w:rPr>
        <w:t>i</w:t>
      </w:r>
      <w:r w:rsidR="00C04C1B">
        <w:rPr>
          <w:rFonts w:eastAsia="Calibri" w:cs="Calibri"/>
          <w:szCs w:val="22"/>
        </w:rPr>
        <w:t>dentification and management of conflicts of interest</w:t>
      </w:r>
    </w:p>
    <w:p w14:paraId="518AE201" w14:textId="226295F8" w:rsidR="00C04C1B" w:rsidRPr="0023064E" w:rsidRDefault="00AB004C" w:rsidP="006A6BCA">
      <w:pPr>
        <w:pStyle w:val="ListParagraph"/>
        <w:numPr>
          <w:ilvl w:val="0"/>
          <w:numId w:val="37"/>
        </w:numPr>
        <w:contextualSpacing w:val="0"/>
      </w:pPr>
      <w:r>
        <w:rPr>
          <w:rFonts w:eastAsia="Calibri" w:cs="Calibri"/>
          <w:szCs w:val="22"/>
        </w:rPr>
        <w:lastRenderedPageBreak/>
        <w:t>a</w:t>
      </w:r>
      <w:r w:rsidR="00C04C1B">
        <w:rPr>
          <w:rFonts w:eastAsia="Calibri" w:cs="Calibri"/>
          <w:szCs w:val="22"/>
        </w:rPr>
        <w:t>ppropriate security and confidentiality arrangements</w:t>
      </w:r>
      <w:r>
        <w:rPr>
          <w:rFonts w:eastAsia="Calibri" w:cs="Calibri"/>
          <w:szCs w:val="22"/>
        </w:rPr>
        <w:t>.</w:t>
      </w:r>
    </w:p>
    <w:p w14:paraId="37D87243" w14:textId="65109570" w:rsidR="0069110D" w:rsidRPr="0069110D" w:rsidRDefault="0069110D" w:rsidP="0023064E">
      <w:pPr>
        <w:spacing w:before="120" w:after="120" w:line="240" w:lineRule="auto"/>
        <w:outlineLvl w:val="3"/>
        <w:rPr>
          <w:rFonts w:asciiTheme="majorHAnsi" w:eastAsiaTheme="minorHAnsi" w:hAnsiTheme="majorHAnsi" w:cs="Calibri"/>
          <w:color w:val="7030A0"/>
          <w:sz w:val="28"/>
          <w:szCs w:val="22"/>
        </w:rPr>
      </w:pPr>
      <w:r w:rsidRPr="0069110D">
        <w:rPr>
          <w:rFonts w:asciiTheme="majorHAnsi" w:eastAsiaTheme="minorHAnsi" w:hAnsiTheme="majorHAnsi" w:cs="Calibri"/>
          <w:color w:val="7030A0"/>
          <w:sz w:val="28"/>
          <w:szCs w:val="22"/>
        </w:rPr>
        <w:t>Unsolicited proposals</w:t>
      </w:r>
    </w:p>
    <w:p w14:paraId="05A437DB" w14:textId="55CA4519" w:rsidR="0069110D" w:rsidRPr="0069110D" w:rsidRDefault="0069110D" w:rsidP="006A6BCA">
      <w:r w:rsidRPr="0069110D">
        <w:rPr>
          <w:rFonts w:ascii="Source Sans Pro" w:eastAsia="Source Sans Pro" w:hAnsi="Source Sans Pro" w:cs="Source Sans Pro"/>
          <w:color w:val="313131"/>
          <w:szCs w:val="22"/>
        </w:rPr>
        <w:t xml:space="preserve">An unsolicited proposal is an approach by a potential supplier which is not requested by ACTHD. </w:t>
      </w:r>
      <w:r w:rsidRPr="0069110D">
        <w:t xml:space="preserve">Unsolicited proposals include any approach by a person or organisation with an offer or idea outside of any formal approach to the market for the supply of specific goods or services. </w:t>
      </w:r>
    </w:p>
    <w:p w14:paraId="2419A204" w14:textId="279EBF46" w:rsidR="0069110D" w:rsidRDefault="0069110D" w:rsidP="006A6BCA">
      <w:r w:rsidRPr="0069110D">
        <w:rPr>
          <w:rFonts w:eastAsia="Calibri" w:cs="Calibri"/>
        </w:rPr>
        <w:t xml:space="preserve">During the strategise and design phases of commissioning, ACTHD is not able to accept unsolicited formal proposals from organisations which outline an organisation’s specific proposal/plan/desire to provide designed programs or services in the deliver phase. It is important to note however that information collected through engagement activities held in the strategise and design phases is not considered ‘unsolicited’ and information sharing during these phases is integral to the collaborative commissioning process. Similarly, once the invest phase commences, any unsolicited proposals will not be considered as they contravene </w:t>
      </w:r>
      <w:r w:rsidR="001360BF" w:rsidRPr="0069110D">
        <w:rPr>
          <w:rFonts w:eastAsia="Calibri" w:cs="Calibri"/>
        </w:rPr>
        <w:t>the guiding</w:t>
      </w:r>
      <w:r w:rsidRPr="0069110D">
        <w:rPr>
          <w:rFonts w:eastAsia="Calibri" w:cs="Calibri"/>
        </w:rPr>
        <w:t xml:space="preserve"> principles of transparency and fairness. </w:t>
      </w:r>
      <w:r w:rsidRPr="0069110D">
        <w:t xml:space="preserve">Further general information about probity and unsolicited proposals can be found in the </w:t>
      </w:r>
      <w:hyperlink r:id="rId41" w:history="1">
        <w:r w:rsidRPr="0069110D">
          <w:rPr>
            <w:color w:val="0563C1" w:themeColor="hyperlink"/>
            <w:u w:val="single"/>
          </w:rPr>
          <w:t>Probity in Procurement Guide</w:t>
        </w:r>
      </w:hyperlink>
      <w:r w:rsidRPr="0069110D">
        <w:t xml:space="preserve"> and </w:t>
      </w:r>
      <w:hyperlink r:id="rId42" w:history="1">
        <w:r w:rsidRPr="0069110D">
          <w:rPr>
            <w:color w:val="0563C1" w:themeColor="hyperlink"/>
            <w:u w:val="single"/>
          </w:rPr>
          <w:t>Guidelines for Unsolicited Proposals</w:t>
        </w:r>
      </w:hyperlink>
      <w:r w:rsidR="00AB004C">
        <w:rPr>
          <w:color w:val="0563C1" w:themeColor="hyperlink"/>
          <w:u w:val="single"/>
        </w:rPr>
        <w:t>.</w:t>
      </w:r>
    </w:p>
    <w:p w14:paraId="0D249A9B" w14:textId="0BD4F579" w:rsidR="0069110D" w:rsidRPr="0023064E" w:rsidRDefault="0069110D" w:rsidP="0023064E">
      <w:pPr>
        <w:spacing w:before="120" w:after="120" w:line="240" w:lineRule="auto"/>
        <w:outlineLvl w:val="3"/>
        <w:rPr>
          <w:rFonts w:asciiTheme="majorHAnsi" w:hAnsiTheme="majorHAnsi" w:cs="Calibri"/>
          <w:sz w:val="28"/>
          <w:szCs w:val="22"/>
        </w:rPr>
      </w:pPr>
      <w:r w:rsidRPr="0023064E">
        <w:rPr>
          <w:rFonts w:asciiTheme="majorHAnsi" w:eastAsiaTheme="minorHAnsi" w:hAnsiTheme="majorHAnsi" w:cs="Calibri"/>
          <w:color w:val="7030A0"/>
          <w:sz w:val="28"/>
          <w:szCs w:val="22"/>
        </w:rPr>
        <w:t>Further information</w:t>
      </w:r>
    </w:p>
    <w:p w14:paraId="2779F5CD" w14:textId="155CAAC6" w:rsidR="0069110D" w:rsidRDefault="0069110D" w:rsidP="006A6BCA">
      <w:r>
        <w:t xml:space="preserve">Information about applying for grants can be found on the </w:t>
      </w:r>
      <w:hyperlink r:id="rId43" w:history="1">
        <w:r w:rsidRPr="0028452D">
          <w:rPr>
            <w:rStyle w:val="Hyperlink"/>
          </w:rPr>
          <w:t>ACT Government Grants webpage</w:t>
        </w:r>
      </w:hyperlink>
      <w:r>
        <w:t>.</w:t>
      </w:r>
    </w:p>
    <w:p w14:paraId="713BA789" w14:textId="75A62814" w:rsidR="0069110D" w:rsidRPr="00AB004C" w:rsidRDefault="0069110D" w:rsidP="006A6BCA">
      <w:r>
        <w:rPr>
          <w:szCs w:val="22"/>
        </w:rPr>
        <w:t xml:space="preserve">Information about applying for open tenders can be found </w:t>
      </w:r>
      <w:r w:rsidRPr="00AB004C">
        <w:t xml:space="preserve">on the </w:t>
      </w:r>
      <w:hyperlink r:id="rId44" w:history="1">
        <w:r w:rsidRPr="00AB004C">
          <w:rPr>
            <w:rStyle w:val="Hyperlink"/>
          </w:rPr>
          <w:t>Tenders ACT website</w:t>
        </w:r>
      </w:hyperlink>
      <w:r w:rsidR="00AB004C">
        <w:t>.</w:t>
      </w:r>
    </w:p>
    <w:p w14:paraId="0CD77F02" w14:textId="70639522" w:rsidR="0069110D" w:rsidRDefault="0069110D" w:rsidP="006A6BCA">
      <w:r>
        <w:t>Whilst the STIBBV commissioning cycle will be selecting grants to invest in STIBBV NGOs, stakeholders involved in commissioning are still encouraged to register on Tenders ACT as there may be additional funding opportunities through other commissioning cycles.</w:t>
      </w:r>
    </w:p>
    <w:p w14:paraId="423038C8" w14:textId="7E9099FF" w:rsidR="0069110D" w:rsidRDefault="0069110D" w:rsidP="006A6BCA">
      <w:r>
        <w:t>It is recommended that notification profiles are set up with at least the code for Health</w:t>
      </w:r>
      <w:r w:rsidR="00253F8F">
        <w:t xml:space="preserve"> </w:t>
      </w:r>
      <w:r>
        <w:t>care Services (85000000) and Organisation and Clubs (94000000). Setting up a personalised notification profile will alert you to the release of procurement documents for relevant commissioning cycles.</w:t>
      </w:r>
    </w:p>
    <w:p w14:paraId="0EABD93D" w14:textId="0263E69F" w:rsidR="0069110D" w:rsidRPr="00195E7B" w:rsidRDefault="0069110D" w:rsidP="006A6BCA">
      <w:pPr>
        <w:rPr>
          <w:szCs w:val="22"/>
        </w:rPr>
      </w:pPr>
    </w:p>
    <w:p w14:paraId="5F6C828B" w14:textId="2584A402" w:rsidR="00A444F9" w:rsidRPr="00AB1BC0" w:rsidRDefault="00A444F9" w:rsidP="002C5317">
      <w:pPr>
        <w:pStyle w:val="Heading1"/>
      </w:pPr>
      <w:bookmarkStart w:id="48" w:name="_Toc144494384"/>
      <w:r w:rsidRPr="0023064E">
        <w:t>Conclusion</w:t>
      </w:r>
      <w:bookmarkEnd w:id="48"/>
    </w:p>
    <w:p w14:paraId="176380E4" w14:textId="0D6A2EBF" w:rsidR="00A444F9" w:rsidRPr="00A444F9" w:rsidRDefault="00A444F9" w:rsidP="006A6BCA">
      <w:pPr>
        <w:rPr>
          <w:rFonts w:eastAsia="Calibri" w:cs="Calibri"/>
          <w:szCs w:val="22"/>
        </w:rPr>
      </w:pPr>
      <w:r w:rsidRPr="00A444F9">
        <w:rPr>
          <w:rFonts w:eastAsia="Calibri" w:cs="Calibri"/>
          <w:szCs w:val="22"/>
        </w:rPr>
        <w:t xml:space="preserve">The </w:t>
      </w:r>
      <w:r w:rsidR="00AB004C">
        <w:rPr>
          <w:rFonts w:eastAsia="Calibri" w:cs="Calibri"/>
          <w:szCs w:val="22"/>
        </w:rPr>
        <w:t>SIP</w:t>
      </w:r>
      <w:r w:rsidRPr="00A444F9">
        <w:rPr>
          <w:rFonts w:eastAsia="Calibri" w:cs="Calibri"/>
          <w:szCs w:val="22"/>
        </w:rPr>
        <w:t xml:space="preserve"> provides sector partners and key stakeholders with an overview of ACTHD intentions for the invest phase of the</w:t>
      </w:r>
      <w:r w:rsidR="00DB162B">
        <w:rPr>
          <w:rFonts w:eastAsia="Calibri" w:cs="Calibri"/>
          <w:szCs w:val="22"/>
        </w:rPr>
        <w:t xml:space="preserve"> STIBBV</w:t>
      </w:r>
      <w:r w:rsidRPr="00A444F9">
        <w:rPr>
          <w:rFonts w:eastAsia="Calibri" w:cs="Calibri"/>
          <w:szCs w:val="22"/>
        </w:rPr>
        <w:t xml:space="preserve"> commissioning process. It articulates a </w:t>
      </w:r>
      <w:r w:rsidR="00DB162B">
        <w:rPr>
          <w:rFonts w:eastAsia="Calibri" w:cs="Calibri"/>
          <w:szCs w:val="22"/>
        </w:rPr>
        <w:t>range</w:t>
      </w:r>
      <w:r w:rsidRPr="00A444F9">
        <w:rPr>
          <w:rFonts w:eastAsia="Calibri" w:cs="Calibri"/>
          <w:szCs w:val="22"/>
        </w:rPr>
        <w:t xml:space="preserve"> of </w:t>
      </w:r>
      <w:r w:rsidR="00DB162B">
        <w:rPr>
          <w:rFonts w:eastAsia="Calibri" w:cs="Calibri"/>
          <w:szCs w:val="22"/>
        </w:rPr>
        <w:t xml:space="preserve">considerations and </w:t>
      </w:r>
      <w:r w:rsidRPr="00A444F9">
        <w:rPr>
          <w:rFonts w:eastAsia="Calibri" w:cs="Calibri"/>
          <w:szCs w:val="22"/>
        </w:rPr>
        <w:t xml:space="preserve">methods that </w:t>
      </w:r>
      <w:r w:rsidR="00DB162B">
        <w:rPr>
          <w:rFonts w:eastAsia="Calibri" w:cs="Calibri"/>
          <w:szCs w:val="22"/>
        </w:rPr>
        <w:t xml:space="preserve">may </w:t>
      </w:r>
      <w:r w:rsidRPr="00A444F9">
        <w:rPr>
          <w:rFonts w:eastAsia="Calibri" w:cs="Calibri"/>
          <w:szCs w:val="22"/>
        </w:rPr>
        <w:t xml:space="preserve">be </w:t>
      </w:r>
      <w:r w:rsidR="00DB162B">
        <w:rPr>
          <w:rFonts w:eastAsia="Calibri" w:cs="Calibri"/>
          <w:szCs w:val="22"/>
        </w:rPr>
        <w:t xml:space="preserve">drawn upon </w:t>
      </w:r>
      <w:r w:rsidRPr="00A444F9">
        <w:rPr>
          <w:rFonts w:eastAsia="Calibri" w:cs="Calibri"/>
          <w:szCs w:val="22"/>
        </w:rPr>
        <w:t>to make investment decisions</w:t>
      </w:r>
      <w:r w:rsidR="00DB162B">
        <w:rPr>
          <w:rFonts w:eastAsia="Calibri" w:cs="Calibri"/>
          <w:szCs w:val="22"/>
        </w:rPr>
        <w:t>. This SIP</w:t>
      </w:r>
      <w:r w:rsidRPr="00A444F9">
        <w:rPr>
          <w:rFonts w:eastAsia="Calibri" w:cs="Calibri"/>
          <w:szCs w:val="22"/>
        </w:rPr>
        <w:t xml:space="preserve"> demonstrates how engagement of service providers, people with lived and living experience, and other stakeholders through the first phases of the commissioning cycle has informed the invest phase.</w:t>
      </w:r>
    </w:p>
    <w:p w14:paraId="5F546499" w14:textId="2B47A5AC" w:rsidR="00A444F9" w:rsidRPr="00A444F9" w:rsidRDefault="00A444F9" w:rsidP="006A6BCA">
      <w:r w:rsidRPr="00A444F9">
        <w:rPr>
          <w:rFonts w:eastAsia="Calibri" w:cs="Calibri"/>
          <w:bCs/>
          <w:iCs/>
          <w:szCs w:val="22"/>
        </w:rPr>
        <w:t xml:space="preserve">It is important for sector partners to remember that commissioning does not end with the invest phase or execution of contracts. The deliver phase extends for the life of the contracts and signals a new approach to partnership for delivery of outcomes between </w:t>
      </w:r>
      <w:r w:rsidR="00DB162B">
        <w:rPr>
          <w:rFonts w:eastAsia="Calibri" w:cs="Calibri"/>
          <w:bCs/>
          <w:iCs/>
          <w:szCs w:val="22"/>
        </w:rPr>
        <w:t xml:space="preserve">ACTHD </w:t>
      </w:r>
      <w:r w:rsidRPr="00A444F9">
        <w:rPr>
          <w:rFonts w:eastAsia="Calibri" w:cs="Calibri"/>
          <w:bCs/>
          <w:iCs/>
          <w:szCs w:val="22"/>
        </w:rPr>
        <w:t>and our funded service providers.</w:t>
      </w:r>
    </w:p>
    <w:p w14:paraId="54CA6A50" w14:textId="77777777" w:rsidR="00AB1BC0" w:rsidRPr="00195E7B" w:rsidRDefault="00AB1BC0" w:rsidP="006A6BCA">
      <w:pPr>
        <w:rPr>
          <w:szCs w:val="22"/>
        </w:rPr>
      </w:pPr>
    </w:p>
    <w:p w14:paraId="2DF98F82" w14:textId="77777777" w:rsidR="00195E7B" w:rsidRPr="00195E7B" w:rsidRDefault="00195E7B" w:rsidP="006A6BCA">
      <w:pPr>
        <w:rPr>
          <w:szCs w:val="22"/>
        </w:rPr>
      </w:pPr>
      <w:r w:rsidRPr="00195E7B">
        <w:rPr>
          <w:szCs w:val="22"/>
        </w:rPr>
        <w:br w:type="page"/>
      </w:r>
    </w:p>
    <w:p w14:paraId="51F7D68D" w14:textId="5C832399" w:rsidR="00AB1BC0" w:rsidRDefault="00AB1BC0" w:rsidP="002C5317">
      <w:pPr>
        <w:pStyle w:val="Heading1"/>
      </w:pPr>
      <w:bookmarkStart w:id="49" w:name="_Toc144494385"/>
      <w:r>
        <w:lastRenderedPageBreak/>
        <w:t>Appendix A – Organisations involved in the STIBBV Commissioning process</w:t>
      </w:r>
      <w:bookmarkEnd w:id="49"/>
    </w:p>
    <w:p w14:paraId="61416696" w14:textId="77777777" w:rsidR="00AB004C" w:rsidRPr="00AB004C" w:rsidRDefault="00AB004C" w:rsidP="00AB004C">
      <w:pPr>
        <w:pStyle w:val="BodyText1"/>
        <w:numPr>
          <w:ilvl w:val="0"/>
          <w:numId w:val="43"/>
        </w:numPr>
      </w:pPr>
      <w:r w:rsidRPr="00AB004C">
        <w:t>A Gender Agenda</w:t>
      </w:r>
    </w:p>
    <w:p w14:paraId="2509766A" w14:textId="77777777" w:rsidR="00AB004C" w:rsidRDefault="00AB004C" w:rsidP="00AB004C">
      <w:pPr>
        <w:pStyle w:val="BodyText1"/>
        <w:numPr>
          <w:ilvl w:val="0"/>
          <w:numId w:val="43"/>
        </w:numPr>
      </w:pPr>
      <w:r w:rsidRPr="00153D94">
        <w:t>ACT School Youth Health Nurse Program</w:t>
      </w:r>
    </w:p>
    <w:p w14:paraId="771085E3" w14:textId="77777777" w:rsidR="00AB004C" w:rsidRPr="00AB004C" w:rsidRDefault="00AB004C" w:rsidP="00AB004C">
      <w:pPr>
        <w:pStyle w:val="BodyText1"/>
        <w:numPr>
          <w:ilvl w:val="0"/>
          <w:numId w:val="43"/>
        </w:numPr>
      </w:pPr>
      <w:r w:rsidRPr="00AB004C">
        <w:t>ACT Youth Advisory Council</w:t>
      </w:r>
    </w:p>
    <w:p w14:paraId="4FED5D4F" w14:textId="77777777" w:rsidR="00AB004C" w:rsidRDefault="00AB004C" w:rsidP="00AB004C">
      <w:pPr>
        <w:pStyle w:val="BodyText1"/>
        <w:numPr>
          <w:ilvl w:val="0"/>
          <w:numId w:val="43"/>
        </w:numPr>
      </w:pPr>
      <w:r w:rsidRPr="00153D94">
        <w:t>ACT Walk in Cent</w:t>
      </w:r>
      <w:r>
        <w:t>re</w:t>
      </w:r>
      <w:r w:rsidRPr="00153D94">
        <w:t>s</w:t>
      </w:r>
    </w:p>
    <w:p w14:paraId="602185AD" w14:textId="77777777" w:rsidR="00AB004C" w:rsidRDefault="00AB004C" w:rsidP="00AB004C">
      <w:pPr>
        <w:pStyle w:val="BodyText1"/>
        <w:numPr>
          <w:ilvl w:val="0"/>
          <w:numId w:val="43"/>
        </w:numPr>
      </w:pPr>
      <w:r w:rsidRPr="00153D94">
        <w:t>ACT Women’s Health Service</w:t>
      </w:r>
    </w:p>
    <w:p w14:paraId="01121FDC" w14:textId="77777777" w:rsidR="00AB004C" w:rsidRDefault="00AB004C" w:rsidP="00AB004C">
      <w:pPr>
        <w:pStyle w:val="BodyText1"/>
        <w:numPr>
          <w:ilvl w:val="0"/>
          <w:numId w:val="43"/>
        </w:numPr>
      </w:pPr>
      <w:r w:rsidRPr="00942AA4">
        <w:t>Advocacy for Inclusion</w:t>
      </w:r>
    </w:p>
    <w:p w14:paraId="2F5CDE84" w14:textId="3E3E4240" w:rsidR="00AB004C" w:rsidRDefault="005A651F" w:rsidP="00AB004C">
      <w:pPr>
        <w:pStyle w:val="BodyText1"/>
        <w:numPr>
          <w:ilvl w:val="0"/>
          <w:numId w:val="43"/>
        </w:numPr>
      </w:pPr>
      <w:r>
        <w:t>ASHM Health (</w:t>
      </w:r>
      <w:r w:rsidR="00970A1D">
        <w:t>formerly</w:t>
      </w:r>
      <w:r>
        <w:t xml:space="preserve"> </w:t>
      </w:r>
      <w:r w:rsidR="00AB004C">
        <w:t>Australasian Society for HIV, Viral Hepatitis and Sexual Health Medicine</w:t>
      </w:r>
      <w:r>
        <w:t>)</w:t>
      </w:r>
      <w:r w:rsidR="00AB004C">
        <w:t xml:space="preserve"> </w:t>
      </w:r>
    </w:p>
    <w:p w14:paraId="18D12C26" w14:textId="77777777" w:rsidR="00AB004C" w:rsidRDefault="00AB004C" w:rsidP="00AB004C">
      <w:pPr>
        <w:pStyle w:val="BodyText1"/>
        <w:numPr>
          <w:ilvl w:val="0"/>
          <w:numId w:val="43"/>
        </w:numPr>
      </w:pPr>
      <w:r w:rsidRPr="00153D94">
        <w:t>Australian National University Health and Counselling Service</w:t>
      </w:r>
    </w:p>
    <w:p w14:paraId="6402CFEE" w14:textId="77777777" w:rsidR="00AB004C" w:rsidRDefault="00AB004C" w:rsidP="00AB004C">
      <w:pPr>
        <w:pStyle w:val="BodyText1"/>
        <w:numPr>
          <w:ilvl w:val="0"/>
          <w:numId w:val="43"/>
        </w:numPr>
      </w:pPr>
      <w:r w:rsidRPr="00153D94">
        <w:t>Canberra Alliance for Harm Minimisation and Advocacy</w:t>
      </w:r>
    </w:p>
    <w:p w14:paraId="781FBE1F" w14:textId="77777777" w:rsidR="00AB004C" w:rsidRDefault="00AB004C" w:rsidP="00AB004C">
      <w:pPr>
        <w:pStyle w:val="BodyText1"/>
        <w:numPr>
          <w:ilvl w:val="0"/>
          <w:numId w:val="43"/>
        </w:numPr>
      </w:pPr>
      <w:r w:rsidRPr="00153D94">
        <w:t>Canberra Sexual Health Cent</w:t>
      </w:r>
      <w:r>
        <w:t>re</w:t>
      </w:r>
    </w:p>
    <w:p w14:paraId="475BBB8E" w14:textId="77777777" w:rsidR="00AB004C" w:rsidRDefault="00AB004C" w:rsidP="00AB004C">
      <w:pPr>
        <w:pStyle w:val="BodyText1"/>
        <w:numPr>
          <w:ilvl w:val="0"/>
          <w:numId w:val="43"/>
        </w:numPr>
      </w:pPr>
      <w:r w:rsidRPr="00153D94">
        <w:t>Companion House</w:t>
      </w:r>
    </w:p>
    <w:p w14:paraId="31C9DE21" w14:textId="77777777" w:rsidR="00AB004C" w:rsidRDefault="00AB004C" w:rsidP="00AB004C">
      <w:pPr>
        <w:pStyle w:val="BodyText1"/>
        <w:numPr>
          <w:ilvl w:val="0"/>
          <w:numId w:val="43"/>
        </w:numPr>
      </w:pPr>
      <w:r w:rsidRPr="00153D94">
        <w:t>Directions Health</w:t>
      </w:r>
    </w:p>
    <w:p w14:paraId="25ADBB14" w14:textId="77777777" w:rsidR="00AB004C" w:rsidRDefault="00AB004C" w:rsidP="00AB004C">
      <w:pPr>
        <w:pStyle w:val="BodyText1"/>
        <w:numPr>
          <w:ilvl w:val="0"/>
          <w:numId w:val="43"/>
        </w:numPr>
      </w:pPr>
      <w:r w:rsidRPr="00153D94">
        <w:t>Gugan-Gulwan Aboriginal Youth Service</w:t>
      </w:r>
    </w:p>
    <w:p w14:paraId="7DD87113" w14:textId="77777777" w:rsidR="00C32A00" w:rsidRDefault="00C32A00" w:rsidP="00C32A00">
      <w:pPr>
        <w:pStyle w:val="BodyText1"/>
        <w:numPr>
          <w:ilvl w:val="0"/>
          <w:numId w:val="43"/>
        </w:numPr>
      </w:pPr>
      <w:r>
        <w:t>Health Care Consumers Association</w:t>
      </w:r>
    </w:p>
    <w:p w14:paraId="7863F578" w14:textId="77777777" w:rsidR="00AB004C" w:rsidRDefault="00AB004C" w:rsidP="00AB004C">
      <w:pPr>
        <w:pStyle w:val="BodyText1"/>
        <w:numPr>
          <w:ilvl w:val="0"/>
          <w:numId w:val="43"/>
        </w:numPr>
      </w:pPr>
      <w:r w:rsidRPr="00153D94">
        <w:t>Hepatitis ACT</w:t>
      </w:r>
    </w:p>
    <w:p w14:paraId="72C20227" w14:textId="77777777" w:rsidR="00C32A00" w:rsidRDefault="00C32A00" w:rsidP="00C32A00">
      <w:pPr>
        <w:pStyle w:val="BodyText1"/>
        <w:numPr>
          <w:ilvl w:val="0"/>
          <w:numId w:val="43"/>
        </w:numPr>
      </w:pPr>
      <w:r w:rsidRPr="00153D94">
        <w:t>Karralika Programs</w:t>
      </w:r>
    </w:p>
    <w:p w14:paraId="5B4484CD" w14:textId="60AF34D2" w:rsidR="00AB1BC0" w:rsidRDefault="00942AA4" w:rsidP="00942AA4">
      <w:pPr>
        <w:pStyle w:val="BodyText1"/>
        <w:numPr>
          <w:ilvl w:val="0"/>
          <w:numId w:val="43"/>
        </w:numPr>
      </w:pPr>
      <w:r w:rsidRPr="00153D94">
        <w:t>Meridian Incorporated</w:t>
      </w:r>
    </w:p>
    <w:p w14:paraId="2F658737" w14:textId="77777777" w:rsidR="00C32A00" w:rsidRDefault="00C32A00" w:rsidP="00C32A00">
      <w:pPr>
        <w:pStyle w:val="BodyText1"/>
        <w:numPr>
          <w:ilvl w:val="0"/>
          <w:numId w:val="43"/>
        </w:numPr>
      </w:pPr>
      <w:r w:rsidRPr="00153D94">
        <w:t>Multicultural Hub Canberra</w:t>
      </w:r>
    </w:p>
    <w:p w14:paraId="3C8A4F14" w14:textId="1CBBE64B" w:rsidR="00942AA4" w:rsidRDefault="00942AA4" w:rsidP="00942AA4">
      <w:pPr>
        <w:pStyle w:val="BodyText1"/>
        <w:numPr>
          <w:ilvl w:val="0"/>
          <w:numId w:val="43"/>
        </w:numPr>
      </w:pPr>
      <w:r w:rsidRPr="00153D94">
        <w:t>Sexual Health and Family Planning ACT</w:t>
      </w:r>
    </w:p>
    <w:p w14:paraId="064AF1F7" w14:textId="233B97A7" w:rsidR="00942AA4" w:rsidRDefault="00942AA4" w:rsidP="00942AA4">
      <w:pPr>
        <w:pStyle w:val="BodyText1"/>
        <w:numPr>
          <w:ilvl w:val="0"/>
          <w:numId w:val="43"/>
        </w:numPr>
      </w:pPr>
      <w:r w:rsidRPr="00153D94">
        <w:t>The Junction Youth Health Service</w:t>
      </w:r>
    </w:p>
    <w:p w14:paraId="090DA54C" w14:textId="77777777" w:rsidR="00C32A00" w:rsidRDefault="00C32A00" w:rsidP="00C32A00">
      <w:pPr>
        <w:pStyle w:val="BodyText1"/>
        <w:numPr>
          <w:ilvl w:val="0"/>
          <w:numId w:val="43"/>
        </w:numPr>
      </w:pPr>
      <w:r w:rsidRPr="00153D94">
        <w:t>University of Canberra Medical Service</w:t>
      </w:r>
    </w:p>
    <w:p w14:paraId="5470F077" w14:textId="7889CB7B" w:rsidR="00942AA4" w:rsidRDefault="00942AA4" w:rsidP="00942AA4">
      <w:pPr>
        <w:pStyle w:val="BodyText1"/>
        <w:numPr>
          <w:ilvl w:val="0"/>
          <w:numId w:val="43"/>
        </w:numPr>
      </w:pPr>
      <w:r w:rsidRPr="00153D94">
        <w:t>Winnunga Nimmityjah Aboriginal Health Service</w:t>
      </w:r>
    </w:p>
    <w:p w14:paraId="11378FDD" w14:textId="00C6F748" w:rsidR="00942AA4" w:rsidRPr="00942AA4" w:rsidRDefault="00942AA4" w:rsidP="00942AA4">
      <w:pPr>
        <w:pStyle w:val="BodyText1"/>
        <w:numPr>
          <w:ilvl w:val="0"/>
          <w:numId w:val="43"/>
        </w:numPr>
      </w:pPr>
      <w:r w:rsidRPr="00942AA4">
        <w:t>Women’s Health Matters</w:t>
      </w:r>
    </w:p>
    <w:p w14:paraId="714D1D44" w14:textId="5079BD1A" w:rsidR="00AB1BC0" w:rsidRDefault="00942AA4">
      <w:pPr>
        <w:pStyle w:val="BodyText1"/>
        <w:numPr>
          <w:ilvl w:val="0"/>
          <w:numId w:val="43"/>
        </w:numPr>
      </w:pPr>
      <w:r w:rsidRPr="00AB004C">
        <w:t>Women with Disability ACT</w:t>
      </w:r>
    </w:p>
    <w:p w14:paraId="69586F1A" w14:textId="77777777" w:rsidR="00C32A00" w:rsidRPr="00942AA4" w:rsidRDefault="00C32A00" w:rsidP="00C32A00">
      <w:pPr>
        <w:pStyle w:val="BodyText1"/>
      </w:pPr>
    </w:p>
    <w:p w14:paraId="1A9D046F" w14:textId="646412A1" w:rsidR="004E3728" w:rsidRPr="0023064E" w:rsidRDefault="004E3728" w:rsidP="002C5317">
      <w:pPr>
        <w:pStyle w:val="Heading1"/>
      </w:pPr>
      <w:bookmarkStart w:id="50" w:name="_Toc144494386"/>
      <w:r w:rsidRPr="0023064E">
        <w:lastRenderedPageBreak/>
        <w:t xml:space="preserve">Appendix </w:t>
      </w:r>
      <w:r w:rsidR="001360BF">
        <w:t>B</w:t>
      </w:r>
      <w:r w:rsidR="00A444F9" w:rsidRPr="0023064E">
        <w:t xml:space="preserve"> </w:t>
      </w:r>
      <w:r w:rsidR="0039726A">
        <w:t>–</w:t>
      </w:r>
      <w:r w:rsidRPr="0023064E">
        <w:t xml:space="preserve"> </w:t>
      </w:r>
      <w:bookmarkStart w:id="51" w:name="_Toc142653986"/>
      <w:r w:rsidR="005A3EF5">
        <w:t>Proposed</w:t>
      </w:r>
      <w:r w:rsidRPr="0023064E">
        <w:t xml:space="preserve"> outcomes</w:t>
      </w:r>
      <w:bookmarkEnd w:id="50"/>
      <w:bookmarkEnd w:id="51"/>
    </w:p>
    <w:p w14:paraId="66ED1C86" w14:textId="1F92FADF" w:rsidR="004E3728" w:rsidRPr="00A747CF" w:rsidRDefault="004E3728" w:rsidP="004E3728">
      <w:pPr>
        <w:pStyle w:val="BodyText"/>
        <w:spacing w:line="240" w:lineRule="auto"/>
        <w:rPr>
          <w:szCs w:val="22"/>
        </w:rPr>
      </w:pPr>
      <w:r w:rsidRPr="004F290A">
        <w:rPr>
          <w:szCs w:val="22"/>
        </w:rPr>
        <w:t xml:space="preserve">The STIBBV subsector has identified a number of high-level outcomes which could apply to all non-government </w:t>
      </w:r>
      <w:r w:rsidR="00A444F9">
        <w:rPr>
          <w:szCs w:val="22"/>
        </w:rPr>
        <w:t>STIBBV sub</w:t>
      </w:r>
      <w:r w:rsidRPr="004F290A">
        <w:rPr>
          <w:szCs w:val="22"/>
        </w:rPr>
        <w:t xml:space="preserve">sector </w:t>
      </w:r>
      <w:r w:rsidR="00A444F9">
        <w:rPr>
          <w:szCs w:val="22"/>
        </w:rPr>
        <w:t xml:space="preserve">investments. </w:t>
      </w:r>
      <w:r w:rsidRPr="004F290A">
        <w:rPr>
          <w:szCs w:val="22"/>
        </w:rPr>
        <w:t xml:space="preserve">The below table details the identified outcomes, outcome descriptors, alignment with the </w:t>
      </w:r>
      <w:hyperlink r:id="rId45" w:history="1">
        <w:r w:rsidRPr="00C32A00">
          <w:rPr>
            <w:rStyle w:val="Hyperlink"/>
            <w:szCs w:val="22"/>
          </w:rPr>
          <w:t xml:space="preserve">ACT Wellbeing </w:t>
        </w:r>
        <w:r w:rsidR="00C32A00" w:rsidRPr="00C32A00">
          <w:rPr>
            <w:rStyle w:val="Hyperlink"/>
            <w:szCs w:val="22"/>
          </w:rPr>
          <w:t>F</w:t>
        </w:r>
        <w:r w:rsidRPr="00C32A00">
          <w:rPr>
            <w:rStyle w:val="Hyperlink"/>
            <w:szCs w:val="22"/>
          </w:rPr>
          <w:t>ramework</w:t>
        </w:r>
      </w:hyperlink>
      <w:r w:rsidRPr="004F290A">
        <w:rPr>
          <w:szCs w:val="22"/>
        </w:rPr>
        <w:t xml:space="preserve"> and potential sources of data for measurement.</w:t>
      </w:r>
      <w:r w:rsidR="00E4581D">
        <w:rPr>
          <w:szCs w:val="22"/>
        </w:rPr>
        <w:t xml:space="preserve"> Outcome reporting within future deed of grant agreements will be considered in April 2025. </w:t>
      </w:r>
    </w:p>
    <w:tbl>
      <w:tblPr>
        <w:tblStyle w:val="TableGrid"/>
        <w:tblW w:w="0" w:type="auto"/>
        <w:tblLook w:val="04A0" w:firstRow="1" w:lastRow="0" w:firstColumn="1" w:lastColumn="0" w:noHBand="0" w:noVBand="1"/>
      </w:tblPr>
      <w:tblGrid>
        <w:gridCol w:w="1555"/>
        <w:gridCol w:w="3154"/>
        <w:gridCol w:w="2199"/>
        <w:gridCol w:w="2721"/>
      </w:tblGrid>
      <w:tr w:rsidR="004E3728" w:rsidRPr="00C32A00" w14:paraId="42806463" w14:textId="77777777" w:rsidTr="00E06066">
        <w:trPr>
          <w:trHeight w:val="950"/>
          <w:tblHeader/>
        </w:trPr>
        <w:tc>
          <w:tcPr>
            <w:tcW w:w="1555" w:type="dxa"/>
            <w:shd w:val="clear" w:color="auto" w:fill="7030A0"/>
          </w:tcPr>
          <w:p w14:paraId="479E51B5" w14:textId="50CEB964" w:rsidR="004E3728" w:rsidRPr="00C32A00" w:rsidRDefault="00C32A00" w:rsidP="00C32A00">
            <w:pPr>
              <w:spacing w:before="120" w:after="120" w:line="240" w:lineRule="auto"/>
              <w:rPr>
                <w:b/>
                <w:bCs/>
                <w:color w:val="FFFFFF" w:themeColor="background1"/>
                <w:szCs w:val="22"/>
              </w:rPr>
            </w:pPr>
            <w:r>
              <w:rPr>
                <w:b/>
                <w:bCs/>
                <w:color w:val="FFFFFF" w:themeColor="background1"/>
                <w:szCs w:val="22"/>
              </w:rPr>
              <w:t>D</w:t>
            </w:r>
            <w:r w:rsidR="004E3728" w:rsidRPr="00C32A00">
              <w:rPr>
                <w:b/>
                <w:bCs/>
                <w:color w:val="FFFFFF" w:themeColor="background1"/>
                <w:szCs w:val="22"/>
              </w:rPr>
              <w:t>omain</w:t>
            </w:r>
          </w:p>
        </w:tc>
        <w:tc>
          <w:tcPr>
            <w:tcW w:w="3154" w:type="dxa"/>
            <w:shd w:val="clear" w:color="auto" w:fill="7030A0"/>
          </w:tcPr>
          <w:p w14:paraId="1FB17548" w14:textId="77777777" w:rsidR="004E3728" w:rsidRPr="00C32A00" w:rsidRDefault="004E3728" w:rsidP="00C32A00">
            <w:pPr>
              <w:spacing w:before="120" w:after="120" w:line="240" w:lineRule="auto"/>
              <w:rPr>
                <w:b/>
                <w:bCs/>
                <w:color w:val="FFFFFF" w:themeColor="background1"/>
                <w:szCs w:val="22"/>
              </w:rPr>
            </w:pPr>
            <w:r w:rsidRPr="00C32A00">
              <w:rPr>
                <w:b/>
                <w:bCs/>
                <w:color w:val="FFFFFF" w:themeColor="background1"/>
                <w:szCs w:val="22"/>
              </w:rPr>
              <w:t>STIBBV descriptor</w:t>
            </w:r>
          </w:p>
        </w:tc>
        <w:tc>
          <w:tcPr>
            <w:tcW w:w="2199" w:type="dxa"/>
            <w:shd w:val="clear" w:color="auto" w:fill="7030A0"/>
          </w:tcPr>
          <w:p w14:paraId="75ED0D8A" w14:textId="77777777" w:rsidR="004E3728" w:rsidRPr="00C32A00" w:rsidRDefault="004E3728" w:rsidP="00C32A00">
            <w:pPr>
              <w:spacing w:before="120" w:after="120" w:line="240" w:lineRule="auto"/>
              <w:rPr>
                <w:b/>
                <w:bCs/>
                <w:color w:val="FFFFFF" w:themeColor="background1"/>
                <w:szCs w:val="22"/>
              </w:rPr>
            </w:pPr>
            <w:r w:rsidRPr="00C32A00">
              <w:rPr>
                <w:b/>
                <w:bCs/>
                <w:color w:val="FFFFFF" w:themeColor="background1"/>
                <w:szCs w:val="22"/>
              </w:rPr>
              <w:t>Strategic alignment</w:t>
            </w:r>
          </w:p>
        </w:tc>
        <w:tc>
          <w:tcPr>
            <w:tcW w:w="2721" w:type="dxa"/>
            <w:shd w:val="clear" w:color="auto" w:fill="7030A0"/>
          </w:tcPr>
          <w:p w14:paraId="222D64CA" w14:textId="77777777" w:rsidR="004E3728" w:rsidRPr="00C32A00" w:rsidRDefault="004E3728" w:rsidP="00C32A00">
            <w:pPr>
              <w:spacing w:before="120" w:after="120" w:line="240" w:lineRule="auto"/>
              <w:rPr>
                <w:b/>
                <w:bCs/>
                <w:color w:val="FFFFFF" w:themeColor="background1"/>
                <w:szCs w:val="22"/>
              </w:rPr>
            </w:pPr>
            <w:r w:rsidRPr="00C32A00">
              <w:rPr>
                <w:b/>
                <w:bCs/>
                <w:color w:val="FFFFFF" w:themeColor="background1"/>
                <w:szCs w:val="22"/>
              </w:rPr>
              <w:t>Potential data source</w:t>
            </w:r>
          </w:p>
        </w:tc>
      </w:tr>
      <w:tr w:rsidR="004E3728" w:rsidRPr="00C32A00" w14:paraId="0D8ABD4D" w14:textId="77777777" w:rsidTr="00E06066">
        <w:trPr>
          <w:trHeight w:val="838"/>
        </w:trPr>
        <w:tc>
          <w:tcPr>
            <w:tcW w:w="1555" w:type="dxa"/>
            <w:vMerge w:val="restart"/>
            <w:shd w:val="clear" w:color="auto" w:fill="E6D5F3"/>
          </w:tcPr>
          <w:p w14:paraId="5297FCFC" w14:textId="77777777" w:rsidR="004E3728" w:rsidRPr="00C32A00" w:rsidRDefault="004E3728" w:rsidP="00C32A00">
            <w:pPr>
              <w:spacing w:before="120" w:after="120" w:line="240" w:lineRule="auto"/>
              <w:rPr>
                <w:b/>
                <w:bCs/>
                <w:szCs w:val="22"/>
              </w:rPr>
            </w:pPr>
            <w:r w:rsidRPr="00C32A00">
              <w:rPr>
                <w:b/>
                <w:bCs/>
                <w:szCs w:val="22"/>
              </w:rPr>
              <w:t>Health literacy</w:t>
            </w:r>
          </w:p>
        </w:tc>
        <w:tc>
          <w:tcPr>
            <w:tcW w:w="3154" w:type="dxa"/>
            <w:vMerge w:val="restart"/>
          </w:tcPr>
          <w:p w14:paraId="2BD13347"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People have knowledge about STIs and BBVs including transmission, how to reduce their risk, and how and where to access testing, treatment, and care</w:t>
            </w:r>
          </w:p>
        </w:tc>
        <w:tc>
          <w:tcPr>
            <w:tcW w:w="2199" w:type="dxa"/>
            <w:shd w:val="clear" w:color="auto" w:fill="CC3399"/>
          </w:tcPr>
          <w:p w14:paraId="13A8FB92" w14:textId="77777777" w:rsidR="004E3728" w:rsidRPr="00C32A00" w:rsidRDefault="004E3728" w:rsidP="00C32A00">
            <w:pPr>
              <w:spacing w:before="120" w:after="120" w:line="240" w:lineRule="auto"/>
              <w:rPr>
                <w:szCs w:val="22"/>
              </w:rPr>
            </w:pPr>
            <w:r w:rsidRPr="00C32A00">
              <w:rPr>
                <w:color w:val="FFFFFF" w:themeColor="background1"/>
                <w:szCs w:val="22"/>
              </w:rPr>
              <w:t>Education and lifelong learning</w:t>
            </w:r>
          </w:p>
        </w:tc>
        <w:tc>
          <w:tcPr>
            <w:tcW w:w="2721" w:type="dxa"/>
            <w:vMerge w:val="restart"/>
          </w:tcPr>
          <w:p w14:paraId="54C7BC2C" w14:textId="77777777" w:rsidR="004E3728" w:rsidRPr="00C32A00" w:rsidRDefault="004E3728" w:rsidP="00C32A00">
            <w:pPr>
              <w:pStyle w:val="ListParagraph"/>
              <w:numPr>
                <w:ilvl w:val="0"/>
                <w:numId w:val="39"/>
              </w:numPr>
              <w:spacing w:before="120" w:after="120" w:line="240" w:lineRule="auto"/>
              <w:ind w:left="391" w:hanging="283"/>
              <w:contextualSpacing w:val="0"/>
              <w:rPr>
                <w:szCs w:val="22"/>
              </w:rPr>
            </w:pPr>
            <w:r w:rsidRPr="00C32A00">
              <w:rPr>
                <w:rFonts w:asciiTheme="minorHAnsi" w:eastAsiaTheme="minorHAnsi" w:hAnsiTheme="minorHAnsi" w:cstheme="minorBidi"/>
                <w:szCs w:val="22"/>
              </w:rPr>
              <w:t>Self-report surveys</w:t>
            </w:r>
          </w:p>
        </w:tc>
      </w:tr>
      <w:tr w:rsidR="004E3728" w:rsidRPr="00C32A00" w14:paraId="67D2D0FF" w14:textId="77777777" w:rsidTr="00E06066">
        <w:trPr>
          <w:trHeight w:val="948"/>
        </w:trPr>
        <w:tc>
          <w:tcPr>
            <w:tcW w:w="1555" w:type="dxa"/>
            <w:vMerge/>
            <w:shd w:val="clear" w:color="auto" w:fill="E6D5F3"/>
          </w:tcPr>
          <w:p w14:paraId="1E8CFA3B" w14:textId="77777777" w:rsidR="004E3728" w:rsidRPr="00C32A00" w:rsidRDefault="004E3728" w:rsidP="00C32A00">
            <w:pPr>
              <w:spacing w:before="120" w:after="120" w:line="240" w:lineRule="auto"/>
              <w:rPr>
                <w:b/>
                <w:bCs/>
                <w:szCs w:val="22"/>
              </w:rPr>
            </w:pPr>
          </w:p>
        </w:tc>
        <w:tc>
          <w:tcPr>
            <w:tcW w:w="3154" w:type="dxa"/>
            <w:vMerge/>
          </w:tcPr>
          <w:p w14:paraId="2168794F" w14:textId="77777777" w:rsidR="004E3728" w:rsidRPr="00C32A00" w:rsidRDefault="004E3728" w:rsidP="00C32A00">
            <w:pPr>
              <w:numPr>
                <w:ilvl w:val="0"/>
                <w:numId w:val="38"/>
              </w:numPr>
              <w:spacing w:before="120" w:after="120" w:line="240" w:lineRule="auto"/>
              <w:rPr>
                <w:szCs w:val="22"/>
              </w:rPr>
            </w:pPr>
          </w:p>
        </w:tc>
        <w:tc>
          <w:tcPr>
            <w:tcW w:w="2199" w:type="dxa"/>
            <w:shd w:val="clear" w:color="auto" w:fill="6600CC"/>
          </w:tcPr>
          <w:p w14:paraId="4002974D" w14:textId="77777777" w:rsidR="004E3728" w:rsidRPr="00C32A00" w:rsidRDefault="004E3728" w:rsidP="00C32A00">
            <w:pPr>
              <w:spacing w:before="120" w:after="120" w:line="240" w:lineRule="auto"/>
              <w:rPr>
                <w:szCs w:val="22"/>
              </w:rPr>
            </w:pPr>
            <w:r w:rsidRPr="00C32A00">
              <w:rPr>
                <w:color w:val="FFFFFF" w:themeColor="background1"/>
                <w:szCs w:val="22"/>
              </w:rPr>
              <w:t>Health</w:t>
            </w:r>
          </w:p>
        </w:tc>
        <w:tc>
          <w:tcPr>
            <w:tcW w:w="2721" w:type="dxa"/>
            <w:vMerge/>
          </w:tcPr>
          <w:p w14:paraId="3E734961" w14:textId="77777777" w:rsidR="004E3728" w:rsidRPr="00C32A00" w:rsidRDefault="004E3728" w:rsidP="00C32A00">
            <w:pPr>
              <w:spacing w:before="120" w:after="120" w:line="240" w:lineRule="auto"/>
              <w:rPr>
                <w:szCs w:val="22"/>
              </w:rPr>
            </w:pPr>
          </w:p>
        </w:tc>
      </w:tr>
      <w:tr w:rsidR="004E3728" w:rsidRPr="00C32A00" w14:paraId="1288614D" w14:textId="77777777" w:rsidTr="00E06066">
        <w:trPr>
          <w:trHeight w:val="975"/>
        </w:trPr>
        <w:tc>
          <w:tcPr>
            <w:tcW w:w="1555" w:type="dxa"/>
            <w:vMerge w:val="restart"/>
            <w:shd w:val="clear" w:color="auto" w:fill="E6D5F3"/>
          </w:tcPr>
          <w:p w14:paraId="1DA8C0C6" w14:textId="77777777" w:rsidR="004E3728" w:rsidRPr="00C32A00" w:rsidRDefault="004E3728" w:rsidP="00C32A00">
            <w:pPr>
              <w:spacing w:before="120" w:after="120" w:line="240" w:lineRule="auto"/>
              <w:rPr>
                <w:b/>
                <w:bCs/>
                <w:szCs w:val="22"/>
              </w:rPr>
            </w:pPr>
            <w:r w:rsidRPr="00C32A00">
              <w:rPr>
                <w:b/>
                <w:bCs/>
                <w:szCs w:val="22"/>
              </w:rPr>
              <w:t>Health behaviours</w:t>
            </w:r>
          </w:p>
        </w:tc>
        <w:tc>
          <w:tcPr>
            <w:tcW w:w="3154" w:type="dxa"/>
            <w:vMerge w:val="restart"/>
          </w:tcPr>
          <w:p w14:paraId="6FB49CC4" w14:textId="77777777" w:rsidR="00E06066" w:rsidRPr="00103F32" w:rsidRDefault="00E06066" w:rsidP="00E06066">
            <w:pPr>
              <w:widowControl w:val="0"/>
              <w:numPr>
                <w:ilvl w:val="0"/>
                <w:numId w:val="38"/>
              </w:numPr>
              <w:tabs>
                <w:tab w:val="clear" w:pos="720"/>
                <w:tab w:val="num" w:pos="297"/>
              </w:tabs>
              <w:spacing w:before="120" w:after="120" w:line="240" w:lineRule="auto"/>
              <w:ind w:left="297" w:hanging="284"/>
              <w:rPr>
                <w:rFonts w:cs="Calibri"/>
                <w:szCs w:val="22"/>
              </w:rPr>
            </w:pPr>
            <w:r w:rsidRPr="00103F32">
              <w:rPr>
                <w:rFonts w:cs="Calibri"/>
                <w:szCs w:val="22"/>
              </w:rPr>
              <w:t>People engage in</w:t>
            </w:r>
            <w:r>
              <w:rPr>
                <w:rFonts w:cs="Calibri"/>
                <w:szCs w:val="22"/>
              </w:rPr>
              <w:t xml:space="preserve"> </w:t>
            </w:r>
            <w:r w:rsidRPr="00103F32">
              <w:rPr>
                <w:rFonts w:cs="Calibri"/>
                <w:szCs w:val="22"/>
              </w:rPr>
              <w:t>safe sexual activity</w:t>
            </w:r>
          </w:p>
          <w:p w14:paraId="6346E589"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People have access to information and means of prevention to decrease their risk of acquiring and transmitting STIs and BBVs</w:t>
            </w:r>
          </w:p>
        </w:tc>
        <w:tc>
          <w:tcPr>
            <w:tcW w:w="2199" w:type="dxa"/>
            <w:shd w:val="clear" w:color="auto" w:fill="CC3399"/>
          </w:tcPr>
          <w:p w14:paraId="31E0B560" w14:textId="77777777" w:rsidR="004E3728" w:rsidRPr="00C32A00" w:rsidRDefault="004E3728" w:rsidP="00C32A00">
            <w:pPr>
              <w:spacing w:before="120" w:after="120" w:line="240" w:lineRule="auto"/>
              <w:rPr>
                <w:color w:val="FFFFFF" w:themeColor="background1"/>
                <w:szCs w:val="22"/>
              </w:rPr>
            </w:pPr>
            <w:r w:rsidRPr="00C32A00">
              <w:rPr>
                <w:color w:val="FFFFFF" w:themeColor="background1"/>
                <w:szCs w:val="22"/>
              </w:rPr>
              <w:t>Education and lifelong learning</w:t>
            </w:r>
          </w:p>
          <w:p w14:paraId="149B0057" w14:textId="77777777" w:rsidR="004E3728" w:rsidRPr="00C32A00" w:rsidRDefault="004E3728" w:rsidP="00C32A00">
            <w:pPr>
              <w:spacing w:before="120" w:after="120" w:line="240" w:lineRule="auto"/>
              <w:jc w:val="center"/>
              <w:rPr>
                <w:szCs w:val="22"/>
              </w:rPr>
            </w:pPr>
          </w:p>
        </w:tc>
        <w:tc>
          <w:tcPr>
            <w:tcW w:w="2721" w:type="dxa"/>
            <w:vMerge w:val="restart"/>
          </w:tcPr>
          <w:p w14:paraId="1968C2A1"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Self-report surveys</w:t>
            </w:r>
          </w:p>
          <w:p w14:paraId="62FF56BB" w14:textId="36992B89" w:rsidR="004E3728" w:rsidRPr="00C32A00" w:rsidRDefault="00E06066"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Pr>
                <w:rFonts w:asciiTheme="minorHAnsi" w:eastAsiaTheme="minorHAnsi" w:hAnsiTheme="minorHAnsi" w:cstheme="minorBidi"/>
                <w:szCs w:val="22"/>
              </w:rPr>
              <w:t>HBV</w:t>
            </w:r>
            <w:r w:rsidR="008C3BFB">
              <w:rPr>
                <w:rFonts w:asciiTheme="minorHAnsi" w:eastAsiaTheme="minorHAnsi" w:hAnsiTheme="minorHAnsi" w:cstheme="minorBidi"/>
                <w:szCs w:val="22"/>
              </w:rPr>
              <w:t xml:space="preserve"> </w:t>
            </w:r>
            <w:r w:rsidR="004E3728" w:rsidRPr="00C32A00">
              <w:rPr>
                <w:rFonts w:asciiTheme="minorHAnsi" w:eastAsiaTheme="minorHAnsi" w:hAnsiTheme="minorHAnsi" w:cstheme="minorBidi"/>
                <w:szCs w:val="22"/>
              </w:rPr>
              <w:t>and HPV vaccination coverage (ACT Vaccine unit)</w:t>
            </w:r>
          </w:p>
          <w:p w14:paraId="78AF1F45"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NSP service uptake (Australian Needle and Syringe Program Survey)</w:t>
            </w:r>
          </w:p>
          <w:p w14:paraId="714F8403" w14:textId="77777777" w:rsidR="004E3728" w:rsidRPr="00C32A00" w:rsidRDefault="004E3728" w:rsidP="00C32A00">
            <w:pPr>
              <w:pStyle w:val="ListParagraph"/>
              <w:numPr>
                <w:ilvl w:val="0"/>
                <w:numId w:val="39"/>
              </w:numPr>
              <w:spacing w:before="120" w:after="120" w:line="240" w:lineRule="auto"/>
              <w:ind w:left="391" w:hanging="283"/>
              <w:contextualSpacing w:val="0"/>
              <w:rPr>
                <w:szCs w:val="22"/>
              </w:rPr>
            </w:pPr>
            <w:r w:rsidRPr="00C32A00">
              <w:rPr>
                <w:rFonts w:asciiTheme="minorHAnsi" w:eastAsiaTheme="minorHAnsi" w:hAnsiTheme="minorHAnsi" w:cstheme="minorBidi"/>
                <w:szCs w:val="22"/>
              </w:rPr>
              <w:t>PrEP/PEP awareness (Gay Community Periodic Survey)</w:t>
            </w:r>
          </w:p>
        </w:tc>
      </w:tr>
      <w:tr w:rsidR="004E3728" w:rsidRPr="00C32A00" w14:paraId="5824984A" w14:textId="77777777" w:rsidTr="00E06066">
        <w:trPr>
          <w:trHeight w:val="703"/>
        </w:trPr>
        <w:tc>
          <w:tcPr>
            <w:tcW w:w="1555" w:type="dxa"/>
            <w:vMerge/>
            <w:shd w:val="clear" w:color="auto" w:fill="E6D5F3"/>
          </w:tcPr>
          <w:p w14:paraId="15098458" w14:textId="77777777" w:rsidR="004E3728" w:rsidRPr="00C32A00" w:rsidRDefault="004E3728" w:rsidP="00C32A00">
            <w:pPr>
              <w:spacing w:before="120" w:after="120" w:line="240" w:lineRule="auto"/>
              <w:rPr>
                <w:b/>
                <w:bCs/>
                <w:szCs w:val="22"/>
              </w:rPr>
            </w:pPr>
          </w:p>
        </w:tc>
        <w:tc>
          <w:tcPr>
            <w:tcW w:w="3154" w:type="dxa"/>
            <w:vMerge/>
          </w:tcPr>
          <w:p w14:paraId="2926CE61"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p>
        </w:tc>
        <w:tc>
          <w:tcPr>
            <w:tcW w:w="2199" w:type="dxa"/>
            <w:shd w:val="clear" w:color="auto" w:fill="6600CC"/>
          </w:tcPr>
          <w:p w14:paraId="50C831BC" w14:textId="77777777" w:rsidR="004E3728" w:rsidRPr="00C32A00" w:rsidRDefault="004E3728" w:rsidP="00C32A00">
            <w:pPr>
              <w:spacing w:before="120" w:after="120" w:line="240" w:lineRule="auto"/>
              <w:rPr>
                <w:szCs w:val="22"/>
              </w:rPr>
            </w:pPr>
            <w:r w:rsidRPr="00C32A00">
              <w:rPr>
                <w:color w:val="FFFFFF" w:themeColor="background1"/>
                <w:szCs w:val="22"/>
              </w:rPr>
              <w:t>Health</w:t>
            </w:r>
          </w:p>
        </w:tc>
        <w:tc>
          <w:tcPr>
            <w:tcW w:w="2721" w:type="dxa"/>
            <w:vMerge/>
          </w:tcPr>
          <w:p w14:paraId="2B28D29D" w14:textId="77777777" w:rsidR="004E3728" w:rsidRPr="00C32A00" w:rsidRDefault="004E3728" w:rsidP="00C32A00">
            <w:pPr>
              <w:spacing w:before="120" w:after="120" w:line="240" w:lineRule="auto"/>
              <w:rPr>
                <w:szCs w:val="22"/>
              </w:rPr>
            </w:pPr>
          </w:p>
        </w:tc>
      </w:tr>
      <w:tr w:rsidR="004E3728" w:rsidRPr="00C32A00" w14:paraId="45F9D595" w14:textId="77777777" w:rsidTr="00E06066">
        <w:trPr>
          <w:trHeight w:val="683"/>
        </w:trPr>
        <w:tc>
          <w:tcPr>
            <w:tcW w:w="1555" w:type="dxa"/>
            <w:vMerge/>
            <w:shd w:val="clear" w:color="auto" w:fill="E6D5F3"/>
          </w:tcPr>
          <w:p w14:paraId="0EF3451F" w14:textId="77777777" w:rsidR="004E3728" w:rsidRPr="00C32A00" w:rsidRDefault="004E3728" w:rsidP="00C32A00">
            <w:pPr>
              <w:spacing w:before="120" w:after="120" w:line="240" w:lineRule="auto"/>
              <w:rPr>
                <w:b/>
                <w:bCs/>
                <w:szCs w:val="22"/>
              </w:rPr>
            </w:pPr>
          </w:p>
        </w:tc>
        <w:tc>
          <w:tcPr>
            <w:tcW w:w="3154" w:type="dxa"/>
            <w:vMerge/>
          </w:tcPr>
          <w:p w14:paraId="25AF81DE"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p>
        </w:tc>
        <w:tc>
          <w:tcPr>
            <w:tcW w:w="2199" w:type="dxa"/>
            <w:shd w:val="clear" w:color="auto" w:fill="0099FF"/>
          </w:tcPr>
          <w:p w14:paraId="5915DFB0" w14:textId="77777777" w:rsidR="004E3728" w:rsidRPr="00C32A00" w:rsidRDefault="004E3728" w:rsidP="00C32A00">
            <w:pPr>
              <w:spacing w:before="120" w:after="120" w:line="240" w:lineRule="auto"/>
              <w:rPr>
                <w:szCs w:val="22"/>
              </w:rPr>
            </w:pPr>
            <w:r w:rsidRPr="00C32A00">
              <w:rPr>
                <w:color w:val="FFFFFF" w:themeColor="background1"/>
                <w:szCs w:val="22"/>
              </w:rPr>
              <w:t>Social connection</w:t>
            </w:r>
          </w:p>
        </w:tc>
        <w:tc>
          <w:tcPr>
            <w:tcW w:w="2721" w:type="dxa"/>
            <w:vMerge/>
          </w:tcPr>
          <w:p w14:paraId="37334C10" w14:textId="77777777" w:rsidR="004E3728" w:rsidRPr="00C32A00" w:rsidRDefault="004E3728" w:rsidP="00C32A00">
            <w:pPr>
              <w:spacing w:before="120" w:after="120" w:line="240" w:lineRule="auto"/>
              <w:rPr>
                <w:szCs w:val="22"/>
              </w:rPr>
            </w:pPr>
          </w:p>
        </w:tc>
      </w:tr>
      <w:tr w:rsidR="004E3728" w:rsidRPr="00C32A00" w14:paraId="5F5D92A5" w14:textId="77777777" w:rsidTr="00E06066">
        <w:trPr>
          <w:trHeight w:val="730"/>
        </w:trPr>
        <w:tc>
          <w:tcPr>
            <w:tcW w:w="1555" w:type="dxa"/>
            <w:shd w:val="clear" w:color="auto" w:fill="E6D5F3"/>
          </w:tcPr>
          <w:p w14:paraId="1C8391D1" w14:textId="77777777" w:rsidR="004E3728" w:rsidRPr="00C32A00" w:rsidRDefault="004E3728" w:rsidP="00C32A00">
            <w:pPr>
              <w:spacing w:before="120" w:after="120" w:line="240" w:lineRule="auto"/>
              <w:rPr>
                <w:b/>
                <w:bCs/>
                <w:szCs w:val="22"/>
              </w:rPr>
            </w:pPr>
            <w:r w:rsidRPr="00C32A00">
              <w:rPr>
                <w:b/>
                <w:bCs/>
                <w:szCs w:val="22"/>
              </w:rPr>
              <w:t>Service access and engagement</w:t>
            </w:r>
          </w:p>
        </w:tc>
        <w:tc>
          <w:tcPr>
            <w:tcW w:w="3154" w:type="dxa"/>
          </w:tcPr>
          <w:p w14:paraId="7E7DCCD9"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People can access affordable STIBBV services</w:t>
            </w:r>
          </w:p>
          <w:p w14:paraId="3B289D70"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STIBBV services are located in convenient geographic locations where people live, work, play and love</w:t>
            </w:r>
          </w:p>
          <w:p w14:paraId="202CAE3A"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STIBBV services are provided at convenient times across the day/week</w:t>
            </w:r>
          </w:p>
          <w:p w14:paraId="6D24A70F"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Individuals remain engaged in relevant care cascades</w:t>
            </w:r>
          </w:p>
        </w:tc>
        <w:tc>
          <w:tcPr>
            <w:tcW w:w="2199" w:type="dxa"/>
            <w:shd w:val="clear" w:color="auto" w:fill="6600CC"/>
          </w:tcPr>
          <w:p w14:paraId="3229C8EF" w14:textId="77777777" w:rsidR="004E3728" w:rsidRPr="00C32A00" w:rsidRDefault="004E3728" w:rsidP="00C32A00">
            <w:pPr>
              <w:spacing w:before="120" w:after="120" w:line="240" w:lineRule="auto"/>
              <w:rPr>
                <w:szCs w:val="22"/>
              </w:rPr>
            </w:pPr>
            <w:r w:rsidRPr="00C32A00">
              <w:rPr>
                <w:szCs w:val="22"/>
              </w:rPr>
              <w:t>Health</w:t>
            </w:r>
          </w:p>
        </w:tc>
        <w:tc>
          <w:tcPr>
            <w:tcW w:w="2721" w:type="dxa"/>
          </w:tcPr>
          <w:p w14:paraId="080E549D"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Service mapping activities (NGOs and ACTHD)</w:t>
            </w:r>
          </w:p>
          <w:p w14:paraId="28D0D212"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Service Engagement Scale Scores</w:t>
            </w:r>
          </w:p>
          <w:p w14:paraId="6E17B781"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Late Diagnosis Indicators</w:t>
            </w:r>
          </w:p>
          <w:p w14:paraId="1EE7CE32"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Service user experience surveys</w:t>
            </w:r>
          </w:p>
          <w:p w14:paraId="3DDE113B"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Care cascade modelling data (Kirby Institute/Burnett Institute)</w:t>
            </w:r>
          </w:p>
          <w:p w14:paraId="0B47DFB3" w14:textId="77777777" w:rsidR="004E3728" w:rsidRPr="00C32A00" w:rsidRDefault="004E3728" w:rsidP="00C32A00">
            <w:pPr>
              <w:pStyle w:val="ListParagraph"/>
              <w:numPr>
                <w:ilvl w:val="0"/>
                <w:numId w:val="39"/>
              </w:numPr>
              <w:spacing w:before="120" w:after="120" w:line="240" w:lineRule="auto"/>
              <w:ind w:left="391" w:hanging="283"/>
              <w:contextualSpacing w:val="0"/>
              <w:rPr>
                <w:szCs w:val="22"/>
              </w:rPr>
            </w:pPr>
            <w:r w:rsidRPr="00C32A00">
              <w:rPr>
                <w:rFonts w:asciiTheme="minorHAnsi" w:eastAsiaTheme="minorHAnsi" w:hAnsiTheme="minorHAnsi" w:cstheme="minorBidi"/>
                <w:szCs w:val="22"/>
              </w:rPr>
              <w:t>Testing denominator data (ACTHD and ACT/Capital Pathology)</w:t>
            </w:r>
          </w:p>
        </w:tc>
      </w:tr>
    </w:tbl>
    <w:tbl>
      <w:tblPr>
        <w:tblStyle w:val="TableGrid"/>
        <w:tblpPr w:leftFromText="180" w:rightFromText="180" w:horzAnchor="margin" w:tblpY="964"/>
        <w:tblW w:w="0" w:type="auto"/>
        <w:tblLook w:val="04A0" w:firstRow="1" w:lastRow="0" w:firstColumn="1" w:lastColumn="0" w:noHBand="0" w:noVBand="1"/>
      </w:tblPr>
      <w:tblGrid>
        <w:gridCol w:w="1696"/>
        <w:gridCol w:w="2949"/>
        <w:gridCol w:w="2181"/>
        <w:gridCol w:w="2640"/>
      </w:tblGrid>
      <w:tr w:rsidR="004E3728" w:rsidRPr="00C32A00" w14:paraId="45780DBB" w14:textId="77777777" w:rsidTr="00C32A00">
        <w:trPr>
          <w:trHeight w:val="769"/>
        </w:trPr>
        <w:tc>
          <w:tcPr>
            <w:tcW w:w="1696" w:type="dxa"/>
            <w:vMerge w:val="restart"/>
            <w:shd w:val="clear" w:color="auto" w:fill="E6D5F3"/>
          </w:tcPr>
          <w:p w14:paraId="7020C7A2" w14:textId="77777777" w:rsidR="004E3728" w:rsidRPr="00C32A00" w:rsidRDefault="004E3728" w:rsidP="00C32A00">
            <w:pPr>
              <w:spacing w:before="120" w:after="120" w:line="240" w:lineRule="auto"/>
              <w:rPr>
                <w:b/>
                <w:bCs/>
                <w:szCs w:val="22"/>
              </w:rPr>
            </w:pPr>
            <w:r w:rsidRPr="00C32A00">
              <w:rPr>
                <w:b/>
                <w:bCs/>
                <w:szCs w:val="22"/>
              </w:rPr>
              <w:lastRenderedPageBreak/>
              <w:t>Safety and comfort</w:t>
            </w:r>
          </w:p>
        </w:tc>
        <w:tc>
          <w:tcPr>
            <w:tcW w:w="2949" w:type="dxa"/>
            <w:vMerge w:val="restart"/>
          </w:tcPr>
          <w:p w14:paraId="34978757" w14:textId="4A66F3C3"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 xml:space="preserve">People feel physically, socially, and emotionally safe, heard and respected when accessing an STIBBV service </w:t>
            </w:r>
          </w:p>
          <w:p w14:paraId="342FE741"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 xml:space="preserve">Services are culturally safe, inclusive, and free of discrimination. </w:t>
            </w:r>
          </w:p>
          <w:p w14:paraId="2CC76981"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People feel comfortable in talking about STIBBV related issues</w:t>
            </w:r>
          </w:p>
          <w:p w14:paraId="792738E0"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People can be their authentic selves</w:t>
            </w:r>
          </w:p>
        </w:tc>
        <w:tc>
          <w:tcPr>
            <w:tcW w:w="2181" w:type="dxa"/>
            <w:shd w:val="clear" w:color="auto" w:fill="FF6600"/>
          </w:tcPr>
          <w:p w14:paraId="70BDE05C" w14:textId="77777777" w:rsidR="004E3728" w:rsidRPr="00C32A00" w:rsidRDefault="004E3728" w:rsidP="00C32A00">
            <w:pPr>
              <w:spacing w:before="120" w:after="120" w:line="240" w:lineRule="auto"/>
              <w:rPr>
                <w:szCs w:val="22"/>
              </w:rPr>
            </w:pPr>
            <w:r w:rsidRPr="00C32A00">
              <w:rPr>
                <w:color w:val="FFFFFF" w:themeColor="background1"/>
                <w:szCs w:val="22"/>
              </w:rPr>
              <w:t>Access and connectivity</w:t>
            </w:r>
          </w:p>
        </w:tc>
        <w:tc>
          <w:tcPr>
            <w:tcW w:w="2640" w:type="dxa"/>
            <w:vMerge w:val="restart"/>
          </w:tcPr>
          <w:p w14:paraId="3F551458"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Service user experience surveys</w:t>
            </w:r>
          </w:p>
          <w:p w14:paraId="3DFA559A"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Quantitative and qualitative self-reported wellbeing data</w:t>
            </w:r>
          </w:p>
          <w:p w14:paraId="47B2C26C"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Stigma Indicator scores</w:t>
            </w:r>
          </w:p>
          <w:p w14:paraId="2FD97C08" w14:textId="77777777" w:rsidR="004E3728" w:rsidRPr="00C32A00" w:rsidRDefault="004E3728" w:rsidP="00C32A00">
            <w:pPr>
              <w:spacing w:before="120" w:after="120" w:line="240" w:lineRule="auto"/>
              <w:rPr>
                <w:szCs w:val="22"/>
              </w:rPr>
            </w:pPr>
          </w:p>
        </w:tc>
      </w:tr>
      <w:tr w:rsidR="004E3728" w:rsidRPr="00C32A00" w14:paraId="1DD0B696" w14:textId="77777777" w:rsidTr="00C32A00">
        <w:trPr>
          <w:trHeight w:val="1007"/>
        </w:trPr>
        <w:tc>
          <w:tcPr>
            <w:tcW w:w="1696" w:type="dxa"/>
            <w:vMerge/>
            <w:shd w:val="clear" w:color="auto" w:fill="E6D5F3"/>
          </w:tcPr>
          <w:p w14:paraId="29B39C12" w14:textId="77777777" w:rsidR="004E3728" w:rsidRPr="00C32A00" w:rsidRDefault="004E3728" w:rsidP="00C32A00">
            <w:pPr>
              <w:spacing w:before="120" w:after="120" w:line="240" w:lineRule="auto"/>
              <w:rPr>
                <w:b/>
                <w:bCs/>
                <w:szCs w:val="22"/>
              </w:rPr>
            </w:pPr>
          </w:p>
        </w:tc>
        <w:tc>
          <w:tcPr>
            <w:tcW w:w="2949" w:type="dxa"/>
            <w:vMerge/>
          </w:tcPr>
          <w:p w14:paraId="6A772FE9" w14:textId="77777777" w:rsidR="004E3728" w:rsidRPr="00C32A00" w:rsidRDefault="004E3728" w:rsidP="00C32A00">
            <w:pPr>
              <w:numPr>
                <w:ilvl w:val="0"/>
                <w:numId w:val="40"/>
              </w:numPr>
              <w:spacing w:before="120" w:after="120" w:line="240" w:lineRule="auto"/>
              <w:rPr>
                <w:szCs w:val="22"/>
              </w:rPr>
            </w:pPr>
          </w:p>
        </w:tc>
        <w:tc>
          <w:tcPr>
            <w:tcW w:w="2181" w:type="dxa"/>
            <w:shd w:val="clear" w:color="auto" w:fill="FF3300"/>
          </w:tcPr>
          <w:p w14:paraId="7975E185" w14:textId="77777777" w:rsidR="004E3728" w:rsidRPr="00C32A00" w:rsidRDefault="004E3728" w:rsidP="00C32A00">
            <w:pPr>
              <w:spacing w:before="120" w:after="120" w:line="240" w:lineRule="auto"/>
              <w:rPr>
                <w:szCs w:val="22"/>
              </w:rPr>
            </w:pPr>
            <w:r w:rsidRPr="00C32A00">
              <w:rPr>
                <w:color w:val="FFFFFF" w:themeColor="background1"/>
                <w:szCs w:val="22"/>
              </w:rPr>
              <w:t>Identity and belonging</w:t>
            </w:r>
          </w:p>
        </w:tc>
        <w:tc>
          <w:tcPr>
            <w:tcW w:w="2640" w:type="dxa"/>
            <w:vMerge/>
          </w:tcPr>
          <w:p w14:paraId="3A59B064" w14:textId="77777777" w:rsidR="004E3728" w:rsidRPr="00C32A00" w:rsidRDefault="004E3728" w:rsidP="00C32A00">
            <w:pPr>
              <w:spacing w:before="120" w:after="120" w:line="240" w:lineRule="auto"/>
              <w:rPr>
                <w:szCs w:val="22"/>
              </w:rPr>
            </w:pPr>
          </w:p>
        </w:tc>
      </w:tr>
      <w:tr w:rsidR="004E3728" w:rsidRPr="00C32A00" w14:paraId="0097EC0A" w14:textId="77777777" w:rsidTr="00C32A00">
        <w:trPr>
          <w:trHeight w:val="1058"/>
        </w:trPr>
        <w:tc>
          <w:tcPr>
            <w:tcW w:w="1696" w:type="dxa"/>
            <w:vMerge/>
            <w:shd w:val="clear" w:color="auto" w:fill="E6D5F3"/>
          </w:tcPr>
          <w:p w14:paraId="6AF94C31" w14:textId="77777777" w:rsidR="004E3728" w:rsidRPr="00C32A00" w:rsidRDefault="004E3728" w:rsidP="00C32A00">
            <w:pPr>
              <w:spacing w:before="120" w:after="120" w:line="240" w:lineRule="auto"/>
              <w:rPr>
                <w:b/>
                <w:bCs/>
                <w:szCs w:val="22"/>
              </w:rPr>
            </w:pPr>
          </w:p>
        </w:tc>
        <w:tc>
          <w:tcPr>
            <w:tcW w:w="2949" w:type="dxa"/>
            <w:vMerge/>
          </w:tcPr>
          <w:p w14:paraId="78ECDA60" w14:textId="77777777" w:rsidR="004E3728" w:rsidRPr="00C32A00" w:rsidRDefault="004E3728" w:rsidP="00C32A00">
            <w:pPr>
              <w:numPr>
                <w:ilvl w:val="0"/>
                <w:numId w:val="40"/>
              </w:numPr>
              <w:spacing w:before="120" w:after="120" w:line="240" w:lineRule="auto"/>
              <w:rPr>
                <w:szCs w:val="22"/>
              </w:rPr>
            </w:pPr>
          </w:p>
        </w:tc>
        <w:tc>
          <w:tcPr>
            <w:tcW w:w="2181" w:type="dxa"/>
            <w:shd w:val="clear" w:color="auto" w:fill="CC3399"/>
          </w:tcPr>
          <w:p w14:paraId="31828857" w14:textId="77777777" w:rsidR="004E3728" w:rsidRPr="00C32A00" w:rsidRDefault="004E3728" w:rsidP="00C32A00">
            <w:pPr>
              <w:spacing w:before="120" w:after="120" w:line="240" w:lineRule="auto"/>
              <w:rPr>
                <w:szCs w:val="22"/>
              </w:rPr>
            </w:pPr>
            <w:r w:rsidRPr="00C32A00">
              <w:rPr>
                <w:color w:val="FFFFFF" w:themeColor="background1"/>
                <w:szCs w:val="22"/>
              </w:rPr>
              <w:t>Safety</w:t>
            </w:r>
          </w:p>
        </w:tc>
        <w:tc>
          <w:tcPr>
            <w:tcW w:w="2640" w:type="dxa"/>
            <w:vMerge/>
          </w:tcPr>
          <w:p w14:paraId="77B547FF" w14:textId="77777777" w:rsidR="004E3728" w:rsidRPr="00C32A00" w:rsidRDefault="004E3728" w:rsidP="00C32A00">
            <w:pPr>
              <w:spacing w:before="120" w:after="120" w:line="240" w:lineRule="auto"/>
              <w:rPr>
                <w:szCs w:val="22"/>
              </w:rPr>
            </w:pPr>
          </w:p>
        </w:tc>
      </w:tr>
      <w:tr w:rsidR="004E3728" w:rsidRPr="00C32A00" w14:paraId="7E68C89E" w14:textId="77777777" w:rsidTr="00C32A00">
        <w:trPr>
          <w:trHeight w:val="495"/>
        </w:trPr>
        <w:tc>
          <w:tcPr>
            <w:tcW w:w="1696" w:type="dxa"/>
            <w:vMerge/>
            <w:shd w:val="clear" w:color="auto" w:fill="E6D5F3"/>
          </w:tcPr>
          <w:p w14:paraId="5F46EC69" w14:textId="77777777" w:rsidR="004E3728" w:rsidRPr="00C32A00" w:rsidRDefault="004E3728" w:rsidP="00C32A00">
            <w:pPr>
              <w:spacing w:before="120" w:after="120" w:line="240" w:lineRule="auto"/>
              <w:rPr>
                <w:b/>
                <w:bCs/>
                <w:szCs w:val="22"/>
              </w:rPr>
            </w:pPr>
          </w:p>
        </w:tc>
        <w:tc>
          <w:tcPr>
            <w:tcW w:w="2949" w:type="dxa"/>
            <w:vMerge/>
          </w:tcPr>
          <w:p w14:paraId="3EE85B80" w14:textId="77777777" w:rsidR="004E3728" w:rsidRPr="00C32A00" w:rsidRDefault="004E3728" w:rsidP="00C32A00">
            <w:pPr>
              <w:numPr>
                <w:ilvl w:val="0"/>
                <w:numId w:val="40"/>
              </w:numPr>
              <w:spacing w:before="120" w:after="120" w:line="240" w:lineRule="auto"/>
              <w:rPr>
                <w:szCs w:val="22"/>
              </w:rPr>
            </w:pPr>
          </w:p>
        </w:tc>
        <w:tc>
          <w:tcPr>
            <w:tcW w:w="2181" w:type="dxa"/>
            <w:shd w:val="clear" w:color="auto" w:fill="6600CC"/>
          </w:tcPr>
          <w:p w14:paraId="730B1D41" w14:textId="77777777" w:rsidR="004E3728" w:rsidRPr="00C32A00" w:rsidRDefault="004E3728" w:rsidP="00C32A00">
            <w:pPr>
              <w:spacing w:before="120" w:after="120" w:line="240" w:lineRule="auto"/>
              <w:rPr>
                <w:szCs w:val="22"/>
              </w:rPr>
            </w:pPr>
            <w:r w:rsidRPr="00C32A00">
              <w:rPr>
                <w:color w:val="FFFFFF" w:themeColor="background1"/>
                <w:szCs w:val="22"/>
              </w:rPr>
              <w:t>Health</w:t>
            </w:r>
          </w:p>
        </w:tc>
        <w:tc>
          <w:tcPr>
            <w:tcW w:w="2640" w:type="dxa"/>
            <w:vMerge/>
          </w:tcPr>
          <w:p w14:paraId="0C6E4C10" w14:textId="77777777" w:rsidR="004E3728" w:rsidRPr="00C32A00" w:rsidRDefault="004E3728" w:rsidP="00C32A00">
            <w:pPr>
              <w:spacing w:before="120" w:after="120" w:line="240" w:lineRule="auto"/>
              <w:rPr>
                <w:szCs w:val="22"/>
              </w:rPr>
            </w:pPr>
          </w:p>
        </w:tc>
      </w:tr>
      <w:tr w:rsidR="004E3728" w:rsidRPr="00C32A00" w14:paraId="255A97C6" w14:textId="77777777" w:rsidTr="00C32A00">
        <w:trPr>
          <w:trHeight w:val="490"/>
        </w:trPr>
        <w:tc>
          <w:tcPr>
            <w:tcW w:w="1696" w:type="dxa"/>
            <w:vMerge w:val="restart"/>
            <w:shd w:val="clear" w:color="auto" w:fill="E6D5F3"/>
          </w:tcPr>
          <w:p w14:paraId="14E54831" w14:textId="77777777" w:rsidR="004E3728" w:rsidRPr="00C32A00" w:rsidRDefault="004E3728" w:rsidP="00C32A00">
            <w:pPr>
              <w:spacing w:before="120" w:after="120" w:line="240" w:lineRule="auto"/>
              <w:rPr>
                <w:b/>
                <w:bCs/>
                <w:szCs w:val="22"/>
              </w:rPr>
            </w:pPr>
            <w:r w:rsidRPr="00C32A00">
              <w:rPr>
                <w:b/>
                <w:bCs/>
                <w:szCs w:val="22"/>
              </w:rPr>
              <w:t>Quality of life</w:t>
            </w:r>
          </w:p>
        </w:tc>
        <w:tc>
          <w:tcPr>
            <w:tcW w:w="2949" w:type="dxa"/>
            <w:vMerge w:val="restart"/>
          </w:tcPr>
          <w:p w14:paraId="3B0F3DC4" w14:textId="07586C6E"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People are able to enjoy a good standard of life where they feel healthy, independent, are connected within their communities and are able to achieve their goals</w:t>
            </w:r>
          </w:p>
          <w:p w14:paraId="52C16A5C" w14:textId="61C51ABF"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People are well supported within the community with less need for emergency or acute services</w:t>
            </w:r>
          </w:p>
          <w:p w14:paraId="611A2350" w14:textId="028721C2"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 xml:space="preserve">People are empowered to determine </w:t>
            </w:r>
            <w:r w:rsidR="00E06066">
              <w:rPr>
                <w:szCs w:val="22"/>
              </w:rPr>
              <w:t xml:space="preserve">the services they need to actively participate in for the </w:t>
            </w:r>
            <w:r w:rsidRPr="00C32A00">
              <w:rPr>
                <w:szCs w:val="22"/>
              </w:rPr>
              <w:t>treatment, care, and management of disease</w:t>
            </w:r>
            <w:r w:rsidR="00E06066">
              <w:rPr>
                <w:szCs w:val="22"/>
              </w:rPr>
              <w:t xml:space="preserve"> and infection</w:t>
            </w:r>
          </w:p>
        </w:tc>
        <w:tc>
          <w:tcPr>
            <w:tcW w:w="2181" w:type="dxa"/>
            <w:shd w:val="clear" w:color="auto" w:fill="FF6600"/>
          </w:tcPr>
          <w:p w14:paraId="42C99060" w14:textId="77777777" w:rsidR="004E3728" w:rsidRPr="00C32A00" w:rsidRDefault="004E3728" w:rsidP="00C32A00">
            <w:pPr>
              <w:spacing w:before="120" w:after="120" w:line="240" w:lineRule="auto"/>
              <w:rPr>
                <w:szCs w:val="22"/>
              </w:rPr>
            </w:pPr>
            <w:r w:rsidRPr="00C32A00">
              <w:rPr>
                <w:color w:val="FFFFFF" w:themeColor="background1"/>
                <w:szCs w:val="22"/>
              </w:rPr>
              <w:t>Access and connectivity</w:t>
            </w:r>
          </w:p>
        </w:tc>
        <w:tc>
          <w:tcPr>
            <w:tcW w:w="2640" w:type="dxa"/>
            <w:vMerge w:val="restart"/>
          </w:tcPr>
          <w:p w14:paraId="49B48452"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Service user experience surveys</w:t>
            </w:r>
          </w:p>
          <w:p w14:paraId="2D4528A3"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Stigma Indicator scores</w:t>
            </w:r>
          </w:p>
          <w:p w14:paraId="5134CFCD"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Hospital separation data</w:t>
            </w:r>
          </w:p>
          <w:p w14:paraId="7214DC76" w14:textId="77777777" w:rsidR="004E3728" w:rsidRPr="00C32A00" w:rsidRDefault="004E3728" w:rsidP="00C32A00">
            <w:pPr>
              <w:spacing w:before="120" w:after="120" w:line="240" w:lineRule="auto"/>
              <w:rPr>
                <w:szCs w:val="22"/>
              </w:rPr>
            </w:pPr>
          </w:p>
        </w:tc>
      </w:tr>
      <w:tr w:rsidR="004E3728" w:rsidRPr="00C32A00" w14:paraId="09681428" w14:textId="77777777" w:rsidTr="00C32A00">
        <w:trPr>
          <w:trHeight w:val="486"/>
        </w:trPr>
        <w:tc>
          <w:tcPr>
            <w:tcW w:w="1696" w:type="dxa"/>
            <w:vMerge/>
            <w:shd w:val="clear" w:color="auto" w:fill="E6D5F3"/>
          </w:tcPr>
          <w:p w14:paraId="1F7D58FA" w14:textId="77777777" w:rsidR="004E3728" w:rsidRPr="00C32A00" w:rsidRDefault="004E3728" w:rsidP="00C32A00">
            <w:pPr>
              <w:spacing w:before="120" w:after="120" w:line="240" w:lineRule="auto"/>
              <w:rPr>
                <w:b/>
                <w:bCs/>
                <w:szCs w:val="22"/>
              </w:rPr>
            </w:pPr>
          </w:p>
        </w:tc>
        <w:tc>
          <w:tcPr>
            <w:tcW w:w="2949" w:type="dxa"/>
            <w:vMerge/>
          </w:tcPr>
          <w:p w14:paraId="26CB44B1"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p>
        </w:tc>
        <w:tc>
          <w:tcPr>
            <w:tcW w:w="2181" w:type="dxa"/>
            <w:shd w:val="clear" w:color="auto" w:fill="FF3300"/>
          </w:tcPr>
          <w:p w14:paraId="5F16F3EB" w14:textId="77777777" w:rsidR="004E3728" w:rsidRPr="00C32A00" w:rsidRDefault="004E3728" w:rsidP="00C32A00">
            <w:pPr>
              <w:spacing w:before="120" w:after="120" w:line="240" w:lineRule="auto"/>
              <w:rPr>
                <w:szCs w:val="22"/>
              </w:rPr>
            </w:pPr>
            <w:r w:rsidRPr="00C32A00">
              <w:rPr>
                <w:color w:val="FFFFFF" w:themeColor="background1"/>
                <w:szCs w:val="22"/>
              </w:rPr>
              <w:t>Identity and belonging</w:t>
            </w:r>
          </w:p>
        </w:tc>
        <w:tc>
          <w:tcPr>
            <w:tcW w:w="2640" w:type="dxa"/>
            <w:vMerge/>
          </w:tcPr>
          <w:p w14:paraId="0E98725D" w14:textId="77777777" w:rsidR="004E3728" w:rsidRPr="00C32A00" w:rsidRDefault="004E3728" w:rsidP="00C32A00">
            <w:pPr>
              <w:spacing w:before="120" w:after="120" w:line="240" w:lineRule="auto"/>
              <w:rPr>
                <w:szCs w:val="22"/>
              </w:rPr>
            </w:pPr>
          </w:p>
        </w:tc>
      </w:tr>
      <w:tr w:rsidR="004E3728" w:rsidRPr="00C32A00" w14:paraId="75FDE550" w14:textId="77777777" w:rsidTr="00C32A00">
        <w:trPr>
          <w:trHeight w:val="486"/>
        </w:trPr>
        <w:tc>
          <w:tcPr>
            <w:tcW w:w="1696" w:type="dxa"/>
            <w:vMerge/>
            <w:shd w:val="clear" w:color="auto" w:fill="E6D5F3"/>
          </w:tcPr>
          <w:p w14:paraId="78DA091C" w14:textId="77777777" w:rsidR="004E3728" w:rsidRPr="00C32A00" w:rsidRDefault="004E3728" w:rsidP="00C32A00">
            <w:pPr>
              <w:spacing w:before="120" w:after="120" w:line="240" w:lineRule="auto"/>
              <w:rPr>
                <w:b/>
                <w:bCs/>
                <w:szCs w:val="22"/>
              </w:rPr>
            </w:pPr>
          </w:p>
        </w:tc>
        <w:tc>
          <w:tcPr>
            <w:tcW w:w="2949" w:type="dxa"/>
            <w:vMerge/>
          </w:tcPr>
          <w:p w14:paraId="5F9C7B6B"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p>
        </w:tc>
        <w:tc>
          <w:tcPr>
            <w:tcW w:w="2181" w:type="dxa"/>
            <w:shd w:val="clear" w:color="auto" w:fill="0099FF"/>
          </w:tcPr>
          <w:p w14:paraId="1137A8A4" w14:textId="77777777" w:rsidR="004E3728" w:rsidRPr="00C32A00" w:rsidRDefault="004E3728" w:rsidP="00C32A00">
            <w:pPr>
              <w:spacing w:before="120" w:after="120" w:line="240" w:lineRule="auto"/>
              <w:rPr>
                <w:szCs w:val="22"/>
              </w:rPr>
            </w:pPr>
            <w:r w:rsidRPr="00C32A00">
              <w:rPr>
                <w:color w:val="FFFFFF" w:themeColor="background1"/>
                <w:szCs w:val="22"/>
              </w:rPr>
              <w:t>Social connection</w:t>
            </w:r>
          </w:p>
        </w:tc>
        <w:tc>
          <w:tcPr>
            <w:tcW w:w="2640" w:type="dxa"/>
            <w:vMerge/>
          </w:tcPr>
          <w:p w14:paraId="1F4D5D38" w14:textId="77777777" w:rsidR="004E3728" w:rsidRPr="00C32A00" w:rsidRDefault="004E3728" w:rsidP="00C32A00">
            <w:pPr>
              <w:spacing w:before="120" w:after="120" w:line="240" w:lineRule="auto"/>
              <w:rPr>
                <w:szCs w:val="22"/>
              </w:rPr>
            </w:pPr>
          </w:p>
        </w:tc>
      </w:tr>
      <w:tr w:rsidR="004E3728" w:rsidRPr="00C32A00" w14:paraId="29CB9E36" w14:textId="77777777" w:rsidTr="00C32A00">
        <w:trPr>
          <w:trHeight w:val="486"/>
        </w:trPr>
        <w:tc>
          <w:tcPr>
            <w:tcW w:w="1696" w:type="dxa"/>
            <w:vMerge/>
            <w:shd w:val="clear" w:color="auto" w:fill="E6D5F3"/>
          </w:tcPr>
          <w:p w14:paraId="28532234" w14:textId="77777777" w:rsidR="004E3728" w:rsidRPr="00C32A00" w:rsidRDefault="004E3728" w:rsidP="00C32A00">
            <w:pPr>
              <w:spacing w:before="120" w:after="120" w:line="240" w:lineRule="auto"/>
              <w:rPr>
                <w:b/>
                <w:bCs/>
                <w:szCs w:val="22"/>
              </w:rPr>
            </w:pPr>
          </w:p>
        </w:tc>
        <w:tc>
          <w:tcPr>
            <w:tcW w:w="2949" w:type="dxa"/>
            <w:vMerge/>
          </w:tcPr>
          <w:p w14:paraId="1853ED59"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p>
        </w:tc>
        <w:tc>
          <w:tcPr>
            <w:tcW w:w="2181" w:type="dxa"/>
            <w:shd w:val="clear" w:color="auto" w:fill="009999"/>
          </w:tcPr>
          <w:p w14:paraId="66C53B9B" w14:textId="77777777" w:rsidR="004E3728" w:rsidRPr="00C32A00" w:rsidRDefault="004E3728" w:rsidP="00C32A00">
            <w:pPr>
              <w:spacing w:before="120" w:after="120" w:line="240" w:lineRule="auto"/>
              <w:rPr>
                <w:szCs w:val="22"/>
              </w:rPr>
            </w:pPr>
            <w:r w:rsidRPr="00C32A00">
              <w:rPr>
                <w:color w:val="FFFFFF" w:themeColor="background1"/>
                <w:szCs w:val="22"/>
              </w:rPr>
              <w:t>Living standards</w:t>
            </w:r>
          </w:p>
        </w:tc>
        <w:tc>
          <w:tcPr>
            <w:tcW w:w="2640" w:type="dxa"/>
            <w:vMerge/>
          </w:tcPr>
          <w:p w14:paraId="378CA611" w14:textId="77777777" w:rsidR="004E3728" w:rsidRPr="00C32A00" w:rsidRDefault="004E3728" w:rsidP="00C32A00">
            <w:pPr>
              <w:spacing w:before="120" w:after="120" w:line="240" w:lineRule="auto"/>
              <w:rPr>
                <w:szCs w:val="22"/>
              </w:rPr>
            </w:pPr>
          </w:p>
        </w:tc>
      </w:tr>
      <w:tr w:rsidR="004E3728" w:rsidRPr="00C32A00" w14:paraId="399E7EEF" w14:textId="77777777" w:rsidTr="00C32A00">
        <w:trPr>
          <w:trHeight w:val="486"/>
        </w:trPr>
        <w:tc>
          <w:tcPr>
            <w:tcW w:w="1696" w:type="dxa"/>
            <w:vMerge/>
            <w:shd w:val="clear" w:color="auto" w:fill="E6D5F3"/>
          </w:tcPr>
          <w:p w14:paraId="038154C3" w14:textId="77777777" w:rsidR="004E3728" w:rsidRPr="00C32A00" w:rsidRDefault="004E3728" w:rsidP="00C32A00">
            <w:pPr>
              <w:spacing w:before="120" w:after="120" w:line="240" w:lineRule="auto"/>
              <w:rPr>
                <w:b/>
                <w:bCs/>
                <w:szCs w:val="22"/>
              </w:rPr>
            </w:pPr>
          </w:p>
        </w:tc>
        <w:tc>
          <w:tcPr>
            <w:tcW w:w="2949" w:type="dxa"/>
            <w:vMerge/>
          </w:tcPr>
          <w:p w14:paraId="139D79D6"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p>
        </w:tc>
        <w:tc>
          <w:tcPr>
            <w:tcW w:w="2181" w:type="dxa"/>
            <w:shd w:val="clear" w:color="auto" w:fill="CC3399"/>
          </w:tcPr>
          <w:p w14:paraId="1B57B4AD" w14:textId="77777777" w:rsidR="004E3728" w:rsidRPr="00C32A00" w:rsidRDefault="004E3728" w:rsidP="00C32A00">
            <w:pPr>
              <w:spacing w:before="120" w:after="120" w:line="240" w:lineRule="auto"/>
              <w:rPr>
                <w:szCs w:val="22"/>
              </w:rPr>
            </w:pPr>
            <w:r w:rsidRPr="00C32A00">
              <w:rPr>
                <w:color w:val="FFFFFF" w:themeColor="background1"/>
                <w:szCs w:val="22"/>
              </w:rPr>
              <w:t>Safety</w:t>
            </w:r>
          </w:p>
        </w:tc>
        <w:tc>
          <w:tcPr>
            <w:tcW w:w="2640" w:type="dxa"/>
            <w:vMerge/>
          </w:tcPr>
          <w:p w14:paraId="0EBB1197" w14:textId="77777777" w:rsidR="004E3728" w:rsidRPr="00C32A00" w:rsidRDefault="004E3728" w:rsidP="00C32A00">
            <w:pPr>
              <w:spacing w:before="120" w:after="120" w:line="240" w:lineRule="auto"/>
              <w:rPr>
                <w:szCs w:val="22"/>
              </w:rPr>
            </w:pPr>
          </w:p>
        </w:tc>
      </w:tr>
      <w:tr w:rsidR="004E3728" w:rsidRPr="00C32A00" w14:paraId="0C11BFC5" w14:textId="77777777" w:rsidTr="00C32A00">
        <w:trPr>
          <w:trHeight w:val="486"/>
        </w:trPr>
        <w:tc>
          <w:tcPr>
            <w:tcW w:w="1696" w:type="dxa"/>
            <w:vMerge/>
            <w:shd w:val="clear" w:color="auto" w:fill="E6D5F3"/>
          </w:tcPr>
          <w:p w14:paraId="10786FB1" w14:textId="77777777" w:rsidR="004E3728" w:rsidRPr="00C32A00" w:rsidRDefault="004E3728" w:rsidP="00C32A00">
            <w:pPr>
              <w:spacing w:before="120" w:after="120" w:line="240" w:lineRule="auto"/>
              <w:rPr>
                <w:b/>
                <w:bCs/>
                <w:szCs w:val="22"/>
              </w:rPr>
            </w:pPr>
          </w:p>
        </w:tc>
        <w:tc>
          <w:tcPr>
            <w:tcW w:w="2949" w:type="dxa"/>
            <w:vMerge/>
          </w:tcPr>
          <w:p w14:paraId="77619D1C"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p>
        </w:tc>
        <w:tc>
          <w:tcPr>
            <w:tcW w:w="2181" w:type="dxa"/>
            <w:shd w:val="clear" w:color="auto" w:fill="6600CC"/>
          </w:tcPr>
          <w:p w14:paraId="76D523C5" w14:textId="77777777" w:rsidR="004E3728" w:rsidRPr="00C32A00" w:rsidRDefault="004E3728" w:rsidP="00C32A00">
            <w:pPr>
              <w:spacing w:before="120" w:after="120" w:line="240" w:lineRule="auto"/>
              <w:rPr>
                <w:szCs w:val="22"/>
              </w:rPr>
            </w:pPr>
            <w:r w:rsidRPr="00C32A00">
              <w:rPr>
                <w:color w:val="FFFFFF" w:themeColor="background1"/>
                <w:szCs w:val="22"/>
              </w:rPr>
              <w:t xml:space="preserve">Health </w:t>
            </w:r>
          </w:p>
        </w:tc>
        <w:tc>
          <w:tcPr>
            <w:tcW w:w="2640" w:type="dxa"/>
            <w:vMerge/>
          </w:tcPr>
          <w:p w14:paraId="69CA2C48" w14:textId="77777777" w:rsidR="004E3728" w:rsidRPr="00C32A00" w:rsidRDefault="004E3728" w:rsidP="00C32A00">
            <w:pPr>
              <w:spacing w:before="120" w:after="120" w:line="240" w:lineRule="auto"/>
              <w:rPr>
                <w:szCs w:val="22"/>
              </w:rPr>
            </w:pPr>
          </w:p>
        </w:tc>
      </w:tr>
      <w:tr w:rsidR="004E3728" w:rsidRPr="00C32A00" w14:paraId="62DD2868" w14:textId="77777777" w:rsidTr="00C32A00">
        <w:trPr>
          <w:trHeight w:val="486"/>
        </w:trPr>
        <w:tc>
          <w:tcPr>
            <w:tcW w:w="1696" w:type="dxa"/>
            <w:vMerge/>
            <w:shd w:val="clear" w:color="auto" w:fill="E6D5F3"/>
          </w:tcPr>
          <w:p w14:paraId="1FF6947A" w14:textId="77777777" w:rsidR="004E3728" w:rsidRPr="00C32A00" w:rsidRDefault="004E3728" w:rsidP="00C32A00">
            <w:pPr>
              <w:spacing w:before="120" w:after="120" w:line="240" w:lineRule="auto"/>
              <w:rPr>
                <w:b/>
                <w:bCs/>
                <w:szCs w:val="22"/>
              </w:rPr>
            </w:pPr>
          </w:p>
        </w:tc>
        <w:tc>
          <w:tcPr>
            <w:tcW w:w="2949" w:type="dxa"/>
            <w:vMerge/>
          </w:tcPr>
          <w:p w14:paraId="51AAD0BB"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p>
        </w:tc>
        <w:tc>
          <w:tcPr>
            <w:tcW w:w="2181" w:type="dxa"/>
            <w:shd w:val="clear" w:color="auto" w:fill="009999"/>
          </w:tcPr>
          <w:p w14:paraId="2116698E" w14:textId="77777777" w:rsidR="004E3728" w:rsidRPr="00C32A00" w:rsidRDefault="004E3728" w:rsidP="00C32A00">
            <w:pPr>
              <w:spacing w:before="120" w:after="120" w:line="240" w:lineRule="auto"/>
              <w:rPr>
                <w:szCs w:val="22"/>
              </w:rPr>
            </w:pPr>
            <w:r w:rsidRPr="00C32A00">
              <w:rPr>
                <w:color w:val="FFFFFF" w:themeColor="background1"/>
                <w:szCs w:val="22"/>
              </w:rPr>
              <w:t>Economy</w:t>
            </w:r>
          </w:p>
        </w:tc>
        <w:tc>
          <w:tcPr>
            <w:tcW w:w="2640" w:type="dxa"/>
            <w:vMerge/>
          </w:tcPr>
          <w:p w14:paraId="73DC3B55" w14:textId="77777777" w:rsidR="004E3728" w:rsidRPr="00C32A00" w:rsidRDefault="004E3728" w:rsidP="00C32A00">
            <w:pPr>
              <w:spacing w:before="120" w:after="120" w:line="240" w:lineRule="auto"/>
              <w:rPr>
                <w:szCs w:val="22"/>
              </w:rPr>
            </w:pPr>
          </w:p>
        </w:tc>
      </w:tr>
      <w:tr w:rsidR="004E3728" w:rsidRPr="00C32A00" w14:paraId="099A6AC2" w14:textId="77777777" w:rsidTr="00C32A00">
        <w:trPr>
          <w:trHeight w:val="624"/>
        </w:trPr>
        <w:tc>
          <w:tcPr>
            <w:tcW w:w="1696" w:type="dxa"/>
            <w:shd w:val="clear" w:color="auto" w:fill="E6D5F3"/>
          </w:tcPr>
          <w:p w14:paraId="596419C9" w14:textId="77777777" w:rsidR="004E3728" w:rsidRPr="00C32A00" w:rsidRDefault="004E3728" w:rsidP="00C32A00">
            <w:pPr>
              <w:spacing w:before="120" w:after="120" w:line="240" w:lineRule="auto"/>
              <w:rPr>
                <w:b/>
                <w:bCs/>
                <w:szCs w:val="22"/>
              </w:rPr>
            </w:pPr>
            <w:r w:rsidRPr="00C32A00">
              <w:rPr>
                <w:b/>
                <w:bCs/>
                <w:szCs w:val="22"/>
              </w:rPr>
              <w:t>Workforce capacity and capability</w:t>
            </w:r>
          </w:p>
        </w:tc>
        <w:tc>
          <w:tcPr>
            <w:tcW w:w="2949" w:type="dxa"/>
          </w:tcPr>
          <w:p w14:paraId="703E2575" w14:textId="035FE336"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Workforce numbers and skill mix are sufficient to meet current and emerging needs and population groups</w:t>
            </w:r>
          </w:p>
          <w:p w14:paraId="1B2FF9DC" w14:textId="28E9902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The STIBBV workforce is appropriately qualified, skilled, competent, and experienced</w:t>
            </w:r>
          </w:p>
          <w:p w14:paraId="1A91263F" w14:textId="77777777" w:rsidR="004E3728" w:rsidRPr="00C32A00" w:rsidRDefault="004E3728" w:rsidP="00C32A00">
            <w:pPr>
              <w:numPr>
                <w:ilvl w:val="0"/>
                <w:numId w:val="38"/>
              </w:numPr>
              <w:tabs>
                <w:tab w:val="clear" w:pos="720"/>
                <w:tab w:val="num" w:pos="297"/>
              </w:tabs>
              <w:spacing w:before="120" w:after="120" w:line="240" w:lineRule="auto"/>
              <w:ind w:left="297" w:hanging="284"/>
              <w:rPr>
                <w:szCs w:val="22"/>
              </w:rPr>
            </w:pPr>
            <w:r w:rsidRPr="00C32A00">
              <w:rPr>
                <w:szCs w:val="22"/>
              </w:rPr>
              <w:t xml:space="preserve">Professional development programs, practice support initiatives and mentoring </w:t>
            </w:r>
            <w:r w:rsidRPr="00C32A00">
              <w:rPr>
                <w:szCs w:val="22"/>
              </w:rPr>
              <w:lastRenderedPageBreak/>
              <w:t>are available to upskill the STIBBV workforce</w:t>
            </w:r>
          </w:p>
        </w:tc>
        <w:tc>
          <w:tcPr>
            <w:tcW w:w="2181" w:type="dxa"/>
            <w:shd w:val="clear" w:color="auto" w:fill="CC3399"/>
          </w:tcPr>
          <w:p w14:paraId="4D74F0A3" w14:textId="77777777" w:rsidR="004E3728" w:rsidRPr="00C32A00" w:rsidRDefault="004E3728" w:rsidP="00C32A00">
            <w:pPr>
              <w:spacing w:before="120" w:after="120" w:line="240" w:lineRule="auto"/>
              <w:rPr>
                <w:szCs w:val="22"/>
              </w:rPr>
            </w:pPr>
            <w:r w:rsidRPr="00C32A00">
              <w:rPr>
                <w:color w:val="FFFFFF" w:themeColor="background1"/>
                <w:szCs w:val="22"/>
              </w:rPr>
              <w:lastRenderedPageBreak/>
              <w:t>Education and lifelong learning</w:t>
            </w:r>
          </w:p>
        </w:tc>
        <w:tc>
          <w:tcPr>
            <w:tcW w:w="2640" w:type="dxa"/>
          </w:tcPr>
          <w:p w14:paraId="1A408E6F" w14:textId="77777777" w:rsidR="004E3728" w:rsidRPr="00C32A00" w:rsidRDefault="004E3728" w:rsidP="00C32A00">
            <w:pPr>
              <w:pStyle w:val="ListParagraph"/>
              <w:numPr>
                <w:ilvl w:val="0"/>
                <w:numId w:val="39"/>
              </w:numPr>
              <w:spacing w:before="120" w:after="120" w:line="240" w:lineRule="auto"/>
              <w:ind w:left="391" w:hanging="283"/>
              <w:contextualSpacing w:val="0"/>
              <w:rPr>
                <w:rFonts w:asciiTheme="minorHAnsi" w:eastAsiaTheme="minorHAnsi" w:hAnsiTheme="minorHAnsi" w:cstheme="minorBidi"/>
                <w:szCs w:val="22"/>
              </w:rPr>
            </w:pPr>
            <w:r w:rsidRPr="00C32A00">
              <w:rPr>
                <w:rFonts w:asciiTheme="minorHAnsi" w:eastAsiaTheme="minorHAnsi" w:hAnsiTheme="minorHAnsi" w:cstheme="minorBidi"/>
                <w:szCs w:val="22"/>
              </w:rPr>
              <w:t>Workforce data (mapping and sustainability)</w:t>
            </w:r>
          </w:p>
          <w:p w14:paraId="39A4FD69" w14:textId="77777777" w:rsidR="004E3728" w:rsidRPr="00C32A00" w:rsidRDefault="004E3728" w:rsidP="00C32A00">
            <w:pPr>
              <w:pStyle w:val="ListParagraph"/>
              <w:numPr>
                <w:ilvl w:val="0"/>
                <w:numId w:val="39"/>
              </w:numPr>
              <w:spacing w:before="120" w:after="120" w:line="240" w:lineRule="auto"/>
              <w:ind w:left="391" w:hanging="283"/>
              <w:contextualSpacing w:val="0"/>
              <w:rPr>
                <w:szCs w:val="22"/>
              </w:rPr>
            </w:pPr>
            <w:r w:rsidRPr="00C32A00">
              <w:rPr>
                <w:rFonts w:asciiTheme="minorHAnsi" w:eastAsiaTheme="minorHAnsi" w:hAnsiTheme="minorHAnsi" w:cstheme="minorBidi"/>
                <w:szCs w:val="22"/>
              </w:rPr>
              <w:t>Professional development program attendance</w:t>
            </w:r>
          </w:p>
        </w:tc>
      </w:tr>
    </w:tbl>
    <w:p w14:paraId="7FC353A1" w14:textId="036C4D2A" w:rsidR="004E3728" w:rsidRDefault="004E3728" w:rsidP="00C32A00">
      <w:pPr>
        <w:spacing w:before="0" w:after="160" w:line="259" w:lineRule="auto"/>
        <w:rPr>
          <w:szCs w:val="22"/>
        </w:rPr>
      </w:pPr>
    </w:p>
    <w:sectPr w:rsidR="004E3728" w:rsidSect="00C32A00">
      <w:headerReference w:type="even" r:id="rId46"/>
      <w:headerReference w:type="default" r:id="rId47"/>
      <w:footerReference w:type="default" r:id="rId48"/>
      <w:headerReference w:type="first" r:id="rId49"/>
      <w:footerReference w:type="first" r:id="rId50"/>
      <w:type w:val="continuous"/>
      <w:pgSz w:w="11907" w:h="16840" w:code="9"/>
      <w:pgMar w:top="1134" w:right="1134" w:bottom="1276"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F0A43" w14:textId="77777777" w:rsidR="0056557E" w:rsidRDefault="0056557E">
      <w:pPr>
        <w:spacing w:before="0" w:after="0"/>
      </w:pPr>
      <w:r>
        <w:separator/>
      </w:r>
    </w:p>
    <w:p w14:paraId="50598D26" w14:textId="77777777" w:rsidR="0056557E" w:rsidRDefault="0056557E"/>
  </w:endnote>
  <w:endnote w:type="continuationSeparator" w:id="0">
    <w:p w14:paraId="161554D3" w14:textId="77777777" w:rsidR="0056557E" w:rsidRDefault="0056557E">
      <w:pPr>
        <w:spacing w:before="0" w:after="0"/>
      </w:pPr>
      <w:r>
        <w:continuationSeparator/>
      </w:r>
    </w:p>
    <w:p w14:paraId="4B63ED5B" w14:textId="77777777" w:rsidR="0056557E" w:rsidRDefault="0056557E"/>
  </w:endnote>
  <w:endnote w:type="continuationNotice" w:id="1">
    <w:p w14:paraId="2D3143E4" w14:textId="77777777" w:rsidR="0056557E" w:rsidRDefault="005655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7D3A4454"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112067F4" w:rsidR="000459F7" w:rsidRPr="005561B3" w:rsidRDefault="000A1179" w:rsidP="00786B29">
    <w:pPr>
      <w:pStyle w:val="Footer"/>
      <w:tabs>
        <w:tab w:val="clear" w:pos="3969"/>
      </w:tabs>
      <w:rPr>
        <w:b/>
      </w:rPr>
    </w:pPr>
    <w:r w:rsidRPr="008B56B3">
      <w:rPr>
        <w:noProof/>
      </w:rPr>
      <w:drawing>
        <wp:anchor distT="0" distB="0" distL="114300" distR="114300" simplePos="0" relativeHeight="251658240" behindDoc="1" locked="0" layoutInCell="1" allowOverlap="1" wp14:anchorId="2F866DD3" wp14:editId="35510C9C">
          <wp:simplePos x="0" y="0"/>
          <wp:positionH relativeFrom="column">
            <wp:posOffset>-453390</wp:posOffset>
          </wp:positionH>
          <wp:positionV relativeFrom="paragraph">
            <wp:posOffset>-60960</wp:posOffset>
          </wp:positionV>
          <wp:extent cx="6883200" cy="252000"/>
          <wp:effectExtent l="0" t="0" r="0" b="0"/>
          <wp:wrapNone/>
          <wp:docPr id="1" name="Picture 1"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483345">
      <w:rPr>
        <w:noProof/>
      </w:rPr>
      <w:t xml:space="preserve"> Community </w:t>
    </w:r>
    <w:r w:rsidR="00786B29">
      <w:rPr>
        <w:noProof/>
      </w:rPr>
      <w:t xml:space="preserve">Services </w:t>
    </w:r>
    <w:r w:rsidR="00483345">
      <w:rPr>
        <w:noProof/>
      </w:rPr>
      <w:t xml:space="preserve"> Directorate</w:t>
    </w:r>
    <w:r w:rsidR="00A50ACF" w:rsidRPr="00723F5C">
      <w:rPr>
        <w:noProof/>
      </w:rPr>
      <w:t xml:space="preserve"> </w:t>
    </w:r>
    <w:r w:rsidR="00723F5C">
      <w:rPr>
        <w:noProof/>
      </w:rPr>
      <w:tab/>
    </w:r>
    <w:r w:rsidR="004D749A">
      <w:rPr>
        <w:noProof/>
      </w:rPr>
      <w:tab/>
    </w:r>
    <w:r w:rsidR="004D749A">
      <w:rPr>
        <w:noProof/>
      </w:rPr>
      <w:tab/>
      <w:t xml:space="preserve"> </w:t>
    </w:r>
    <w:r w:rsidR="004D749A">
      <w:rPr>
        <w:noProof/>
      </w:rPr>
      <w:tab/>
    </w:r>
    <w:r w:rsidR="004D749A">
      <w:rPr>
        <w:noProof/>
      </w:rPr>
      <w:tab/>
    </w:r>
    <w:r w:rsidR="004D749A">
      <w:rPr>
        <w:noProof/>
      </w:rPr>
      <w:tab/>
    </w:r>
    <w:r w:rsidR="004D749A">
      <w:rPr>
        <w:noProof/>
      </w:rPr>
      <w:tab/>
    </w:r>
    <w:r w:rsidR="00786B29">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BC16" w14:textId="420C65D6" w:rsidR="00FD74DA" w:rsidRPr="004A388F" w:rsidRDefault="00FD74DA" w:rsidP="00FD74DA">
    <w:pPr>
      <w:pStyle w:val="Header"/>
      <w:pBdr>
        <w:top w:val="single" w:sz="4" w:space="1" w:color="auto"/>
      </w:pBdr>
      <w:jc w:val="right"/>
      <w:rPr>
        <w:sz w:val="20"/>
        <w:szCs w:val="16"/>
      </w:rPr>
    </w:pPr>
    <w:r w:rsidRPr="004A388F">
      <w:rPr>
        <w:sz w:val="20"/>
        <w:szCs w:val="16"/>
      </w:rPr>
      <w:t xml:space="preserve">Page </w:t>
    </w:r>
    <w:r w:rsidRPr="0083237C">
      <w:rPr>
        <w:sz w:val="20"/>
      </w:rPr>
      <w:fldChar w:fldCharType="begin"/>
    </w:r>
    <w:r w:rsidRPr="004A388F">
      <w:rPr>
        <w:sz w:val="20"/>
        <w:szCs w:val="16"/>
      </w:rPr>
      <w:instrText xml:space="preserve"> PAGE </w:instrText>
    </w:r>
    <w:r w:rsidRPr="0083237C">
      <w:rPr>
        <w:sz w:val="20"/>
      </w:rPr>
      <w:fldChar w:fldCharType="separate"/>
    </w:r>
    <w:r w:rsidRPr="004A388F">
      <w:rPr>
        <w:sz w:val="20"/>
        <w:szCs w:val="16"/>
      </w:rPr>
      <w:t>2</w:t>
    </w:r>
    <w:r w:rsidRPr="0083237C">
      <w:rPr>
        <w:sz w:val="20"/>
      </w:rPr>
      <w:fldChar w:fldCharType="end"/>
    </w:r>
    <w:r w:rsidRPr="004A388F">
      <w:rPr>
        <w:sz w:val="20"/>
        <w:szCs w:val="16"/>
      </w:rPr>
      <w:t xml:space="preserve"> of </w:t>
    </w:r>
    <w:r w:rsidRPr="0083237C">
      <w:rPr>
        <w:sz w:val="20"/>
      </w:rPr>
      <w:fldChar w:fldCharType="begin"/>
    </w:r>
    <w:r w:rsidRPr="004A388F">
      <w:rPr>
        <w:noProof/>
        <w:sz w:val="20"/>
        <w:szCs w:val="16"/>
      </w:rPr>
      <w:instrText xml:space="preserve"> NUMPAGES  </w:instrText>
    </w:r>
    <w:r w:rsidRPr="0083237C">
      <w:rPr>
        <w:sz w:val="20"/>
      </w:rPr>
      <w:fldChar w:fldCharType="separate"/>
    </w:r>
    <w:r w:rsidRPr="004A388F">
      <w:rPr>
        <w:noProof/>
        <w:sz w:val="20"/>
        <w:szCs w:val="16"/>
      </w:rPr>
      <w:t>12</w:t>
    </w:r>
    <w:r w:rsidRPr="0083237C">
      <w:rPr>
        <w:sz w:val="20"/>
      </w:rPr>
      <w:fldChar w:fldCharType="end"/>
    </w:r>
  </w:p>
  <w:p w14:paraId="28ED4B52" w14:textId="77777777" w:rsidR="00623AB4" w:rsidRPr="00090188" w:rsidRDefault="00623AB4" w:rsidP="00A55F3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924F" w14:textId="66375E50" w:rsidR="00623AB4" w:rsidRDefault="00623AB4" w:rsidP="00623AB4">
    <w:pPr>
      <w:pStyle w:val="NoSpacing"/>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7435" w14:textId="77777777" w:rsidR="0056557E" w:rsidRDefault="0056557E" w:rsidP="001723F7">
      <w:pPr>
        <w:spacing w:before="0" w:after="0"/>
      </w:pPr>
      <w:r>
        <w:separator/>
      </w:r>
    </w:p>
  </w:footnote>
  <w:footnote w:type="continuationSeparator" w:id="0">
    <w:p w14:paraId="79B766F1" w14:textId="77777777" w:rsidR="0056557E" w:rsidRDefault="0056557E">
      <w:pPr>
        <w:spacing w:before="0" w:after="0"/>
      </w:pPr>
      <w:r>
        <w:continuationSeparator/>
      </w:r>
    </w:p>
    <w:p w14:paraId="0BF522C4" w14:textId="77777777" w:rsidR="0056557E" w:rsidRDefault="0056557E"/>
  </w:footnote>
  <w:footnote w:type="continuationNotice" w:id="1">
    <w:p w14:paraId="73A1A166" w14:textId="77777777" w:rsidR="0056557E" w:rsidRDefault="0056557E">
      <w:pPr>
        <w:spacing w:before="0" w:after="0" w:line="240" w:lineRule="auto"/>
      </w:pPr>
    </w:p>
  </w:footnote>
  <w:footnote w:id="2">
    <w:p w14:paraId="1E54D418" w14:textId="4624E912" w:rsidR="001E25F8" w:rsidRDefault="001E25F8">
      <w:pPr>
        <w:pStyle w:val="FootnoteText"/>
      </w:pPr>
      <w:r>
        <w:rPr>
          <w:rStyle w:val="FootnoteReference"/>
        </w:rPr>
        <w:footnoteRef/>
      </w:r>
      <w:r>
        <w:t xml:space="preserve">Further detail on </w:t>
      </w:r>
      <w:r w:rsidR="00281AE6">
        <w:t>h</w:t>
      </w:r>
      <w:r>
        <w:t xml:space="preserve">epatitis B is provided in the </w:t>
      </w:r>
      <w:r w:rsidR="00281AE6">
        <w:t xml:space="preserve">blood borne viruses section. </w:t>
      </w:r>
    </w:p>
  </w:footnote>
  <w:footnote w:id="3">
    <w:p w14:paraId="430D3090" w14:textId="4608552D" w:rsidR="00576E8C" w:rsidRDefault="00576E8C" w:rsidP="00576E8C">
      <w:pPr>
        <w:pStyle w:val="FootnoteText"/>
      </w:pPr>
      <w:r>
        <w:rPr>
          <w:rStyle w:val="FootnoteReference"/>
        </w:rPr>
        <w:footnoteRef/>
      </w:r>
      <w:r>
        <w:t xml:space="preserve"> The Kirby Institute UNSW. (2022). Sexually transmissible infections and blood-borne viruses in the ACT: Surveillance Report 2020</w:t>
      </w:r>
      <w:r w:rsidR="0011424F">
        <w:t xml:space="preserve"> (</w:t>
      </w:r>
      <w:r>
        <w:t>Report in preparation</w:t>
      </w:r>
      <w:r w:rsidR="0011424F">
        <w:t>)</w:t>
      </w:r>
      <w:r w:rsidR="007D4D6B">
        <w:t>.</w:t>
      </w:r>
    </w:p>
  </w:footnote>
  <w:footnote w:id="4">
    <w:p w14:paraId="14DCFD79" w14:textId="77640DB5" w:rsidR="00C67331" w:rsidRDefault="00C67331">
      <w:pPr>
        <w:pStyle w:val="FootnoteText"/>
      </w:pPr>
      <w:r>
        <w:rPr>
          <w:rStyle w:val="FootnoteReference"/>
        </w:rPr>
        <w:footnoteRef/>
      </w:r>
      <w:r>
        <w:t xml:space="preserve"> The Kirby Institute UNSW. (2022). Sexually transmissible infections and blood-borne viruses in the ACT: Surveillance Report 2020 (Report in preparation)</w:t>
      </w:r>
    </w:p>
  </w:footnote>
  <w:footnote w:id="5">
    <w:p w14:paraId="44D05CC9" w14:textId="310BB143" w:rsidR="007D4D6B" w:rsidRDefault="007D4D6B">
      <w:pPr>
        <w:pStyle w:val="FootnoteText"/>
      </w:pPr>
      <w:r>
        <w:rPr>
          <w:rStyle w:val="FootnoteReference"/>
        </w:rPr>
        <w:footnoteRef/>
      </w:r>
      <w:r>
        <w:t xml:space="preserve"> The Kirby Institute UNSW. (2022). Sexually transmissible infections and blood-borne viruses in the ACT: Surveillance Report 2020 (Report in preparation)</w:t>
      </w:r>
    </w:p>
  </w:footnote>
  <w:footnote w:id="6">
    <w:p w14:paraId="4FE2EC77" w14:textId="68457786" w:rsidR="00830936" w:rsidRDefault="00830936">
      <w:pPr>
        <w:pStyle w:val="FootnoteText"/>
      </w:pPr>
      <w:r>
        <w:rPr>
          <w:rStyle w:val="FootnoteReference"/>
        </w:rPr>
        <w:footnoteRef/>
      </w:r>
      <w:r>
        <w:t xml:space="preserve"> </w:t>
      </w:r>
      <w:r w:rsidR="00845BB5" w:rsidRPr="00935B45">
        <w:rPr>
          <w:rFonts w:asciiTheme="minorHAnsi" w:hAnsiTheme="minorHAnsi" w:cstheme="minorHAnsi"/>
          <w:color w:val="222222"/>
          <w:shd w:val="clear" w:color="auto" w:fill="FFFFFF"/>
        </w:rPr>
        <w:t>Tsevat, D.G., Wiesenfeld, H.C., Parks, C. and Peipert, J.F., 2017. Sexually transmitted diseases and infertility. </w:t>
      </w:r>
      <w:r w:rsidR="00845BB5" w:rsidRPr="00935B45">
        <w:rPr>
          <w:rFonts w:asciiTheme="minorHAnsi" w:hAnsiTheme="minorHAnsi" w:cstheme="minorHAnsi"/>
          <w:i/>
          <w:iCs/>
          <w:color w:val="222222"/>
          <w:shd w:val="clear" w:color="auto" w:fill="FFFFFF"/>
        </w:rPr>
        <w:t>American journal of obstetrics and gynecology</w:t>
      </w:r>
      <w:r w:rsidR="00845BB5" w:rsidRPr="00935B45">
        <w:rPr>
          <w:rFonts w:asciiTheme="minorHAnsi" w:hAnsiTheme="minorHAnsi" w:cstheme="minorHAnsi"/>
          <w:color w:val="222222"/>
          <w:shd w:val="clear" w:color="auto" w:fill="FFFFFF"/>
        </w:rPr>
        <w:t>, </w:t>
      </w:r>
      <w:r w:rsidR="00845BB5" w:rsidRPr="00935B45">
        <w:rPr>
          <w:rFonts w:asciiTheme="minorHAnsi" w:hAnsiTheme="minorHAnsi" w:cstheme="minorHAnsi"/>
          <w:i/>
          <w:iCs/>
          <w:color w:val="222222"/>
          <w:shd w:val="clear" w:color="auto" w:fill="FFFFFF"/>
        </w:rPr>
        <w:t>216</w:t>
      </w:r>
      <w:r w:rsidR="00845BB5" w:rsidRPr="00935B45">
        <w:rPr>
          <w:rFonts w:asciiTheme="minorHAnsi" w:hAnsiTheme="minorHAnsi" w:cstheme="minorHAnsi"/>
          <w:color w:val="222222"/>
          <w:shd w:val="clear" w:color="auto" w:fill="FFFFFF"/>
        </w:rPr>
        <w:t>(1), pp.1-9.</w:t>
      </w:r>
    </w:p>
  </w:footnote>
  <w:footnote w:id="7">
    <w:p w14:paraId="3DB09A0B" w14:textId="0A2B5D77" w:rsidR="00845BB5" w:rsidRDefault="00845BB5">
      <w:pPr>
        <w:pStyle w:val="FootnoteText"/>
      </w:pPr>
      <w:r>
        <w:rPr>
          <w:rStyle w:val="FootnoteReference"/>
        </w:rPr>
        <w:footnoteRef/>
      </w:r>
      <w:r>
        <w:t xml:space="preserve"> </w:t>
      </w:r>
      <w:r w:rsidRPr="00935B45">
        <w:rPr>
          <w:rFonts w:asciiTheme="minorHAnsi" w:hAnsiTheme="minorHAnsi" w:cstheme="minorHAnsi"/>
          <w:color w:val="222222"/>
          <w:shd w:val="clear" w:color="auto" w:fill="FFFFFF"/>
        </w:rPr>
        <w:t>Moore, A., Traversy, G., Reynolds, D.L., Riva, J.J., Thériault, G., Wilson, B.J., Subnath, M. and Thombs, B.D., 2021. Recommendation on screening for chlamydia and gonorrhea in primary care for individuals not known to be at high risk. </w:t>
      </w:r>
      <w:r w:rsidRPr="00935B45">
        <w:rPr>
          <w:rFonts w:asciiTheme="minorHAnsi" w:hAnsiTheme="minorHAnsi" w:cstheme="minorHAnsi"/>
          <w:i/>
          <w:iCs/>
          <w:color w:val="222222"/>
          <w:shd w:val="clear" w:color="auto" w:fill="FFFFFF"/>
        </w:rPr>
        <w:t>Cmaj</w:t>
      </w:r>
      <w:r w:rsidRPr="00935B45">
        <w:rPr>
          <w:rFonts w:asciiTheme="minorHAnsi" w:hAnsiTheme="minorHAnsi" w:cstheme="minorHAnsi"/>
          <w:color w:val="222222"/>
          <w:shd w:val="clear" w:color="auto" w:fill="FFFFFF"/>
        </w:rPr>
        <w:t>, </w:t>
      </w:r>
      <w:r w:rsidRPr="00935B45">
        <w:rPr>
          <w:rFonts w:asciiTheme="minorHAnsi" w:hAnsiTheme="minorHAnsi" w:cstheme="minorHAnsi"/>
          <w:i/>
          <w:iCs/>
          <w:color w:val="222222"/>
          <w:shd w:val="clear" w:color="auto" w:fill="FFFFFF"/>
        </w:rPr>
        <w:t>193</w:t>
      </w:r>
      <w:r w:rsidRPr="00935B45">
        <w:rPr>
          <w:rFonts w:asciiTheme="minorHAnsi" w:hAnsiTheme="minorHAnsi" w:cstheme="minorHAnsi"/>
          <w:color w:val="222222"/>
          <w:shd w:val="clear" w:color="auto" w:fill="FFFFFF"/>
        </w:rPr>
        <w:t>(16), pp.E549-E559.</w:t>
      </w:r>
    </w:p>
  </w:footnote>
  <w:footnote w:id="8">
    <w:p w14:paraId="0BE16608" w14:textId="02D1801E" w:rsidR="00C67331" w:rsidRPr="00935B45" w:rsidRDefault="00C67331">
      <w:pPr>
        <w:pStyle w:val="FootnoteText"/>
        <w:rPr>
          <w:b/>
          <w:bCs/>
        </w:rPr>
      </w:pPr>
      <w:r>
        <w:rPr>
          <w:rStyle w:val="FootnoteReference"/>
        </w:rPr>
        <w:footnoteRef/>
      </w:r>
      <w:r>
        <w:t xml:space="preserve"> </w:t>
      </w:r>
      <w:r>
        <w:rPr>
          <w:rStyle w:val="ui-provider"/>
        </w:rPr>
        <w:t>Australian Government - Department of Health and Aged Care (2023</w:t>
      </w:r>
      <w:r w:rsidRPr="00935B45">
        <w:rPr>
          <w:rStyle w:val="ui-provider"/>
          <w:b/>
          <w:bCs/>
        </w:rPr>
        <w:t xml:space="preserve">) </w:t>
      </w:r>
      <w:r w:rsidRPr="00935B45">
        <w:rPr>
          <w:rStyle w:val="Strong"/>
          <w:b w:val="0"/>
        </w:rPr>
        <w:t>Human papillomavirus (HPV) immunisation data</w:t>
      </w:r>
      <w:r>
        <w:rPr>
          <w:rStyle w:val="Strong"/>
          <w:b w:val="0"/>
        </w:rPr>
        <w:t xml:space="preserve">. Available at </w:t>
      </w:r>
      <w:hyperlink r:id="rId1" w:tgtFrame="_blank" w:tooltip="https://www.health.gov.au/topics/immunisation/immunisation-data/human-papillomavirus-hpv-immunisation-data" w:history="1">
        <w:r>
          <w:rPr>
            <w:rStyle w:val="Hyperlink"/>
          </w:rPr>
          <w:t>https://www.health.gov.au/topics/immunisation/immunisation-data/human-papillomavirus-hpv-immunisation-data</w:t>
        </w:r>
      </w:hyperlink>
    </w:p>
  </w:footnote>
  <w:footnote w:id="9">
    <w:p w14:paraId="60400B60" w14:textId="498546EF" w:rsidR="00685693" w:rsidRDefault="00685693">
      <w:pPr>
        <w:pStyle w:val="FootnoteText"/>
      </w:pPr>
      <w:r>
        <w:rPr>
          <w:rStyle w:val="FootnoteReference"/>
        </w:rPr>
        <w:footnoteRef/>
      </w:r>
      <w:r>
        <w:t xml:space="preserve"> Australian Institute of Health and Welfare 2019. Analysis of cervical cancer and abnormality outcomes in an era of cervical screening and HPV vaccination in Australia. Cancer series no. 126. Cat. no. CAN 129. Canberra: AIHW.</w:t>
      </w:r>
    </w:p>
  </w:footnote>
  <w:footnote w:id="10">
    <w:p w14:paraId="6C1DB655" w14:textId="2A8D996A" w:rsidR="00685693" w:rsidRDefault="00685693">
      <w:pPr>
        <w:pStyle w:val="FootnoteText"/>
      </w:pPr>
      <w:r>
        <w:rPr>
          <w:rStyle w:val="FootnoteReference"/>
        </w:rPr>
        <w:footnoteRef/>
      </w:r>
      <w:r>
        <w:t>A</w:t>
      </w:r>
      <w:r w:rsidRPr="00935B45">
        <w:t>ustralian Technical Advisory Group on Immunisation (ATAGI). Australian Immunisation Handbook, Australian Government Department of Health and Aged Care, Canberra, 2022</w:t>
      </w:r>
    </w:p>
  </w:footnote>
  <w:footnote w:id="11">
    <w:p w14:paraId="6D66D699" w14:textId="0CDFF35F" w:rsidR="007B0C6A" w:rsidRDefault="007B0C6A">
      <w:pPr>
        <w:pStyle w:val="FootnoteText"/>
      </w:pPr>
      <w:r>
        <w:rPr>
          <w:rStyle w:val="FootnoteReference"/>
        </w:rPr>
        <w:footnoteRef/>
      </w:r>
      <w:r>
        <w:t xml:space="preserve"> ASHM (2023) </w:t>
      </w:r>
      <w:hyperlink r:id="rId2" w:history="1">
        <w:r w:rsidRPr="00797970">
          <w:rPr>
            <w:rStyle w:val="Hyperlink"/>
          </w:rPr>
          <w:t>Making viral hepatitis elimination a reality: what does it mean, and how do we get there?</w:t>
        </w:r>
      </w:hyperlink>
      <w:r>
        <w:t xml:space="preserve"> </w:t>
      </w:r>
    </w:p>
  </w:footnote>
  <w:footnote w:id="12">
    <w:p w14:paraId="3B14743D" w14:textId="6E152706" w:rsidR="00681969" w:rsidRDefault="00681969">
      <w:pPr>
        <w:pStyle w:val="FootnoteText"/>
      </w:pPr>
      <w:r>
        <w:rPr>
          <w:rStyle w:val="FootnoteReference"/>
        </w:rPr>
        <w:footnoteRef/>
      </w:r>
      <w:r>
        <w:t xml:space="preserve"> World Health Organisation (2023) </w:t>
      </w:r>
      <w:hyperlink r:id="rId3" w:history="1">
        <w:r w:rsidRPr="00797970">
          <w:rPr>
            <w:rStyle w:val="Hyperlink"/>
          </w:rPr>
          <w:t>Hepatitis C fact sheet</w:t>
        </w:r>
      </w:hyperlink>
    </w:p>
  </w:footnote>
  <w:footnote w:id="13">
    <w:p w14:paraId="1FD22697" w14:textId="076F5F9A" w:rsidR="007B0C6A" w:rsidRDefault="007B0C6A" w:rsidP="00935B45">
      <w:pPr>
        <w:pStyle w:val="FootnoteText"/>
        <w:contextualSpacing/>
      </w:pPr>
      <w:r>
        <w:rPr>
          <w:rStyle w:val="FootnoteReference"/>
        </w:rPr>
        <w:footnoteRef/>
      </w:r>
      <w:r>
        <w:t xml:space="preserve"> Swannell, C. (2020). </w:t>
      </w:r>
      <w:hyperlink r:id="rId4" w:anchor=":~:text=With%20declining%20HCV%20treatment%20uptake,HCV%20elimination%20targets%20by%202030." w:history="1">
        <w:r w:rsidRPr="00797970">
          <w:rPr>
            <w:rStyle w:val="Hyperlink"/>
          </w:rPr>
          <w:t>Australia in danger of missing 2030 hepatitis C elimination targets</w:t>
        </w:r>
      </w:hyperlink>
      <w:r>
        <w:t>. The Medical Journal of Australia</w:t>
      </w:r>
    </w:p>
  </w:footnote>
  <w:footnote w:id="14">
    <w:p w14:paraId="0DCF2070" w14:textId="6D046180" w:rsidR="003144E8" w:rsidRDefault="003144E8" w:rsidP="00935B45">
      <w:pPr>
        <w:pStyle w:val="FootnoteText"/>
        <w:spacing w:before="240"/>
        <w:contextualSpacing/>
      </w:pPr>
      <w:r>
        <w:rPr>
          <w:rStyle w:val="FootnoteReference"/>
        </w:rPr>
        <w:footnoteRef/>
      </w:r>
      <w:r>
        <w:t xml:space="preserve"> Australian Government</w:t>
      </w:r>
      <w:r w:rsidR="00797970">
        <w:t xml:space="preserve"> - </w:t>
      </w:r>
      <w:r>
        <w:t>Department of Health and Aged Care (2023</w:t>
      </w:r>
      <w:r w:rsidR="00797970" w:rsidRPr="00935B45">
        <w:t xml:space="preserve">) </w:t>
      </w:r>
      <w:hyperlink r:id="rId5" w:history="1">
        <w:r w:rsidR="00797970" w:rsidRPr="00797970">
          <w:rPr>
            <w:rStyle w:val="Hyperlink"/>
          </w:rPr>
          <w:t>Sixth National Hepatitis C Strategy 2023-2030</w:t>
        </w:r>
      </w:hyperlink>
      <w:r w:rsidR="0011424F">
        <w:t xml:space="preserve"> (Consultation draft)</w:t>
      </w:r>
    </w:p>
  </w:footnote>
  <w:footnote w:id="15">
    <w:p w14:paraId="1C2914C9" w14:textId="77777777" w:rsidR="006532AF" w:rsidRPr="00935B45" w:rsidRDefault="006532AF" w:rsidP="00935B45">
      <w:pPr>
        <w:pStyle w:val="FootnoteText"/>
        <w:spacing w:before="240"/>
        <w:contextualSpacing/>
      </w:pPr>
      <w:r w:rsidRPr="00935B45">
        <w:rPr>
          <w:sz w:val="14"/>
          <w:szCs w:val="14"/>
        </w:rPr>
        <w:footnoteRef/>
      </w:r>
      <w:r w:rsidRPr="00935B45">
        <w:rPr>
          <w:sz w:val="18"/>
          <w:szCs w:val="18"/>
        </w:rPr>
        <w:t xml:space="preserve"> </w:t>
      </w:r>
      <w:r w:rsidRPr="00935B45">
        <w:t>Viral Hepatitis Mapping Project [Internet]. ASHM. [cited 2022 May 10]. Available from: https://www.ashm.org.au/</w:t>
      </w:r>
    </w:p>
    <w:p w14:paraId="39E8415B" w14:textId="6F0F2661" w:rsidR="006532AF" w:rsidRDefault="006532AF" w:rsidP="00935B45">
      <w:pPr>
        <w:pStyle w:val="FootnoteText"/>
        <w:spacing w:before="240"/>
        <w:contextualSpacing/>
      </w:pPr>
      <w:r w:rsidRPr="00935B45">
        <w:rPr>
          <w:sz w:val="22"/>
          <w:szCs w:val="22"/>
        </w:rPr>
        <w:t>resources/viral</w:t>
      </w:r>
      <w:r w:rsidRPr="00935B45">
        <w:rPr>
          <w:rFonts w:ascii="Cambria Math" w:hAnsi="Cambria Math" w:cs="Cambria Math"/>
          <w:sz w:val="22"/>
          <w:szCs w:val="22"/>
        </w:rPr>
        <w:t>‑</w:t>
      </w:r>
      <w:r w:rsidRPr="00935B45">
        <w:rPr>
          <w:sz w:val="22"/>
          <w:szCs w:val="22"/>
        </w:rPr>
        <w:t>hepatitis</w:t>
      </w:r>
      <w:r w:rsidRPr="00935B45">
        <w:rPr>
          <w:rFonts w:ascii="Cambria Math" w:hAnsi="Cambria Math" w:cs="Cambria Math"/>
          <w:sz w:val="22"/>
          <w:szCs w:val="22"/>
        </w:rPr>
        <w:t>‑</w:t>
      </w:r>
      <w:r w:rsidRPr="00935B45">
        <w:rPr>
          <w:sz w:val="22"/>
          <w:szCs w:val="22"/>
        </w:rPr>
        <w:t>mapping</w:t>
      </w:r>
      <w:r w:rsidRPr="00935B45">
        <w:rPr>
          <w:rFonts w:ascii="Cambria Math" w:hAnsi="Cambria Math" w:cs="Cambria Math"/>
          <w:sz w:val="22"/>
          <w:szCs w:val="22"/>
        </w:rPr>
        <w:t>‑</w:t>
      </w:r>
      <w:r w:rsidRPr="00935B45">
        <w:rPr>
          <w:sz w:val="22"/>
          <w:szCs w:val="22"/>
        </w:rPr>
        <w:t>project/</w:t>
      </w:r>
    </w:p>
  </w:footnote>
  <w:footnote w:id="16">
    <w:p w14:paraId="08EABD48" w14:textId="3E986287" w:rsidR="00BA31D2" w:rsidRDefault="00BA31D2">
      <w:pPr>
        <w:pStyle w:val="FootnoteText"/>
      </w:pPr>
      <w:r>
        <w:rPr>
          <w:rStyle w:val="FootnoteReference"/>
        </w:rPr>
        <w:footnoteRef/>
      </w:r>
      <w:r>
        <w:t xml:space="preserve"> The Kirby Institute UNSW. (2022). Sexually transmissible infections and blood-borne viruses in the ACT: Surveillance Report 2020 (Report in preparation).</w:t>
      </w:r>
    </w:p>
  </w:footnote>
  <w:footnote w:id="17">
    <w:p w14:paraId="4E93F943" w14:textId="0B76A7FE" w:rsidR="00962EC4" w:rsidRDefault="00962EC4" w:rsidP="00962EC4">
      <w:pPr>
        <w:pStyle w:val="FootnoteText"/>
      </w:pPr>
      <w:r>
        <w:rPr>
          <w:rStyle w:val="FootnoteReference"/>
        </w:rPr>
        <w:footnoteRef/>
      </w:r>
      <w:r>
        <w:t xml:space="preserve"> Australian Government – Department of Health and Aged Care (2023) </w:t>
      </w:r>
      <w:hyperlink r:id="rId6" w:history="1">
        <w:r w:rsidRPr="006F07C5">
          <w:rPr>
            <w:rStyle w:val="Hyperlink"/>
          </w:rPr>
          <w:t>Fourth National Hepatitis B Strategy 2023-2030</w:t>
        </w:r>
      </w:hyperlink>
      <w:r w:rsidR="00147CA5">
        <w:t xml:space="preserve"> (Consultation draft)</w:t>
      </w:r>
    </w:p>
  </w:footnote>
  <w:footnote w:id="18">
    <w:p w14:paraId="38967597" w14:textId="6E43FAF2" w:rsidR="00E26B60" w:rsidRDefault="00E26B60">
      <w:pPr>
        <w:pStyle w:val="FootnoteText"/>
      </w:pPr>
      <w:r>
        <w:rPr>
          <w:rStyle w:val="FootnoteReference"/>
        </w:rPr>
        <w:footnoteRef/>
      </w:r>
      <w:r>
        <w:t xml:space="preserve"> </w:t>
      </w:r>
      <w:r w:rsidR="00671ED8">
        <w:t xml:space="preserve">Australian Government – Department of Health and Aged Care (2023) </w:t>
      </w:r>
      <w:hyperlink r:id="rId7" w:history="1">
        <w:r w:rsidR="00671ED8" w:rsidRPr="006F07C5">
          <w:rPr>
            <w:rStyle w:val="Hyperlink"/>
          </w:rPr>
          <w:t>Fourth National Hepatitis B Strategy</w:t>
        </w:r>
        <w:r w:rsidR="006F07C5" w:rsidRPr="006F07C5">
          <w:rPr>
            <w:rStyle w:val="Hyperlink"/>
          </w:rPr>
          <w:t xml:space="preserve"> 2023-2030</w:t>
        </w:r>
      </w:hyperlink>
      <w:r w:rsidR="00147CA5">
        <w:t xml:space="preserve"> (Consultation draft)</w:t>
      </w:r>
    </w:p>
  </w:footnote>
  <w:footnote w:id="19">
    <w:p w14:paraId="18E2F419" w14:textId="66B90F1B" w:rsidR="00BA31D2" w:rsidRDefault="00BA31D2">
      <w:pPr>
        <w:pStyle w:val="FootnoteText"/>
      </w:pPr>
      <w:r>
        <w:rPr>
          <w:rStyle w:val="FootnoteReference"/>
        </w:rPr>
        <w:footnoteRef/>
      </w:r>
      <w:r>
        <w:t xml:space="preserve"> The Kirby Institute UNSW. (2022). Sexually transmissible infections and blood-borne viruses in the ACT: Surveillance Report 2020 (Report in preparation).</w:t>
      </w:r>
    </w:p>
  </w:footnote>
  <w:footnote w:id="20">
    <w:p w14:paraId="7CFE765A" w14:textId="77777777" w:rsidR="002B5953" w:rsidRDefault="002B5953" w:rsidP="002B5953">
      <w:pPr>
        <w:pStyle w:val="FootnoteText"/>
      </w:pPr>
      <w:r>
        <w:rPr>
          <w:rStyle w:val="FootnoteReference"/>
        </w:rPr>
        <w:footnoteRef/>
      </w:r>
      <w:r>
        <w:t xml:space="preserve"> Australian Government  – Department of Health and Aged Care (2023</w:t>
      </w:r>
      <w:r w:rsidRPr="00B15D1C">
        <w:t xml:space="preserve">) </w:t>
      </w:r>
      <w:hyperlink r:id="rId8" w:history="1">
        <w:r w:rsidRPr="006F07C5">
          <w:rPr>
            <w:rStyle w:val="Hyperlink"/>
          </w:rPr>
          <w:t>Sixth National Hepatitis C Strategy 2023-3030</w:t>
        </w:r>
      </w:hyperlink>
      <w:r>
        <w:t xml:space="preserve"> (Consultation draft)</w:t>
      </w:r>
    </w:p>
  </w:footnote>
  <w:footnote w:id="21">
    <w:p w14:paraId="4D27ADD8" w14:textId="5C819690" w:rsidR="003B7828" w:rsidRDefault="003B7828">
      <w:pPr>
        <w:pStyle w:val="FootnoteText"/>
      </w:pPr>
      <w:r>
        <w:rPr>
          <w:rStyle w:val="FootnoteReference"/>
        </w:rPr>
        <w:footnoteRef/>
      </w:r>
      <w:r>
        <w:t xml:space="preserve"> Australian Government  – Department of Health and Aged Care (2023</w:t>
      </w:r>
      <w:r w:rsidR="006F07C5" w:rsidRPr="00935B45">
        <w:t xml:space="preserve">) </w:t>
      </w:r>
      <w:hyperlink r:id="rId9" w:history="1">
        <w:r w:rsidR="006F07C5" w:rsidRPr="006F07C5">
          <w:rPr>
            <w:rStyle w:val="Hyperlink"/>
          </w:rPr>
          <w:t>Sixth National Hepatitis C Strategy 2023-3030</w:t>
        </w:r>
      </w:hyperlink>
      <w:r w:rsidR="00147CA5">
        <w:t xml:space="preserve"> (</w:t>
      </w:r>
      <w:r w:rsidR="0011424F">
        <w:t>C</w:t>
      </w:r>
      <w:r w:rsidR="00147CA5">
        <w:t xml:space="preserve">onsultation draft) </w:t>
      </w:r>
    </w:p>
  </w:footnote>
  <w:footnote w:id="22">
    <w:p w14:paraId="60002409" w14:textId="4D92E13D" w:rsidR="003B76AC" w:rsidRDefault="003B76AC">
      <w:pPr>
        <w:pStyle w:val="FootnoteText"/>
      </w:pPr>
      <w:r>
        <w:rPr>
          <w:rStyle w:val="FootnoteReference"/>
        </w:rPr>
        <w:footnoteRef/>
      </w:r>
      <w:r>
        <w:t xml:space="preserve"> The Kirby Institute UNSW. (2022). Sexually transmissible infections and blood-borne viruses in the ACT: Surveillance Report 2020 </w:t>
      </w:r>
      <w:r w:rsidR="002B5953">
        <w:t>(</w:t>
      </w:r>
      <w:r>
        <w:t>Report in preparation</w:t>
      </w:r>
      <w:r w:rsidR="002B5953">
        <w:t>)</w:t>
      </w:r>
    </w:p>
  </w:footnote>
  <w:footnote w:id="23">
    <w:p w14:paraId="74DDDD8E" w14:textId="7091D99D" w:rsidR="003B76AC" w:rsidRDefault="003B76AC">
      <w:pPr>
        <w:pStyle w:val="FootnoteText"/>
      </w:pPr>
      <w:r>
        <w:rPr>
          <w:rStyle w:val="FootnoteReference"/>
        </w:rPr>
        <w:footnoteRef/>
      </w:r>
      <w:r>
        <w:t xml:space="preserve"> The Kirby Institute UNSW - </w:t>
      </w:r>
      <w:r w:rsidRPr="003B76AC">
        <w:t xml:space="preserve">HIV, </w:t>
      </w:r>
      <w:r w:rsidR="00671ED8">
        <w:t>V</w:t>
      </w:r>
      <w:r w:rsidRPr="003B76AC">
        <w:t xml:space="preserve">iral </w:t>
      </w:r>
      <w:r w:rsidR="00671ED8">
        <w:t>h</w:t>
      </w:r>
      <w:r w:rsidRPr="003B76AC">
        <w:t xml:space="preserve">epatitis and sexually transmissible infections in Australia: </w:t>
      </w:r>
      <w:hyperlink r:id="rId10" w:history="1">
        <w:r w:rsidRPr="006F07C5">
          <w:rPr>
            <w:rStyle w:val="Hyperlink"/>
          </w:rPr>
          <w:t>Annual surveillance report 2022</w:t>
        </w:r>
      </w:hyperlink>
    </w:p>
    <w:p w14:paraId="4F05CD00" w14:textId="77777777" w:rsidR="003B76AC" w:rsidRDefault="003B76AC">
      <w:pPr>
        <w:pStyle w:val="FootnoteText"/>
      </w:pPr>
    </w:p>
  </w:footnote>
  <w:footnote w:id="24">
    <w:p w14:paraId="0A63C22B" w14:textId="20C35448" w:rsidR="00C4031D" w:rsidRDefault="00C4031D">
      <w:pPr>
        <w:pStyle w:val="FootnoteText"/>
      </w:pPr>
      <w:r>
        <w:rPr>
          <w:rStyle w:val="FootnoteReference"/>
        </w:rPr>
        <w:footnoteRef/>
      </w:r>
      <w:r>
        <w:t xml:space="preserve"> </w:t>
      </w:r>
      <w:r w:rsidR="002E1031">
        <w:t>Gray, C., Lobo, R., Narciso, L.</w:t>
      </w:r>
      <w:r w:rsidR="00E12DDC">
        <w:t xml:space="preserve"> </w:t>
      </w:r>
      <w:r w:rsidR="00E12DDC" w:rsidRPr="00935B45">
        <w:rPr>
          <w:i/>
          <w:iCs/>
        </w:rPr>
        <w:t>et al</w:t>
      </w:r>
      <w:r w:rsidR="00E12DDC">
        <w:rPr>
          <w:i/>
          <w:iCs/>
        </w:rPr>
        <w:t xml:space="preserve">. </w:t>
      </w:r>
      <w:r w:rsidR="002E1031">
        <w:t xml:space="preserve">(2019). </w:t>
      </w:r>
      <w:r w:rsidR="00E12DDC">
        <w:t>“</w:t>
      </w:r>
      <w:r w:rsidR="002E1031">
        <w:t>Why I can’t, won’t or don’t test for HIV</w:t>
      </w:r>
      <w:r w:rsidR="00E12DDC">
        <w:t>”</w:t>
      </w:r>
      <w:r w:rsidR="002E1031">
        <w:t>: insights from Australian migrants born in sub-Saharan Africa, Southeast Asia and Northeast Asia. International Journal of Environmental Research and Public Health, 16(6), 1034.</w:t>
      </w:r>
    </w:p>
  </w:footnote>
  <w:footnote w:id="25">
    <w:p w14:paraId="57008B5A" w14:textId="00851F29" w:rsidR="002E1031" w:rsidRDefault="002E1031">
      <w:pPr>
        <w:pStyle w:val="FootnoteText"/>
      </w:pPr>
      <w:r>
        <w:rPr>
          <w:rStyle w:val="FootnoteReference"/>
        </w:rPr>
        <w:footnoteRef/>
      </w:r>
      <w:r>
        <w:t xml:space="preserve"> </w:t>
      </w:r>
      <w:r w:rsidR="0030492D">
        <w:t xml:space="preserve">Australian Federation of AIDS Organisations (2011) </w:t>
      </w:r>
      <w:hyperlink r:id="rId11" w:history="1">
        <w:r w:rsidR="0030492D" w:rsidRPr="0030492D">
          <w:rPr>
            <w:rStyle w:val="Hyperlink"/>
          </w:rPr>
          <w:t>AFAO Factsheet</w:t>
        </w:r>
      </w:hyperlink>
      <w:r w:rsidR="0030492D">
        <w:t xml:space="preserve"> - Applying for permanent residence in Australia Information for people with HIV and their advisors</w:t>
      </w:r>
    </w:p>
  </w:footnote>
  <w:footnote w:id="26">
    <w:p w14:paraId="00797131" w14:textId="09312219" w:rsidR="002E1031" w:rsidRDefault="002E1031">
      <w:pPr>
        <w:pStyle w:val="FootnoteText"/>
      </w:pPr>
      <w:r>
        <w:rPr>
          <w:rStyle w:val="FootnoteReference"/>
        </w:rPr>
        <w:footnoteRef/>
      </w:r>
      <w:r>
        <w:t xml:space="preserve"> </w:t>
      </w:r>
      <w:r w:rsidR="008E5169" w:rsidRPr="008E5169">
        <w:t>Ziersch, A., Walsh, M., Baak, M. </w:t>
      </w:r>
      <w:r w:rsidR="008E5169" w:rsidRPr="008E5169">
        <w:rPr>
          <w:i/>
          <w:iCs/>
        </w:rPr>
        <w:t>et al.</w:t>
      </w:r>
      <w:r w:rsidR="008E5169" w:rsidRPr="008E5169">
        <w:t> </w:t>
      </w:r>
      <w:r w:rsidR="008E5169">
        <w:t>(2021) -</w:t>
      </w:r>
      <w:r w:rsidR="008E5169" w:rsidRPr="008E5169">
        <w:t>“It is not an acceptable disease”: A qualitative study of HIV-related stigma and discrimination and impacts on health and wellbeing for people from ethnically diverse backgrounds in Australia. </w:t>
      </w:r>
      <w:r w:rsidR="008E5169" w:rsidRPr="008E5169">
        <w:rPr>
          <w:i/>
          <w:iCs/>
        </w:rPr>
        <w:t>BMC Public Health</w:t>
      </w:r>
      <w:r w:rsidR="008E5169" w:rsidRPr="008E5169">
        <w:t> </w:t>
      </w:r>
      <w:r w:rsidR="008E5169" w:rsidRPr="008E5169">
        <w:rPr>
          <w:b/>
          <w:bCs/>
        </w:rPr>
        <w:t>21</w:t>
      </w:r>
      <w:r w:rsidR="008E5169" w:rsidRPr="008E5169">
        <w:t xml:space="preserve">, 779 </w:t>
      </w:r>
    </w:p>
  </w:footnote>
  <w:footnote w:id="27">
    <w:p w14:paraId="1A4E5735" w14:textId="35F9B8C9" w:rsidR="00656F76" w:rsidRDefault="00656F76">
      <w:pPr>
        <w:pStyle w:val="FootnoteText"/>
      </w:pPr>
      <w:r>
        <w:rPr>
          <w:rStyle w:val="FootnoteReference"/>
        </w:rPr>
        <w:footnoteRef/>
      </w:r>
      <w:r w:rsidR="00C305B1">
        <w:t>Migrant</w:t>
      </w:r>
      <w:r w:rsidR="00FC78E3">
        <w:t xml:space="preserve"> </w:t>
      </w:r>
      <w:r w:rsidR="00C305B1">
        <w:t>Blood-borne Virus &amp; Sexual Health Survey 2020-2021</w:t>
      </w:r>
      <w:r w:rsidR="00E12DDC">
        <w:t xml:space="preserve"> - </w:t>
      </w:r>
      <w:hyperlink r:id="rId12" w:history="1">
        <w:r w:rsidR="00C305B1" w:rsidRPr="00E12DDC">
          <w:rPr>
            <w:rStyle w:val="Hyperlink"/>
          </w:rPr>
          <w:t>Queensland results</w:t>
        </w:r>
      </w:hyperlink>
      <w:r w:rsidR="00C305B1">
        <w:t xml:space="preserve"> (2021) </w:t>
      </w:r>
    </w:p>
  </w:footnote>
  <w:footnote w:id="28">
    <w:p w14:paraId="7A840E69" w14:textId="27AB93D8" w:rsidR="00726017" w:rsidRDefault="00726017">
      <w:pPr>
        <w:pStyle w:val="FootnoteText"/>
      </w:pPr>
      <w:r>
        <w:rPr>
          <w:rStyle w:val="FootnoteReference"/>
        </w:rPr>
        <w:footnoteRef/>
      </w:r>
      <w:r>
        <w:t xml:space="preserve"> </w:t>
      </w:r>
      <w:r>
        <w:rPr>
          <w:rStyle w:val="cf01"/>
        </w:rPr>
        <w:t>These new national strategies span from 2023-2030 and are nearing finalisation</w:t>
      </w:r>
      <w:r w:rsidR="005C6B54">
        <w:rPr>
          <w:rStyle w:val="cf01"/>
        </w:rPr>
        <w:t>, which will</w:t>
      </w:r>
      <w:r w:rsidR="002B5953">
        <w:rPr>
          <w:rStyle w:val="cf01"/>
        </w:rPr>
        <w:t xml:space="preserve"> </w:t>
      </w:r>
      <w:r>
        <w:rPr>
          <w:rStyle w:val="cf01"/>
        </w:rPr>
        <w:t>include endorsement by all Australian Health Ministers, public release and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9AF" w14:textId="343EDD9D" w:rsidR="00E61BB1" w:rsidRDefault="00E6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D73D" w14:textId="6AC8A227" w:rsidR="00C72116" w:rsidRDefault="00C72116" w:rsidP="00C72116">
    <w:pPr>
      <w:pStyle w:val="Heade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F0A9" w14:textId="20213018" w:rsidR="005E635F" w:rsidRDefault="005E63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A473" w14:textId="1297B317" w:rsidR="005E635F" w:rsidRDefault="005E635F">
    <w:pPr>
      <w:pStyle w:val="Header"/>
    </w:pPr>
  </w:p>
  <w:p w14:paraId="248FA5EA" w14:textId="77777777" w:rsidR="00D31603" w:rsidRDefault="00D31603"/>
  <w:p w14:paraId="40A4FC28" w14:textId="77777777" w:rsidR="00D31603" w:rsidRDefault="00D3160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9F0B" w14:textId="60BE27F6" w:rsidR="00623AB4" w:rsidRPr="004A388F" w:rsidRDefault="00E509AE" w:rsidP="004A388F">
    <w:pPr>
      <w:pStyle w:val="Header"/>
      <w:pBdr>
        <w:bottom w:val="single" w:sz="4" w:space="1" w:color="auto"/>
      </w:pBdr>
      <w:jc w:val="right"/>
      <w:rPr>
        <w:sz w:val="20"/>
        <w:szCs w:val="16"/>
      </w:rPr>
    </w:pPr>
    <w:r>
      <w:rPr>
        <w:sz w:val="20"/>
        <w:szCs w:val="16"/>
      </w:rPr>
      <w:t>Strategic</w:t>
    </w:r>
    <w:r w:rsidR="004A388F" w:rsidRPr="004A388F">
      <w:rPr>
        <w:sz w:val="20"/>
        <w:szCs w:val="16"/>
      </w:rPr>
      <w:t xml:space="preserve"> Investment Plan</w:t>
    </w:r>
    <w:r w:rsidR="000730D0">
      <w:rPr>
        <w:sz w:val="20"/>
        <w:szCs w:val="16"/>
      </w:rPr>
      <w:t xml:space="preserve"> for </w:t>
    </w:r>
    <w:r w:rsidR="00104DE7">
      <w:rPr>
        <w:sz w:val="20"/>
        <w:szCs w:val="16"/>
      </w:rPr>
      <w:t>STIBBV subs</w:t>
    </w:r>
    <w:r w:rsidR="000730D0">
      <w:rPr>
        <w:sz w:val="20"/>
        <w:szCs w:val="16"/>
      </w:rPr>
      <w:t xml:space="preserve">ector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9BAA" w14:textId="2E01B55E" w:rsidR="005E635F" w:rsidRDefault="005E6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E9E"/>
    <w:multiLevelType w:val="multilevel"/>
    <w:tmpl w:val="402E7EF2"/>
    <w:numStyleLink w:val="AppendixNumbers"/>
  </w:abstractNum>
  <w:abstractNum w:abstractNumId="1" w15:restartNumberingAfterBreak="0">
    <w:nsid w:val="039E6DE9"/>
    <w:multiLevelType w:val="hybridMultilevel"/>
    <w:tmpl w:val="A3906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0948A5"/>
    <w:multiLevelType w:val="hybridMultilevel"/>
    <w:tmpl w:val="4384B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2153D2"/>
    <w:multiLevelType w:val="hybridMultilevel"/>
    <w:tmpl w:val="C7349258"/>
    <w:lvl w:ilvl="0" w:tplc="D6FE6AC4">
      <w:start w:val="1"/>
      <w:numFmt w:val="bullet"/>
      <w:lvlText w:val=""/>
      <w:lvlJc w:val="left"/>
      <w:pPr>
        <w:ind w:left="720" w:hanging="360"/>
      </w:pPr>
      <w:rPr>
        <w:rFonts w:ascii="Symbol" w:hAnsi="Symbol"/>
      </w:rPr>
    </w:lvl>
    <w:lvl w:ilvl="1" w:tplc="5476A002">
      <w:start w:val="1"/>
      <w:numFmt w:val="bullet"/>
      <w:lvlText w:val=""/>
      <w:lvlJc w:val="left"/>
      <w:pPr>
        <w:ind w:left="720" w:hanging="360"/>
      </w:pPr>
      <w:rPr>
        <w:rFonts w:ascii="Symbol" w:hAnsi="Symbol"/>
      </w:rPr>
    </w:lvl>
    <w:lvl w:ilvl="2" w:tplc="DEEA734A">
      <w:start w:val="1"/>
      <w:numFmt w:val="bullet"/>
      <w:lvlText w:val=""/>
      <w:lvlJc w:val="left"/>
      <w:pPr>
        <w:ind w:left="720" w:hanging="360"/>
      </w:pPr>
      <w:rPr>
        <w:rFonts w:ascii="Symbol" w:hAnsi="Symbol"/>
      </w:rPr>
    </w:lvl>
    <w:lvl w:ilvl="3" w:tplc="71241552">
      <w:start w:val="1"/>
      <w:numFmt w:val="bullet"/>
      <w:lvlText w:val=""/>
      <w:lvlJc w:val="left"/>
      <w:pPr>
        <w:ind w:left="720" w:hanging="360"/>
      </w:pPr>
      <w:rPr>
        <w:rFonts w:ascii="Symbol" w:hAnsi="Symbol"/>
      </w:rPr>
    </w:lvl>
    <w:lvl w:ilvl="4" w:tplc="3EC68790">
      <w:start w:val="1"/>
      <w:numFmt w:val="bullet"/>
      <w:lvlText w:val=""/>
      <w:lvlJc w:val="left"/>
      <w:pPr>
        <w:ind w:left="720" w:hanging="360"/>
      </w:pPr>
      <w:rPr>
        <w:rFonts w:ascii="Symbol" w:hAnsi="Symbol"/>
      </w:rPr>
    </w:lvl>
    <w:lvl w:ilvl="5" w:tplc="0CC2D494">
      <w:start w:val="1"/>
      <w:numFmt w:val="bullet"/>
      <w:lvlText w:val=""/>
      <w:lvlJc w:val="left"/>
      <w:pPr>
        <w:ind w:left="720" w:hanging="360"/>
      </w:pPr>
      <w:rPr>
        <w:rFonts w:ascii="Symbol" w:hAnsi="Symbol"/>
      </w:rPr>
    </w:lvl>
    <w:lvl w:ilvl="6" w:tplc="BAE20E2A">
      <w:start w:val="1"/>
      <w:numFmt w:val="bullet"/>
      <w:lvlText w:val=""/>
      <w:lvlJc w:val="left"/>
      <w:pPr>
        <w:ind w:left="720" w:hanging="360"/>
      </w:pPr>
      <w:rPr>
        <w:rFonts w:ascii="Symbol" w:hAnsi="Symbol"/>
      </w:rPr>
    </w:lvl>
    <w:lvl w:ilvl="7" w:tplc="9EDE53C4">
      <w:start w:val="1"/>
      <w:numFmt w:val="bullet"/>
      <w:lvlText w:val=""/>
      <w:lvlJc w:val="left"/>
      <w:pPr>
        <w:ind w:left="720" w:hanging="360"/>
      </w:pPr>
      <w:rPr>
        <w:rFonts w:ascii="Symbol" w:hAnsi="Symbol"/>
      </w:rPr>
    </w:lvl>
    <w:lvl w:ilvl="8" w:tplc="D6B0CA46">
      <w:start w:val="1"/>
      <w:numFmt w:val="bullet"/>
      <w:lvlText w:val=""/>
      <w:lvlJc w:val="left"/>
      <w:pPr>
        <w:ind w:left="720" w:hanging="360"/>
      </w:pPr>
      <w:rPr>
        <w:rFonts w:ascii="Symbol" w:hAnsi="Symbol"/>
      </w:rPr>
    </w:lvl>
  </w:abstractNum>
  <w:abstractNum w:abstractNumId="4" w15:restartNumberingAfterBreak="0">
    <w:nsid w:val="0F4210A8"/>
    <w:multiLevelType w:val="hybridMultilevel"/>
    <w:tmpl w:val="70865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6C83105"/>
    <w:multiLevelType w:val="hybridMultilevel"/>
    <w:tmpl w:val="90BA9194"/>
    <w:lvl w:ilvl="0" w:tplc="9B4E6E10">
      <w:start w:val="1"/>
      <w:numFmt w:val="decimal"/>
      <w:pStyle w:val="List"/>
      <w:lvlText w:val="1.1.%1."/>
      <w:lvlJc w:val="left"/>
      <w:pPr>
        <w:ind w:left="720" w:hanging="360"/>
      </w:pPr>
      <w:rPr>
        <w:rFonts w:hint="default"/>
        <w:b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16938"/>
    <w:multiLevelType w:val="hybridMultilevel"/>
    <w:tmpl w:val="A4283710"/>
    <w:lvl w:ilvl="0" w:tplc="C5F84FFA">
      <w:start w:val="1"/>
      <w:numFmt w:val="bullet"/>
      <w:lvlText w:val=""/>
      <w:lvlJc w:val="left"/>
      <w:pPr>
        <w:ind w:left="720" w:hanging="360"/>
      </w:pPr>
      <w:rPr>
        <w:rFonts w:ascii="Symbol" w:hAnsi="Symbol"/>
      </w:rPr>
    </w:lvl>
    <w:lvl w:ilvl="1" w:tplc="8AF2FB80">
      <w:start w:val="1"/>
      <w:numFmt w:val="bullet"/>
      <w:lvlText w:val=""/>
      <w:lvlJc w:val="left"/>
      <w:pPr>
        <w:ind w:left="720" w:hanging="360"/>
      </w:pPr>
      <w:rPr>
        <w:rFonts w:ascii="Symbol" w:hAnsi="Symbol"/>
      </w:rPr>
    </w:lvl>
    <w:lvl w:ilvl="2" w:tplc="2606038A">
      <w:start w:val="1"/>
      <w:numFmt w:val="bullet"/>
      <w:lvlText w:val=""/>
      <w:lvlJc w:val="left"/>
      <w:pPr>
        <w:ind w:left="720" w:hanging="360"/>
      </w:pPr>
      <w:rPr>
        <w:rFonts w:ascii="Symbol" w:hAnsi="Symbol"/>
      </w:rPr>
    </w:lvl>
    <w:lvl w:ilvl="3" w:tplc="30385950">
      <w:start w:val="1"/>
      <w:numFmt w:val="bullet"/>
      <w:lvlText w:val=""/>
      <w:lvlJc w:val="left"/>
      <w:pPr>
        <w:ind w:left="720" w:hanging="360"/>
      </w:pPr>
      <w:rPr>
        <w:rFonts w:ascii="Symbol" w:hAnsi="Symbol"/>
      </w:rPr>
    </w:lvl>
    <w:lvl w:ilvl="4" w:tplc="AF8C2EE8">
      <w:start w:val="1"/>
      <w:numFmt w:val="bullet"/>
      <w:lvlText w:val=""/>
      <w:lvlJc w:val="left"/>
      <w:pPr>
        <w:ind w:left="720" w:hanging="360"/>
      </w:pPr>
      <w:rPr>
        <w:rFonts w:ascii="Symbol" w:hAnsi="Symbol"/>
      </w:rPr>
    </w:lvl>
    <w:lvl w:ilvl="5" w:tplc="C0D8C528">
      <w:start w:val="1"/>
      <w:numFmt w:val="bullet"/>
      <w:lvlText w:val=""/>
      <w:lvlJc w:val="left"/>
      <w:pPr>
        <w:ind w:left="720" w:hanging="360"/>
      </w:pPr>
      <w:rPr>
        <w:rFonts w:ascii="Symbol" w:hAnsi="Symbol"/>
      </w:rPr>
    </w:lvl>
    <w:lvl w:ilvl="6" w:tplc="0B4A8D5E">
      <w:start w:val="1"/>
      <w:numFmt w:val="bullet"/>
      <w:lvlText w:val=""/>
      <w:lvlJc w:val="left"/>
      <w:pPr>
        <w:ind w:left="720" w:hanging="360"/>
      </w:pPr>
      <w:rPr>
        <w:rFonts w:ascii="Symbol" w:hAnsi="Symbol"/>
      </w:rPr>
    </w:lvl>
    <w:lvl w:ilvl="7" w:tplc="F202C7D8">
      <w:start w:val="1"/>
      <w:numFmt w:val="bullet"/>
      <w:lvlText w:val=""/>
      <w:lvlJc w:val="left"/>
      <w:pPr>
        <w:ind w:left="720" w:hanging="360"/>
      </w:pPr>
      <w:rPr>
        <w:rFonts w:ascii="Symbol" w:hAnsi="Symbol"/>
      </w:rPr>
    </w:lvl>
    <w:lvl w:ilvl="8" w:tplc="2B1AEFC6">
      <w:start w:val="1"/>
      <w:numFmt w:val="bullet"/>
      <w:lvlText w:val=""/>
      <w:lvlJc w:val="left"/>
      <w:pPr>
        <w:ind w:left="720" w:hanging="360"/>
      </w:pPr>
      <w:rPr>
        <w:rFonts w:ascii="Symbol" w:hAnsi="Symbol"/>
      </w:rPr>
    </w:lvl>
  </w:abstractNum>
  <w:abstractNum w:abstractNumId="8"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E5213E"/>
    <w:multiLevelType w:val="hybridMultilevel"/>
    <w:tmpl w:val="22AEE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790C72"/>
    <w:multiLevelType w:val="hybridMultilevel"/>
    <w:tmpl w:val="A6046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B2C72E7"/>
    <w:multiLevelType w:val="hybridMultilevel"/>
    <w:tmpl w:val="BCC2D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97789D"/>
    <w:multiLevelType w:val="hybridMultilevel"/>
    <w:tmpl w:val="D8CA7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70AA20"/>
    <w:multiLevelType w:val="multilevel"/>
    <w:tmpl w:val="EBE6785E"/>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008C887"/>
    <w:multiLevelType w:val="hybridMultilevel"/>
    <w:tmpl w:val="E6DE71D6"/>
    <w:lvl w:ilvl="0" w:tplc="97343C72">
      <w:start w:val="1"/>
      <w:numFmt w:val="bullet"/>
      <w:lvlText w:val="·"/>
      <w:lvlJc w:val="left"/>
      <w:pPr>
        <w:ind w:left="720" w:hanging="360"/>
      </w:pPr>
      <w:rPr>
        <w:rFonts w:ascii="Symbol" w:hAnsi="Symbol" w:hint="default"/>
      </w:rPr>
    </w:lvl>
    <w:lvl w:ilvl="1" w:tplc="57DE47C4">
      <w:start w:val="1"/>
      <w:numFmt w:val="bullet"/>
      <w:lvlText w:val="o"/>
      <w:lvlJc w:val="left"/>
      <w:pPr>
        <w:ind w:left="1440" w:hanging="360"/>
      </w:pPr>
      <w:rPr>
        <w:rFonts w:ascii="Courier New" w:hAnsi="Courier New" w:hint="default"/>
      </w:rPr>
    </w:lvl>
    <w:lvl w:ilvl="2" w:tplc="BD74935A">
      <w:start w:val="1"/>
      <w:numFmt w:val="bullet"/>
      <w:lvlText w:val=""/>
      <w:lvlJc w:val="left"/>
      <w:pPr>
        <w:ind w:left="2160" w:hanging="360"/>
      </w:pPr>
      <w:rPr>
        <w:rFonts w:ascii="Wingdings" w:hAnsi="Wingdings" w:hint="default"/>
      </w:rPr>
    </w:lvl>
    <w:lvl w:ilvl="3" w:tplc="77A80ABC">
      <w:start w:val="1"/>
      <w:numFmt w:val="bullet"/>
      <w:lvlText w:val=""/>
      <w:lvlJc w:val="left"/>
      <w:pPr>
        <w:ind w:left="2880" w:hanging="360"/>
      </w:pPr>
      <w:rPr>
        <w:rFonts w:ascii="Symbol" w:hAnsi="Symbol" w:hint="default"/>
      </w:rPr>
    </w:lvl>
    <w:lvl w:ilvl="4" w:tplc="1C568980">
      <w:start w:val="1"/>
      <w:numFmt w:val="bullet"/>
      <w:lvlText w:val="o"/>
      <w:lvlJc w:val="left"/>
      <w:pPr>
        <w:ind w:left="3600" w:hanging="360"/>
      </w:pPr>
      <w:rPr>
        <w:rFonts w:ascii="Courier New" w:hAnsi="Courier New" w:hint="default"/>
      </w:rPr>
    </w:lvl>
    <w:lvl w:ilvl="5" w:tplc="59EE6118">
      <w:start w:val="1"/>
      <w:numFmt w:val="bullet"/>
      <w:lvlText w:val=""/>
      <w:lvlJc w:val="left"/>
      <w:pPr>
        <w:ind w:left="4320" w:hanging="360"/>
      </w:pPr>
      <w:rPr>
        <w:rFonts w:ascii="Wingdings" w:hAnsi="Wingdings" w:hint="default"/>
      </w:rPr>
    </w:lvl>
    <w:lvl w:ilvl="6" w:tplc="756A0272">
      <w:start w:val="1"/>
      <w:numFmt w:val="bullet"/>
      <w:lvlText w:val=""/>
      <w:lvlJc w:val="left"/>
      <w:pPr>
        <w:ind w:left="5040" w:hanging="360"/>
      </w:pPr>
      <w:rPr>
        <w:rFonts w:ascii="Symbol" w:hAnsi="Symbol" w:hint="default"/>
      </w:rPr>
    </w:lvl>
    <w:lvl w:ilvl="7" w:tplc="1500EAEA">
      <w:start w:val="1"/>
      <w:numFmt w:val="bullet"/>
      <w:lvlText w:val="o"/>
      <w:lvlJc w:val="left"/>
      <w:pPr>
        <w:ind w:left="5760" w:hanging="360"/>
      </w:pPr>
      <w:rPr>
        <w:rFonts w:ascii="Courier New" w:hAnsi="Courier New" w:hint="default"/>
      </w:rPr>
    </w:lvl>
    <w:lvl w:ilvl="8" w:tplc="BBC02A82">
      <w:start w:val="1"/>
      <w:numFmt w:val="bullet"/>
      <w:lvlText w:val=""/>
      <w:lvlJc w:val="left"/>
      <w:pPr>
        <w:ind w:left="6480" w:hanging="360"/>
      </w:pPr>
      <w:rPr>
        <w:rFonts w:ascii="Wingdings" w:hAnsi="Wingdings" w:hint="default"/>
      </w:rPr>
    </w:lvl>
  </w:abstractNum>
  <w:abstractNum w:abstractNumId="17" w15:restartNumberingAfterBreak="0">
    <w:nsid w:val="30D94150"/>
    <w:multiLevelType w:val="hybridMultilevel"/>
    <w:tmpl w:val="C2E67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5872B8"/>
    <w:multiLevelType w:val="hybridMultilevel"/>
    <w:tmpl w:val="AC941D52"/>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9B6C70"/>
    <w:multiLevelType w:val="hybridMultilevel"/>
    <w:tmpl w:val="B958F4E6"/>
    <w:lvl w:ilvl="0" w:tplc="A426EFF8">
      <w:start w:val="1"/>
      <w:numFmt w:val="bullet"/>
      <w:pStyle w:val="NormalRedBullet"/>
      <w:lvlText w:val=""/>
      <w:lvlJc w:val="left"/>
      <w:pPr>
        <w:ind w:left="928" w:hanging="360"/>
      </w:pPr>
      <w:rPr>
        <w:rFonts w:ascii="Symbol" w:hAnsi="Symbol" w:hint="default"/>
        <w:color w:val="000000"/>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0" w15:restartNumberingAfterBreak="0">
    <w:nsid w:val="36163061"/>
    <w:multiLevelType w:val="hybridMultilevel"/>
    <w:tmpl w:val="8304A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B0413D"/>
    <w:multiLevelType w:val="hybridMultilevel"/>
    <w:tmpl w:val="1FD20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430A2AA5"/>
    <w:multiLevelType w:val="multilevel"/>
    <w:tmpl w:val="99CEF076"/>
    <w:lvl w:ilvl="0">
      <w:start w:val="1"/>
      <w:numFmt w:val="decimal"/>
      <w:pStyle w:val="Schedule1PACT"/>
      <w:lvlText w:val="Schedule %1."/>
      <w:lvlJc w:val="left"/>
      <w:pPr>
        <w:ind w:left="2835" w:hanging="2835"/>
      </w:pPr>
    </w:lvl>
    <w:lvl w:ilvl="1">
      <w:start w:val="1"/>
      <w:numFmt w:val="decimal"/>
      <w:pStyle w:val="1-PACT"/>
      <w:lvlText w:val="%2."/>
      <w:lvlJc w:val="left"/>
      <w:pPr>
        <w:ind w:left="1134" w:hanging="1134"/>
      </w:pPr>
    </w:lvl>
    <w:lvl w:ilvl="2">
      <w:start w:val="1"/>
      <w:numFmt w:val="decimal"/>
      <w:pStyle w:val="11-PACT"/>
      <w:lvlText w:val="%2.%3."/>
      <w:lvlJc w:val="left"/>
      <w:rPr>
        <w:b w:val="0"/>
        <w:bCs w:val="0"/>
        <w:i w:val="0"/>
        <w:iCs w:val="0"/>
        <w:caps w:val="0"/>
        <w:smallCaps w:val="0"/>
        <w:strike w:val="0"/>
        <w:dstrike w:val="0"/>
        <w:vanish w:val="0"/>
        <w:webHidden w:val="0"/>
        <w:color w:val="482D8C"/>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PACT"/>
      <w:lvlText w:val="%2.%3.%4."/>
      <w:lvlJc w:val="left"/>
      <w:pPr>
        <w:ind w:left="1134" w:hanging="1134"/>
      </w:pPr>
      <w:rPr>
        <w:strike w:val="0"/>
        <w:dstrike w:val="0"/>
        <w:color w:val="auto"/>
        <w:u w:val="none"/>
        <w:effect w:val="none"/>
      </w:rPr>
    </w:lvl>
    <w:lvl w:ilvl="4">
      <w:start w:val="1"/>
      <w:numFmt w:val="lowerLetter"/>
      <w:pStyle w:val="a-PACT"/>
      <w:lvlText w:val="(%5)"/>
      <w:lvlJc w:val="left"/>
      <w:pPr>
        <w:ind w:left="1701" w:hanging="567"/>
      </w:pPr>
      <w:rPr>
        <w:color w:val="auto"/>
      </w:rPr>
    </w:lvl>
    <w:lvl w:ilvl="5">
      <w:start w:val="1"/>
      <w:numFmt w:val="lowerRoman"/>
      <w:pStyle w:val="i-PACT"/>
      <w:lvlText w:val="%6."/>
      <w:lvlJc w:val="left"/>
      <w:pPr>
        <w:ind w:left="2268" w:hanging="567"/>
      </w:pPr>
    </w:lvl>
    <w:lvl w:ilvl="6">
      <w:start w:val="1"/>
      <w:numFmt w:val="decimal"/>
      <w:lvlText w:val="%1.%2.%3.%4.%5.%6.%7."/>
      <w:lvlJc w:val="left"/>
      <w:pPr>
        <w:ind w:left="2835" w:hanging="567"/>
      </w:pPr>
    </w:lvl>
    <w:lvl w:ilvl="7">
      <w:start w:val="1"/>
      <w:numFmt w:val="decimal"/>
      <w:lvlText w:val="%1.%2.%3.%4.%5.%6.%7.%8."/>
      <w:lvlJc w:val="left"/>
      <w:pPr>
        <w:ind w:left="3402" w:hanging="567"/>
      </w:pPr>
    </w:lvl>
    <w:lvl w:ilvl="8">
      <w:start w:val="1"/>
      <w:numFmt w:val="decimal"/>
      <w:lvlText w:val="%1.%2.%3.%4.%5.%6.%7.%8.%9."/>
      <w:lvlJc w:val="left"/>
      <w:pPr>
        <w:ind w:left="3969" w:hanging="567"/>
      </w:pPr>
    </w:lvl>
  </w:abstractNum>
  <w:abstractNum w:abstractNumId="25"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8E6639C"/>
    <w:multiLevelType w:val="hybridMultilevel"/>
    <w:tmpl w:val="58EE24A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7" w15:restartNumberingAfterBreak="0">
    <w:nsid w:val="4A2C4FC2"/>
    <w:multiLevelType w:val="hybridMultilevel"/>
    <w:tmpl w:val="F5AEA3CC"/>
    <w:lvl w:ilvl="0" w:tplc="44CE0BD4">
      <w:start w:val="1"/>
      <w:numFmt w:val="lowerLetter"/>
      <w:pStyle w:val="bulletalpha"/>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EC36766"/>
    <w:multiLevelType w:val="hybridMultilevel"/>
    <w:tmpl w:val="23A28782"/>
    <w:lvl w:ilvl="0" w:tplc="FA7ABF42">
      <w:start w:val="1"/>
      <w:numFmt w:val="bullet"/>
      <w:lvlText w:val=""/>
      <w:lvlJc w:val="left"/>
      <w:pPr>
        <w:ind w:left="720" w:hanging="360"/>
      </w:pPr>
      <w:rPr>
        <w:rFonts w:ascii="Symbol" w:hAnsi="Symbol"/>
      </w:rPr>
    </w:lvl>
    <w:lvl w:ilvl="1" w:tplc="D944A2E2">
      <w:start w:val="1"/>
      <w:numFmt w:val="bullet"/>
      <w:lvlText w:val=""/>
      <w:lvlJc w:val="left"/>
      <w:pPr>
        <w:ind w:left="720" w:hanging="360"/>
      </w:pPr>
      <w:rPr>
        <w:rFonts w:ascii="Symbol" w:hAnsi="Symbol"/>
      </w:rPr>
    </w:lvl>
    <w:lvl w:ilvl="2" w:tplc="650E3C38">
      <w:start w:val="1"/>
      <w:numFmt w:val="bullet"/>
      <w:lvlText w:val=""/>
      <w:lvlJc w:val="left"/>
      <w:pPr>
        <w:ind w:left="720" w:hanging="360"/>
      </w:pPr>
      <w:rPr>
        <w:rFonts w:ascii="Symbol" w:hAnsi="Symbol"/>
      </w:rPr>
    </w:lvl>
    <w:lvl w:ilvl="3" w:tplc="C22A51C8">
      <w:start w:val="1"/>
      <w:numFmt w:val="bullet"/>
      <w:lvlText w:val=""/>
      <w:lvlJc w:val="left"/>
      <w:pPr>
        <w:ind w:left="720" w:hanging="360"/>
      </w:pPr>
      <w:rPr>
        <w:rFonts w:ascii="Symbol" w:hAnsi="Symbol"/>
      </w:rPr>
    </w:lvl>
    <w:lvl w:ilvl="4" w:tplc="D40A1A84">
      <w:start w:val="1"/>
      <w:numFmt w:val="bullet"/>
      <w:lvlText w:val=""/>
      <w:lvlJc w:val="left"/>
      <w:pPr>
        <w:ind w:left="720" w:hanging="360"/>
      </w:pPr>
      <w:rPr>
        <w:rFonts w:ascii="Symbol" w:hAnsi="Symbol"/>
      </w:rPr>
    </w:lvl>
    <w:lvl w:ilvl="5" w:tplc="8C16A910">
      <w:start w:val="1"/>
      <w:numFmt w:val="bullet"/>
      <w:lvlText w:val=""/>
      <w:lvlJc w:val="left"/>
      <w:pPr>
        <w:ind w:left="720" w:hanging="360"/>
      </w:pPr>
      <w:rPr>
        <w:rFonts w:ascii="Symbol" w:hAnsi="Symbol"/>
      </w:rPr>
    </w:lvl>
    <w:lvl w:ilvl="6" w:tplc="3EAE17FC">
      <w:start w:val="1"/>
      <w:numFmt w:val="bullet"/>
      <w:lvlText w:val=""/>
      <w:lvlJc w:val="left"/>
      <w:pPr>
        <w:ind w:left="720" w:hanging="360"/>
      </w:pPr>
      <w:rPr>
        <w:rFonts w:ascii="Symbol" w:hAnsi="Symbol"/>
      </w:rPr>
    </w:lvl>
    <w:lvl w:ilvl="7" w:tplc="8EE0BB08">
      <w:start w:val="1"/>
      <w:numFmt w:val="bullet"/>
      <w:lvlText w:val=""/>
      <w:lvlJc w:val="left"/>
      <w:pPr>
        <w:ind w:left="720" w:hanging="360"/>
      </w:pPr>
      <w:rPr>
        <w:rFonts w:ascii="Symbol" w:hAnsi="Symbol"/>
      </w:rPr>
    </w:lvl>
    <w:lvl w:ilvl="8" w:tplc="9E36093A">
      <w:start w:val="1"/>
      <w:numFmt w:val="bullet"/>
      <w:lvlText w:val=""/>
      <w:lvlJc w:val="left"/>
      <w:pPr>
        <w:ind w:left="720" w:hanging="360"/>
      </w:pPr>
      <w:rPr>
        <w:rFonts w:ascii="Symbol" w:hAnsi="Symbol"/>
      </w:rPr>
    </w:lvl>
  </w:abstractNum>
  <w:abstractNum w:abstractNumId="29" w15:restartNumberingAfterBreak="0">
    <w:nsid w:val="50517343"/>
    <w:multiLevelType w:val="multilevel"/>
    <w:tmpl w:val="131EEC6C"/>
    <w:numStyleLink w:val="TableNumbers"/>
  </w:abstractNum>
  <w:abstractNum w:abstractNumId="30" w15:restartNumberingAfterBreak="0">
    <w:nsid w:val="50E12008"/>
    <w:multiLevelType w:val="multilevel"/>
    <w:tmpl w:val="57D26A18"/>
    <w:numStyleLink w:val="KCBullets"/>
  </w:abstractNum>
  <w:abstractNum w:abstractNumId="31"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396746F"/>
    <w:multiLevelType w:val="hybridMultilevel"/>
    <w:tmpl w:val="117AD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352A14"/>
    <w:multiLevelType w:val="hybridMultilevel"/>
    <w:tmpl w:val="EAC89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63048B"/>
    <w:multiLevelType w:val="multilevel"/>
    <w:tmpl w:val="C284D0B0"/>
    <w:numStyleLink w:val="FigureNumbers"/>
  </w:abstractNum>
  <w:abstractNum w:abstractNumId="36" w15:restartNumberingAfterBreak="0">
    <w:nsid w:val="561651FA"/>
    <w:multiLevelType w:val="hybridMultilevel"/>
    <w:tmpl w:val="A734F0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3A035D"/>
    <w:multiLevelType w:val="hybridMultilevel"/>
    <w:tmpl w:val="3CE69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895DDB"/>
    <w:multiLevelType w:val="hybridMultilevel"/>
    <w:tmpl w:val="EE2E0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2B3E9A"/>
    <w:multiLevelType w:val="hybridMultilevel"/>
    <w:tmpl w:val="E0BC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361257"/>
    <w:multiLevelType w:val="hybridMultilevel"/>
    <w:tmpl w:val="87D8D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C60B8F"/>
    <w:multiLevelType w:val="hybridMultilevel"/>
    <w:tmpl w:val="C01C7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977757"/>
    <w:multiLevelType w:val="hybridMultilevel"/>
    <w:tmpl w:val="448E6468"/>
    <w:lvl w:ilvl="0" w:tplc="5936FBD2">
      <w:start w:val="1"/>
      <w:numFmt w:val="bullet"/>
      <w:lvlText w:val=""/>
      <w:lvlJc w:val="left"/>
      <w:pPr>
        <w:ind w:left="1440" w:hanging="360"/>
      </w:pPr>
      <w:rPr>
        <w:rFonts w:ascii="Symbol" w:hAnsi="Symbol"/>
      </w:rPr>
    </w:lvl>
    <w:lvl w:ilvl="1" w:tplc="6D98EDF2">
      <w:start w:val="1"/>
      <w:numFmt w:val="bullet"/>
      <w:lvlText w:val=""/>
      <w:lvlJc w:val="left"/>
      <w:pPr>
        <w:ind w:left="1440" w:hanging="360"/>
      </w:pPr>
      <w:rPr>
        <w:rFonts w:ascii="Symbol" w:hAnsi="Symbol"/>
      </w:rPr>
    </w:lvl>
    <w:lvl w:ilvl="2" w:tplc="0D62CC78">
      <w:start w:val="1"/>
      <w:numFmt w:val="bullet"/>
      <w:lvlText w:val=""/>
      <w:lvlJc w:val="left"/>
      <w:pPr>
        <w:ind w:left="1440" w:hanging="360"/>
      </w:pPr>
      <w:rPr>
        <w:rFonts w:ascii="Symbol" w:hAnsi="Symbol"/>
      </w:rPr>
    </w:lvl>
    <w:lvl w:ilvl="3" w:tplc="BC7C7646">
      <w:start w:val="1"/>
      <w:numFmt w:val="bullet"/>
      <w:lvlText w:val=""/>
      <w:lvlJc w:val="left"/>
      <w:pPr>
        <w:ind w:left="1440" w:hanging="360"/>
      </w:pPr>
      <w:rPr>
        <w:rFonts w:ascii="Symbol" w:hAnsi="Symbol"/>
      </w:rPr>
    </w:lvl>
    <w:lvl w:ilvl="4" w:tplc="CBB454EC">
      <w:start w:val="1"/>
      <w:numFmt w:val="bullet"/>
      <w:lvlText w:val=""/>
      <w:lvlJc w:val="left"/>
      <w:pPr>
        <w:ind w:left="1440" w:hanging="360"/>
      </w:pPr>
      <w:rPr>
        <w:rFonts w:ascii="Symbol" w:hAnsi="Symbol"/>
      </w:rPr>
    </w:lvl>
    <w:lvl w:ilvl="5" w:tplc="5E9ABC7A">
      <w:start w:val="1"/>
      <w:numFmt w:val="bullet"/>
      <w:lvlText w:val=""/>
      <w:lvlJc w:val="left"/>
      <w:pPr>
        <w:ind w:left="1440" w:hanging="360"/>
      </w:pPr>
      <w:rPr>
        <w:rFonts w:ascii="Symbol" w:hAnsi="Symbol"/>
      </w:rPr>
    </w:lvl>
    <w:lvl w:ilvl="6" w:tplc="13866FA0">
      <w:start w:val="1"/>
      <w:numFmt w:val="bullet"/>
      <w:lvlText w:val=""/>
      <w:lvlJc w:val="left"/>
      <w:pPr>
        <w:ind w:left="1440" w:hanging="360"/>
      </w:pPr>
      <w:rPr>
        <w:rFonts w:ascii="Symbol" w:hAnsi="Symbol"/>
      </w:rPr>
    </w:lvl>
    <w:lvl w:ilvl="7" w:tplc="CCC06306">
      <w:start w:val="1"/>
      <w:numFmt w:val="bullet"/>
      <w:lvlText w:val=""/>
      <w:lvlJc w:val="left"/>
      <w:pPr>
        <w:ind w:left="1440" w:hanging="360"/>
      </w:pPr>
      <w:rPr>
        <w:rFonts w:ascii="Symbol" w:hAnsi="Symbol"/>
      </w:rPr>
    </w:lvl>
    <w:lvl w:ilvl="8" w:tplc="6FB60944">
      <w:start w:val="1"/>
      <w:numFmt w:val="bullet"/>
      <w:lvlText w:val=""/>
      <w:lvlJc w:val="left"/>
      <w:pPr>
        <w:ind w:left="1440" w:hanging="360"/>
      </w:pPr>
      <w:rPr>
        <w:rFonts w:ascii="Symbol" w:hAnsi="Symbol"/>
      </w:rPr>
    </w:lvl>
  </w:abstractNum>
  <w:abstractNum w:abstractNumId="43" w15:restartNumberingAfterBreak="0">
    <w:nsid w:val="6D702EA0"/>
    <w:multiLevelType w:val="hybridMultilevel"/>
    <w:tmpl w:val="F2C05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FEB50FA"/>
    <w:multiLevelType w:val="hybridMultilevel"/>
    <w:tmpl w:val="E10AF9D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6" w15:restartNumberingAfterBreak="0">
    <w:nsid w:val="78581C99"/>
    <w:multiLevelType w:val="hybridMultilevel"/>
    <w:tmpl w:val="AB8A5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3F264A"/>
    <w:multiLevelType w:val="hybridMultilevel"/>
    <w:tmpl w:val="17266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49" w15:restartNumberingAfterBreak="0">
    <w:nsid w:val="7EE26793"/>
    <w:multiLevelType w:val="hybridMultilevel"/>
    <w:tmpl w:val="975C17CA"/>
    <w:lvl w:ilvl="0" w:tplc="1BEA2334">
      <w:start w:val="1"/>
      <w:numFmt w:val="bullet"/>
      <w:lvlText w:val="•"/>
      <w:lvlJc w:val="left"/>
      <w:pPr>
        <w:tabs>
          <w:tab w:val="num" w:pos="720"/>
        </w:tabs>
        <w:ind w:left="720" w:hanging="360"/>
      </w:pPr>
      <w:rPr>
        <w:rFonts w:asciiTheme="minorHAnsi" w:hAnsiTheme="minorHAnsi" w:cstheme="minorHAnsi" w:hint="default"/>
      </w:rPr>
    </w:lvl>
    <w:lvl w:ilvl="1" w:tplc="9656F0D6" w:tentative="1">
      <w:start w:val="1"/>
      <w:numFmt w:val="bullet"/>
      <w:lvlText w:val="•"/>
      <w:lvlJc w:val="left"/>
      <w:pPr>
        <w:tabs>
          <w:tab w:val="num" w:pos="1440"/>
        </w:tabs>
        <w:ind w:left="1440" w:hanging="360"/>
      </w:pPr>
      <w:rPr>
        <w:rFonts w:ascii="Arial" w:hAnsi="Arial" w:hint="default"/>
      </w:rPr>
    </w:lvl>
    <w:lvl w:ilvl="2" w:tplc="F36880BA" w:tentative="1">
      <w:start w:val="1"/>
      <w:numFmt w:val="bullet"/>
      <w:lvlText w:val="•"/>
      <w:lvlJc w:val="left"/>
      <w:pPr>
        <w:tabs>
          <w:tab w:val="num" w:pos="2160"/>
        </w:tabs>
        <w:ind w:left="2160" w:hanging="360"/>
      </w:pPr>
      <w:rPr>
        <w:rFonts w:ascii="Arial" w:hAnsi="Arial" w:hint="default"/>
      </w:rPr>
    </w:lvl>
    <w:lvl w:ilvl="3" w:tplc="D30E552A" w:tentative="1">
      <w:start w:val="1"/>
      <w:numFmt w:val="bullet"/>
      <w:lvlText w:val="•"/>
      <w:lvlJc w:val="left"/>
      <w:pPr>
        <w:tabs>
          <w:tab w:val="num" w:pos="2880"/>
        </w:tabs>
        <w:ind w:left="2880" w:hanging="360"/>
      </w:pPr>
      <w:rPr>
        <w:rFonts w:ascii="Arial" w:hAnsi="Arial" w:hint="default"/>
      </w:rPr>
    </w:lvl>
    <w:lvl w:ilvl="4" w:tplc="C878279E" w:tentative="1">
      <w:start w:val="1"/>
      <w:numFmt w:val="bullet"/>
      <w:lvlText w:val="•"/>
      <w:lvlJc w:val="left"/>
      <w:pPr>
        <w:tabs>
          <w:tab w:val="num" w:pos="3600"/>
        </w:tabs>
        <w:ind w:left="3600" w:hanging="360"/>
      </w:pPr>
      <w:rPr>
        <w:rFonts w:ascii="Arial" w:hAnsi="Arial" w:hint="default"/>
      </w:rPr>
    </w:lvl>
    <w:lvl w:ilvl="5" w:tplc="4FCC9D16" w:tentative="1">
      <w:start w:val="1"/>
      <w:numFmt w:val="bullet"/>
      <w:lvlText w:val="•"/>
      <w:lvlJc w:val="left"/>
      <w:pPr>
        <w:tabs>
          <w:tab w:val="num" w:pos="4320"/>
        </w:tabs>
        <w:ind w:left="4320" w:hanging="360"/>
      </w:pPr>
      <w:rPr>
        <w:rFonts w:ascii="Arial" w:hAnsi="Arial" w:hint="default"/>
      </w:rPr>
    </w:lvl>
    <w:lvl w:ilvl="6" w:tplc="FCC6CF0E" w:tentative="1">
      <w:start w:val="1"/>
      <w:numFmt w:val="bullet"/>
      <w:lvlText w:val="•"/>
      <w:lvlJc w:val="left"/>
      <w:pPr>
        <w:tabs>
          <w:tab w:val="num" w:pos="5040"/>
        </w:tabs>
        <w:ind w:left="5040" w:hanging="360"/>
      </w:pPr>
      <w:rPr>
        <w:rFonts w:ascii="Arial" w:hAnsi="Arial" w:hint="default"/>
      </w:rPr>
    </w:lvl>
    <w:lvl w:ilvl="7" w:tplc="0652CB02" w:tentative="1">
      <w:start w:val="1"/>
      <w:numFmt w:val="bullet"/>
      <w:lvlText w:val="•"/>
      <w:lvlJc w:val="left"/>
      <w:pPr>
        <w:tabs>
          <w:tab w:val="num" w:pos="5760"/>
        </w:tabs>
        <w:ind w:left="5760" w:hanging="360"/>
      </w:pPr>
      <w:rPr>
        <w:rFonts w:ascii="Arial" w:hAnsi="Arial" w:hint="default"/>
      </w:rPr>
    </w:lvl>
    <w:lvl w:ilvl="8" w:tplc="9DCE882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EF54E54"/>
    <w:multiLevelType w:val="hybridMultilevel"/>
    <w:tmpl w:val="5BD43CAA"/>
    <w:lvl w:ilvl="0" w:tplc="AC2A5A4C">
      <w:start w:val="1"/>
      <w:numFmt w:val="bullet"/>
      <w:lvlText w:val="•"/>
      <w:lvlJc w:val="left"/>
      <w:pPr>
        <w:tabs>
          <w:tab w:val="num" w:pos="720"/>
        </w:tabs>
        <w:ind w:left="720" w:hanging="360"/>
      </w:pPr>
      <w:rPr>
        <w:rFonts w:ascii="Arial" w:hAnsi="Arial" w:hint="default"/>
      </w:rPr>
    </w:lvl>
    <w:lvl w:ilvl="1" w:tplc="80E2C256" w:tentative="1">
      <w:start w:val="1"/>
      <w:numFmt w:val="bullet"/>
      <w:lvlText w:val="•"/>
      <w:lvlJc w:val="left"/>
      <w:pPr>
        <w:tabs>
          <w:tab w:val="num" w:pos="1440"/>
        </w:tabs>
        <w:ind w:left="1440" w:hanging="360"/>
      </w:pPr>
      <w:rPr>
        <w:rFonts w:ascii="Arial" w:hAnsi="Arial" w:hint="default"/>
      </w:rPr>
    </w:lvl>
    <w:lvl w:ilvl="2" w:tplc="EF764ABE" w:tentative="1">
      <w:start w:val="1"/>
      <w:numFmt w:val="bullet"/>
      <w:lvlText w:val="•"/>
      <w:lvlJc w:val="left"/>
      <w:pPr>
        <w:tabs>
          <w:tab w:val="num" w:pos="2160"/>
        </w:tabs>
        <w:ind w:left="2160" w:hanging="360"/>
      </w:pPr>
      <w:rPr>
        <w:rFonts w:ascii="Arial" w:hAnsi="Arial" w:hint="default"/>
      </w:rPr>
    </w:lvl>
    <w:lvl w:ilvl="3" w:tplc="BF2C9EAC" w:tentative="1">
      <w:start w:val="1"/>
      <w:numFmt w:val="bullet"/>
      <w:lvlText w:val="•"/>
      <w:lvlJc w:val="left"/>
      <w:pPr>
        <w:tabs>
          <w:tab w:val="num" w:pos="2880"/>
        </w:tabs>
        <w:ind w:left="2880" w:hanging="360"/>
      </w:pPr>
      <w:rPr>
        <w:rFonts w:ascii="Arial" w:hAnsi="Arial" w:hint="default"/>
      </w:rPr>
    </w:lvl>
    <w:lvl w:ilvl="4" w:tplc="B95EBABA" w:tentative="1">
      <w:start w:val="1"/>
      <w:numFmt w:val="bullet"/>
      <w:lvlText w:val="•"/>
      <w:lvlJc w:val="left"/>
      <w:pPr>
        <w:tabs>
          <w:tab w:val="num" w:pos="3600"/>
        </w:tabs>
        <w:ind w:left="3600" w:hanging="360"/>
      </w:pPr>
      <w:rPr>
        <w:rFonts w:ascii="Arial" w:hAnsi="Arial" w:hint="default"/>
      </w:rPr>
    </w:lvl>
    <w:lvl w:ilvl="5" w:tplc="2B26CA9E" w:tentative="1">
      <w:start w:val="1"/>
      <w:numFmt w:val="bullet"/>
      <w:lvlText w:val="•"/>
      <w:lvlJc w:val="left"/>
      <w:pPr>
        <w:tabs>
          <w:tab w:val="num" w:pos="4320"/>
        </w:tabs>
        <w:ind w:left="4320" w:hanging="360"/>
      </w:pPr>
      <w:rPr>
        <w:rFonts w:ascii="Arial" w:hAnsi="Arial" w:hint="default"/>
      </w:rPr>
    </w:lvl>
    <w:lvl w:ilvl="6" w:tplc="83FA9AAE" w:tentative="1">
      <w:start w:val="1"/>
      <w:numFmt w:val="bullet"/>
      <w:lvlText w:val="•"/>
      <w:lvlJc w:val="left"/>
      <w:pPr>
        <w:tabs>
          <w:tab w:val="num" w:pos="5040"/>
        </w:tabs>
        <w:ind w:left="5040" w:hanging="360"/>
      </w:pPr>
      <w:rPr>
        <w:rFonts w:ascii="Arial" w:hAnsi="Arial" w:hint="default"/>
      </w:rPr>
    </w:lvl>
    <w:lvl w:ilvl="7" w:tplc="91BC782A" w:tentative="1">
      <w:start w:val="1"/>
      <w:numFmt w:val="bullet"/>
      <w:lvlText w:val="•"/>
      <w:lvlJc w:val="left"/>
      <w:pPr>
        <w:tabs>
          <w:tab w:val="num" w:pos="5760"/>
        </w:tabs>
        <w:ind w:left="5760" w:hanging="360"/>
      </w:pPr>
      <w:rPr>
        <w:rFonts w:ascii="Arial" w:hAnsi="Arial" w:hint="default"/>
      </w:rPr>
    </w:lvl>
    <w:lvl w:ilvl="8" w:tplc="7CC40D0C" w:tentative="1">
      <w:start w:val="1"/>
      <w:numFmt w:val="bullet"/>
      <w:lvlText w:val="•"/>
      <w:lvlJc w:val="left"/>
      <w:pPr>
        <w:tabs>
          <w:tab w:val="num" w:pos="6480"/>
        </w:tabs>
        <w:ind w:left="6480" w:hanging="360"/>
      </w:pPr>
      <w:rPr>
        <w:rFonts w:ascii="Arial" w:hAnsi="Arial" w:hint="default"/>
      </w:rPr>
    </w:lvl>
  </w:abstractNum>
  <w:num w:numId="1" w16cid:durableId="1375735923">
    <w:abstractNumId w:val="12"/>
  </w:num>
  <w:num w:numId="2" w16cid:durableId="540099102">
    <w:abstractNumId w:val="25"/>
  </w:num>
  <w:num w:numId="3" w16cid:durableId="931165910">
    <w:abstractNumId w:val="44"/>
  </w:num>
  <w:num w:numId="4" w16cid:durableId="538129790">
    <w:abstractNumId w:val="48"/>
  </w:num>
  <w:num w:numId="5" w16cid:durableId="756554858">
    <w:abstractNumId w:val="5"/>
  </w:num>
  <w:num w:numId="6" w16cid:durableId="1148398259">
    <w:abstractNumId w:val="30"/>
  </w:num>
  <w:num w:numId="7" w16cid:durableId="1737975280">
    <w:abstractNumId w:val="27"/>
  </w:num>
  <w:num w:numId="8" w16cid:durableId="101148886">
    <w:abstractNumId w:val="22"/>
  </w:num>
  <w:num w:numId="9" w16cid:durableId="759791494">
    <w:abstractNumId w:val="23"/>
  </w:num>
  <w:num w:numId="10" w16cid:durableId="735510749">
    <w:abstractNumId w:val="8"/>
  </w:num>
  <w:num w:numId="11" w16cid:durableId="1332878417">
    <w:abstractNumId w:val="35"/>
  </w:num>
  <w:num w:numId="12" w16cid:durableId="1513252963">
    <w:abstractNumId w:val="32"/>
  </w:num>
  <w:num w:numId="13" w16cid:durableId="1142888030">
    <w:abstractNumId w:val="9"/>
  </w:num>
  <w:num w:numId="14" w16cid:durableId="1852141077">
    <w:abstractNumId w:val="29"/>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2122068688">
    <w:abstractNumId w:val="0"/>
  </w:num>
  <w:num w:numId="16" w16cid:durableId="773210211">
    <w:abstractNumId w:val="31"/>
  </w:num>
  <w:num w:numId="17" w16cid:durableId="1518495968">
    <w:abstractNumId w:val="19"/>
  </w:num>
  <w:num w:numId="18" w16cid:durableId="1866358179">
    <w:abstractNumId w:val="6"/>
  </w:num>
  <w:num w:numId="19" w16cid:durableId="1350698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0592083">
    <w:abstractNumId w:val="18"/>
  </w:num>
  <w:num w:numId="21" w16cid:durableId="819343408">
    <w:abstractNumId w:val="45"/>
  </w:num>
  <w:num w:numId="22" w16cid:durableId="2003198280">
    <w:abstractNumId w:val="20"/>
  </w:num>
  <w:num w:numId="23" w16cid:durableId="1448542613">
    <w:abstractNumId w:val="2"/>
  </w:num>
  <w:num w:numId="24" w16cid:durableId="1656447499">
    <w:abstractNumId w:val="34"/>
  </w:num>
  <w:num w:numId="25" w16cid:durableId="2128891087">
    <w:abstractNumId w:val="14"/>
  </w:num>
  <w:num w:numId="26" w16cid:durableId="1547185116">
    <w:abstractNumId w:val="39"/>
  </w:num>
  <w:num w:numId="27" w16cid:durableId="1267469806">
    <w:abstractNumId w:val="4"/>
  </w:num>
  <w:num w:numId="28" w16cid:durableId="1508714113">
    <w:abstractNumId w:val="33"/>
  </w:num>
  <w:num w:numId="29" w16cid:durableId="1811751378">
    <w:abstractNumId w:val="17"/>
  </w:num>
  <w:num w:numId="30" w16cid:durableId="534006223">
    <w:abstractNumId w:val="40"/>
  </w:num>
  <w:num w:numId="31" w16cid:durableId="163983046">
    <w:abstractNumId w:val="36"/>
  </w:num>
  <w:num w:numId="32" w16cid:durableId="744884215">
    <w:abstractNumId w:val="10"/>
  </w:num>
  <w:num w:numId="33" w16cid:durableId="338386674">
    <w:abstractNumId w:val="13"/>
  </w:num>
  <w:num w:numId="34" w16cid:durableId="1543250613">
    <w:abstractNumId w:val="41"/>
  </w:num>
  <w:num w:numId="35" w16cid:durableId="1451319524">
    <w:abstractNumId w:val="1"/>
  </w:num>
  <w:num w:numId="36" w16cid:durableId="1341660313">
    <w:abstractNumId w:val="21"/>
  </w:num>
  <w:num w:numId="37" w16cid:durableId="109944420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6252144">
    <w:abstractNumId w:val="49"/>
  </w:num>
  <w:num w:numId="39" w16cid:durableId="1470711008">
    <w:abstractNumId w:val="37"/>
  </w:num>
  <w:num w:numId="40" w16cid:durableId="2044940693">
    <w:abstractNumId w:val="50"/>
  </w:num>
  <w:num w:numId="41" w16cid:durableId="410350287">
    <w:abstractNumId w:val="26"/>
  </w:num>
  <w:num w:numId="42" w16cid:durableId="473108945">
    <w:abstractNumId w:val="16"/>
  </w:num>
  <w:num w:numId="43" w16cid:durableId="633877139">
    <w:abstractNumId w:val="46"/>
  </w:num>
  <w:num w:numId="44" w16cid:durableId="72166713">
    <w:abstractNumId w:val="11"/>
  </w:num>
  <w:num w:numId="45" w16cid:durableId="2110739415">
    <w:abstractNumId w:val="7"/>
  </w:num>
  <w:num w:numId="46" w16cid:durableId="362681472">
    <w:abstractNumId w:val="42"/>
  </w:num>
  <w:num w:numId="47" w16cid:durableId="503324638">
    <w:abstractNumId w:val="3"/>
  </w:num>
  <w:num w:numId="48" w16cid:durableId="781725273">
    <w:abstractNumId w:val="28"/>
  </w:num>
  <w:num w:numId="49" w16cid:durableId="1280916812">
    <w:abstractNumId w:val="38"/>
  </w:num>
  <w:num w:numId="50" w16cid:durableId="2106538551">
    <w:abstractNumId w:val="47"/>
  </w:num>
  <w:num w:numId="51" w16cid:durableId="354234659">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159F"/>
    <w:rsid w:val="00001ADB"/>
    <w:rsid w:val="00002039"/>
    <w:rsid w:val="00002A83"/>
    <w:rsid w:val="00002AF7"/>
    <w:rsid w:val="00002E80"/>
    <w:rsid w:val="00003D0C"/>
    <w:rsid w:val="000050E8"/>
    <w:rsid w:val="00005649"/>
    <w:rsid w:val="000067E5"/>
    <w:rsid w:val="00006FFC"/>
    <w:rsid w:val="000076A1"/>
    <w:rsid w:val="00007851"/>
    <w:rsid w:val="0001033F"/>
    <w:rsid w:val="00010B7B"/>
    <w:rsid w:val="00010E87"/>
    <w:rsid w:val="00011180"/>
    <w:rsid w:val="00012E46"/>
    <w:rsid w:val="000131D6"/>
    <w:rsid w:val="00013E34"/>
    <w:rsid w:val="00014177"/>
    <w:rsid w:val="000144C3"/>
    <w:rsid w:val="000148A1"/>
    <w:rsid w:val="00015E1E"/>
    <w:rsid w:val="000166E2"/>
    <w:rsid w:val="00017997"/>
    <w:rsid w:val="00017DFF"/>
    <w:rsid w:val="00021259"/>
    <w:rsid w:val="00021AAF"/>
    <w:rsid w:val="00021C1A"/>
    <w:rsid w:val="00023E75"/>
    <w:rsid w:val="00024D12"/>
    <w:rsid w:val="00024DB8"/>
    <w:rsid w:val="00025CB4"/>
    <w:rsid w:val="000263DA"/>
    <w:rsid w:val="00026629"/>
    <w:rsid w:val="000271B3"/>
    <w:rsid w:val="00030ECD"/>
    <w:rsid w:val="00030F0F"/>
    <w:rsid w:val="00031D19"/>
    <w:rsid w:val="00032D9C"/>
    <w:rsid w:val="00032E1E"/>
    <w:rsid w:val="00033095"/>
    <w:rsid w:val="00033B8B"/>
    <w:rsid w:val="000340D4"/>
    <w:rsid w:val="00034451"/>
    <w:rsid w:val="000345C7"/>
    <w:rsid w:val="00034F4F"/>
    <w:rsid w:val="000362FC"/>
    <w:rsid w:val="00036E8E"/>
    <w:rsid w:val="00036FBB"/>
    <w:rsid w:val="000372C7"/>
    <w:rsid w:val="000409CC"/>
    <w:rsid w:val="00040CDC"/>
    <w:rsid w:val="00041229"/>
    <w:rsid w:val="000413BD"/>
    <w:rsid w:val="00041845"/>
    <w:rsid w:val="00042315"/>
    <w:rsid w:val="000439B9"/>
    <w:rsid w:val="00043F77"/>
    <w:rsid w:val="000442CB"/>
    <w:rsid w:val="000459F7"/>
    <w:rsid w:val="00045E14"/>
    <w:rsid w:val="00046334"/>
    <w:rsid w:val="0004651A"/>
    <w:rsid w:val="000466F5"/>
    <w:rsid w:val="000468A5"/>
    <w:rsid w:val="00046C7E"/>
    <w:rsid w:val="00047A2F"/>
    <w:rsid w:val="00047C8F"/>
    <w:rsid w:val="000500B6"/>
    <w:rsid w:val="00050573"/>
    <w:rsid w:val="00050E3C"/>
    <w:rsid w:val="00051BE5"/>
    <w:rsid w:val="0005202D"/>
    <w:rsid w:val="000526BC"/>
    <w:rsid w:val="00052AEC"/>
    <w:rsid w:val="00052B2A"/>
    <w:rsid w:val="00052CE2"/>
    <w:rsid w:val="00052E3C"/>
    <w:rsid w:val="00053391"/>
    <w:rsid w:val="000540F8"/>
    <w:rsid w:val="0005427C"/>
    <w:rsid w:val="00055597"/>
    <w:rsid w:val="00056989"/>
    <w:rsid w:val="000605C9"/>
    <w:rsid w:val="00060883"/>
    <w:rsid w:val="00061209"/>
    <w:rsid w:val="00061CB7"/>
    <w:rsid w:val="00062086"/>
    <w:rsid w:val="00062DD0"/>
    <w:rsid w:val="00062E5E"/>
    <w:rsid w:val="00062FC3"/>
    <w:rsid w:val="00063F53"/>
    <w:rsid w:val="000645C1"/>
    <w:rsid w:val="000648BE"/>
    <w:rsid w:val="00067AB9"/>
    <w:rsid w:val="00067E3F"/>
    <w:rsid w:val="00067F06"/>
    <w:rsid w:val="00067FA8"/>
    <w:rsid w:val="00070352"/>
    <w:rsid w:val="00070C45"/>
    <w:rsid w:val="00070E8E"/>
    <w:rsid w:val="000730D0"/>
    <w:rsid w:val="000741A9"/>
    <w:rsid w:val="000759DE"/>
    <w:rsid w:val="00075A93"/>
    <w:rsid w:val="00075EFB"/>
    <w:rsid w:val="00076965"/>
    <w:rsid w:val="000772E8"/>
    <w:rsid w:val="00080696"/>
    <w:rsid w:val="00080A08"/>
    <w:rsid w:val="00080BE0"/>
    <w:rsid w:val="000815FE"/>
    <w:rsid w:val="00081FA1"/>
    <w:rsid w:val="00082C1E"/>
    <w:rsid w:val="00083578"/>
    <w:rsid w:val="00085C2A"/>
    <w:rsid w:val="00086E0F"/>
    <w:rsid w:val="00090659"/>
    <w:rsid w:val="00091544"/>
    <w:rsid w:val="000916F1"/>
    <w:rsid w:val="00092792"/>
    <w:rsid w:val="00093948"/>
    <w:rsid w:val="000945FC"/>
    <w:rsid w:val="00095583"/>
    <w:rsid w:val="00096F95"/>
    <w:rsid w:val="000977F2"/>
    <w:rsid w:val="000A1179"/>
    <w:rsid w:val="000A220D"/>
    <w:rsid w:val="000A2753"/>
    <w:rsid w:val="000A2B15"/>
    <w:rsid w:val="000A31F3"/>
    <w:rsid w:val="000A5858"/>
    <w:rsid w:val="000A6F7E"/>
    <w:rsid w:val="000B0550"/>
    <w:rsid w:val="000B192F"/>
    <w:rsid w:val="000B2922"/>
    <w:rsid w:val="000B357A"/>
    <w:rsid w:val="000B359C"/>
    <w:rsid w:val="000B370B"/>
    <w:rsid w:val="000B416C"/>
    <w:rsid w:val="000B429E"/>
    <w:rsid w:val="000B4826"/>
    <w:rsid w:val="000B48A7"/>
    <w:rsid w:val="000B5A89"/>
    <w:rsid w:val="000B64FF"/>
    <w:rsid w:val="000B7423"/>
    <w:rsid w:val="000B7555"/>
    <w:rsid w:val="000B76FE"/>
    <w:rsid w:val="000B79ED"/>
    <w:rsid w:val="000C124F"/>
    <w:rsid w:val="000C1FBD"/>
    <w:rsid w:val="000C3526"/>
    <w:rsid w:val="000C4ADE"/>
    <w:rsid w:val="000C4BB0"/>
    <w:rsid w:val="000C68A5"/>
    <w:rsid w:val="000C6941"/>
    <w:rsid w:val="000D1DEB"/>
    <w:rsid w:val="000D2CD2"/>
    <w:rsid w:val="000D3642"/>
    <w:rsid w:val="000D3DE7"/>
    <w:rsid w:val="000D409C"/>
    <w:rsid w:val="000D473E"/>
    <w:rsid w:val="000D4F51"/>
    <w:rsid w:val="000D5635"/>
    <w:rsid w:val="000D64AA"/>
    <w:rsid w:val="000D7B2A"/>
    <w:rsid w:val="000E01B8"/>
    <w:rsid w:val="000E11E7"/>
    <w:rsid w:val="000E1DA8"/>
    <w:rsid w:val="000E2696"/>
    <w:rsid w:val="000E35A9"/>
    <w:rsid w:val="000E468E"/>
    <w:rsid w:val="000E523B"/>
    <w:rsid w:val="000E6B4A"/>
    <w:rsid w:val="000E7C6A"/>
    <w:rsid w:val="000F0746"/>
    <w:rsid w:val="000F09BA"/>
    <w:rsid w:val="000F0AEE"/>
    <w:rsid w:val="000F1369"/>
    <w:rsid w:val="000F17E5"/>
    <w:rsid w:val="000F3013"/>
    <w:rsid w:val="000F3C70"/>
    <w:rsid w:val="000F489D"/>
    <w:rsid w:val="000F48E3"/>
    <w:rsid w:val="000F4DD8"/>
    <w:rsid w:val="000F58E3"/>
    <w:rsid w:val="000F6C81"/>
    <w:rsid w:val="000F7076"/>
    <w:rsid w:val="000F71EC"/>
    <w:rsid w:val="000F7454"/>
    <w:rsid w:val="00100416"/>
    <w:rsid w:val="0010086E"/>
    <w:rsid w:val="00101998"/>
    <w:rsid w:val="001037B5"/>
    <w:rsid w:val="00103C68"/>
    <w:rsid w:val="00104DE7"/>
    <w:rsid w:val="0010655A"/>
    <w:rsid w:val="0010774F"/>
    <w:rsid w:val="00107E3D"/>
    <w:rsid w:val="0011082B"/>
    <w:rsid w:val="00110BF1"/>
    <w:rsid w:val="00111240"/>
    <w:rsid w:val="00111BC1"/>
    <w:rsid w:val="0011294A"/>
    <w:rsid w:val="00112A3D"/>
    <w:rsid w:val="00112D92"/>
    <w:rsid w:val="00113240"/>
    <w:rsid w:val="00113279"/>
    <w:rsid w:val="00113337"/>
    <w:rsid w:val="0011424F"/>
    <w:rsid w:val="00114802"/>
    <w:rsid w:val="00115656"/>
    <w:rsid w:val="00116A4B"/>
    <w:rsid w:val="001170C1"/>
    <w:rsid w:val="00117BA7"/>
    <w:rsid w:val="001202BC"/>
    <w:rsid w:val="0012032B"/>
    <w:rsid w:val="00120DB6"/>
    <w:rsid w:val="00121394"/>
    <w:rsid w:val="001221C2"/>
    <w:rsid w:val="00122B4D"/>
    <w:rsid w:val="0012331A"/>
    <w:rsid w:val="00124E7E"/>
    <w:rsid w:val="00125E59"/>
    <w:rsid w:val="00126A84"/>
    <w:rsid w:val="001274ED"/>
    <w:rsid w:val="00133032"/>
    <w:rsid w:val="0013371E"/>
    <w:rsid w:val="00135776"/>
    <w:rsid w:val="001360BF"/>
    <w:rsid w:val="00137F41"/>
    <w:rsid w:val="0014025B"/>
    <w:rsid w:val="00140309"/>
    <w:rsid w:val="00140E07"/>
    <w:rsid w:val="00140E63"/>
    <w:rsid w:val="001411B2"/>
    <w:rsid w:val="00142DD8"/>
    <w:rsid w:val="00143804"/>
    <w:rsid w:val="001439AD"/>
    <w:rsid w:val="00143EE8"/>
    <w:rsid w:val="00144046"/>
    <w:rsid w:val="001456B1"/>
    <w:rsid w:val="00145CB6"/>
    <w:rsid w:val="0014636D"/>
    <w:rsid w:val="001464A9"/>
    <w:rsid w:val="00146D8C"/>
    <w:rsid w:val="00147183"/>
    <w:rsid w:val="00147648"/>
    <w:rsid w:val="00147A4B"/>
    <w:rsid w:val="00147C4F"/>
    <w:rsid w:val="00147CA5"/>
    <w:rsid w:val="001509FD"/>
    <w:rsid w:val="00152127"/>
    <w:rsid w:val="00152710"/>
    <w:rsid w:val="00153D8C"/>
    <w:rsid w:val="001569D0"/>
    <w:rsid w:val="0016024F"/>
    <w:rsid w:val="00160261"/>
    <w:rsid w:val="00161498"/>
    <w:rsid w:val="00161B06"/>
    <w:rsid w:val="001622A2"/>
    <w:rsid w:val="001628EB"/>
    <w:rsid w:val="0016479D"/>
    <w:rsid w:val="001659C3"/>
    <w:rsid w:val="00165D31"/>
    <w:rsid w:val="00170479"/>
    <w:rsid w:val="001719C7"/>
    <w:rsid w:val="0017200A"/>
    <w:rsid w:val="00172373"/>
    <w:rsid w:val="001723F7"/>
    <w:rsid w:val="00172DB1"/>
    <w:rsid w:val="00173CB1"/>
    <w:rsid w:val="00177898"/>
    <w:rsid w:val="00177AC2"/>
    <w:rsid w:val="00177F8C"/>
    <w:rsid w:val="001818EE"/>
    <w:rsid w:val="00182264"/>
    <w:rsid w:val="00182F29"/>
    <w:rsid w:val="00183801"/>
    <w:rsid w:val="00183FC6"/>
    <w:rsid w:val="00184031"/>
    <w:rsid w:val="0018551C"/>
    <w:rsid w:val="00185CCE"/>
    <w:rsid w:val="00185E51"/>
    <w:rsid w:val="00185F8A"/>
    <w:rsid w:val="00185FE1"/>
    <w:rsid w:val="00186490"/>
    <w:rsid w:val="001864C2"/>
    <w:rsid w:val="001868B5"/>
    <w:rsid w:val="0018790B"/>
    <w:rsid w:val="001901D6"/>
    <w:rsid w:val="001901D9"/>
    <w:rsid w:val="0019032A"/>
    <w:rsid w:val="00190528"/>
    <w:rsid w:val="001924A1"/>
    <w:rsid w:val="0019326D"/>
    <w:rsid w:val="00193541"/>
    <w:rsid w:val="00193E30"/>
    <w:rsid w:val="001947A9"/>
    <w:rsid w:val="00194CB6"/>
    <w:rsid w:val="00194E70"/>
    <w:rsid w:val="00195BBE"/>
    <w:rsid w:val="00195E7B"/>
    <w:rsid w:val="001969CD"/>
    <w:rsid w:val="001973E6"/>
    <w:rsid w:val="0019743A"/>
    <w:rsid w:val="001978C0"/>
    <w:rsid w:val="00197A1B"/>
    <w:rsid w:val="00197BD2"/>
    <w:rsid w:val="001A01AF"/>
    <w:rsid w:val="001A0DEF"/>
    <w:rsid w:val="001A25DD"/>
    <w:rsid w:val="001A2FC3"/>
    <w:rsid w:val="001A35F7"/>
    <w:rsid w:val="001A5575"/>
    <w:rsid w:val="001A6487"/>
    <w:rsid w:val="001A7172"/>
    <w:rsid w:val="001A7D21"/>
    <w:rsid w:val="001B0DA3"/>
    <w:rsid w:val="001B27BD"/>
    <w:rsid w:val="001B2D33"/>
    <w:rsid w:val="001B36CF"/>
    <w:rsid w:val="001B3B10"/>
    <w:rsid w:val="001B3BD0"/>
    <w:rsid w:val="001B4763"/>
    <w:rsid w:val="001B5152"/>
    <w:rsid w:val="001B5B9D"/>
    <w:rsid w:val="001B69E5"/>
    <w:rsid w:val="001B6B20"/>
    <w:rsid w:val="001B6E8E"/>
    <w:rsid w:val="001C0082"/>
    <w:rsid w:val="001C36FD"/>
    <w:rsid w:val="001C3A3A"/>
    <w:rsid w:val="001C3B1B"/>
    <w:rsid w:val="001C42C8"/>
    <w:rsid w:val="001C5977"/>
    <w:rsid w:val="001D0003"/>
    <w:rsid w:val="001D03E6"/>
    <w:rsid w:val="001D07AC"/>
    <w:rsid w:val="001D0CB2"/>
    <w:rsid w:val="001D3D70"/>
    <w:rsid w:val="001D468F"/>
    <w:rsid w:val="001D47FB"/>
    <w:rsid w:val="001E00FC"/>
    <w:rsid w:val="001E0980"/>
    <w:rsid w:val="001E0C4D"/>
    <w:rsid w:val="001E0F16"/>
    <w:rsid w:val="001E174B"/>
    <w:rsid w:val="001E25F8"/>
    <w:rsid w:val="001E2685"/>
    <w:rsid w:val="001E2F4F"/>
    <w:rsid w:val="001E339E"/>
    <w:rsid w:val="001E3B0B"/>
    <w:rsid w:val="001E3F78"/>
    <w:rsid w:val="001E45A3"/>
    <w:rsid w:val="001E6D0F"/>
    <w:rsid w:val="001E6F68"/>
    <w:rsid w:val="001F14CD"/>
    <w:rsid w:val="001F2516"/>
    <w:rsid w:val="001F253E"/>
    <w:rsid w:val="001F2765"/>
    <w:rsid w:val="001F2E16"/>
    <w:rsid w:val="001F2EBF"/>
    <w:rsid w:val="001F38B3"/>
    <w:rsid w:val="001F49D0"/>
    <w:rsid w:val="001F4CEB"/>
    <w:rsid w:val="001F5368"/>
    <w:rsid w:val="001F5A1E"/>
    <w:rsid w:val="001F63D3"/>
    <w:rsid w:val="001F7264"/>
    <w:rsid w:val="00200493"/>
    <w:rsid w:val="00202375"/>
    <w:rsid w:val="00203A38"/>
    <w:rsid w:val="00204218"/>
    <w:rsid w:val="002045BD"/>
    <w:rsid w:val="002068FA"/>
    <w:rsid w:val="00206AF0"/>
    <w:rsid w:val="0020700F"/>
    <w:rsid w:val="00207295"/>
    <w:rsid w:val="0020760C"/>
    <w:rsid w:val="002102FC"/>
    <w:rsid w:val="002119BD"/>
    <w:rsid w:val="00212FE1"/>
    <w:rsid w:val="00214202"/>
    <w:rsid w:val="00214621"/>
    <w:rsid w:val="002147BD"/>
    <w:rsid w:val="00214C52"/>
    <w:rsid w:val="002151D4"/>
    <w:rsid w:val="00216914"/>
    <w:rsid w:val="00216B20"/>
    <w:rsid w:val="002170BB"/>
    <w:rsid w:val="00221A05"/>
    <w:rsid w:val="00221F08"/>
    <w:rsid w:val="002220C0"/>
    <w:rsid w:val="0022284A"/>
    <w:rsid w:val="00222B9C"/>
    <w:rsid w:val="00222C35"/>
    <w:rsid w:val="002246A4"/>
    <w:rsid w:val="00224A6B"/>
    <w:rsid w:val="00225168"/>
    <w:rsid w:val="00225D81"/>
    <w:rsid w:val="00226AD9"/>
    <w:rsid w:val="00226D92"/>
    <w:rsid w:val="00227283"/>
    <w:rsid w:val="00227B0D"/>
    <w:rsid w:val="00227DEA"/>
    <w:rsid w:val="0023064E"/>
    <w:rsid w:val="00232D72"/>
    <w:rsid w:val="002405B6"/>
    <w:rsid w:val="002419E0"/>
    <w:rsid w:val="00241BBF"/>
    <w:rsid w:val="00241ECE"/>
    <w:rsid w:val="00242303"/>
    <w:rsid w:val="00243ACF"/>
    <w:rsid w:val="00243D77"/>
    <w:rsid w:val="00243DFE"/>
    <w:rsid w:val="002455C8"/>
    <w:rsid w:val="00245622"/>
    <w:rsid w:val="002456B4"/>
    <w:rsid w:val="00245E79"/>
    <w:rsid w:val="00246103"/>
    <w:rsid w:val="00251085"/>
    <w:rsid w:val="00251498"/>
    <w:rsid w:val="002519BD"/>
    <w:rsid w:val="00252752"/>
    <w:rsid w:val="002527AF"/>
    <w:rsid w:val="0025346C"/>
    <w:rsid w:val="00253ACB"/>
    <w:rsid w:val="00253F8F"/>
    <w:rsid w:val="00254EE3"/>
    <w:rsid w:val="002554E3"/>
    <w:rsid w:val="0025564E"/>
    <w:rsid w:val="00255B17"/>
    <w:rsid w:val="00256159"/>
    <w:rsid w:val="002568DB"/>
    <w:rsid w:val="0025714D"/>
    <w:rsid w:val="00257E4B"/>
    <w:rsid w:val="00260282"/>
    <w:rsid w:val="0026242D"/>
    <w:rsid w:val="002633BF"/>
    <w:rsid w:val="00264497"/>
    <w:rsid w:val="0026458F"/>
    <w:rsid w:val="00264A17"/>
    <w:rsid w:val="00266C4A"/>
    <w:rsid w:val="00270AB0"/>
    <w:rsid w:val="00272E11"/>
    <w:rsid w:val="00273E35"/>
    <w:rsid w:val="00273FD1"/>
    <w:rsid w:val="00274434"/>
    <w:rsid w:val="0027789C"/>
    <w:rsid w:val="00277AF5"/>
    <w:rsid w:val="00277C62"/>
    <w:rsid w:val="0028052C"/>
    <w:rsid w:val="00281031"/>
    <w:rsid w:val="002817A0"/>
    <w:rsid w:val="00281AE6"/>
    <w:rsid w:val="00282D73"/>
    <w:rsid w:val="00283AB0"/>
    <w:rsid w:val="002843A2"/>
    <w:rsid w:val="00284B1E"/>
    <w:rsid w:val="00284C68"/>
    <w:rsid w:val="00285E92"/>
    <w:rsid w:val="0028772E"/>
    <w:rsid w:val="002901DC"/>
    <w:rsid w:val="002903A5"/>
    <w:rsid w:val="00290922"/>
    <w:rsid w:val="00291845"/>
    <w:rsid w:val="00292832"/>
    <w:rsid w:val="0029327D"/>
    <w:rsid w:val="00294489"/>
    <w:rsid w:val="00294A1E"/>
    <w:rsid w:val="00294C71"/>
    <w:rsid w:val="00295B74"/>
    <w:rsid w:val="002967AD"/>
    <w:rsid w:val="002A0931"/>
    <w:rsid w:val="002A19CA"/>
    <w:rsid w:val="002A2211"/>
    <w:rsid w:val="002A255A"/>
    <w:rsid w:val="002A3C2D"/>
    <w:rsid w:val="002A47C5"/>
    <w:rsid w:val="002A47F8"/>
    <w:rsid w:val="002A4F68"/>
    <w:rsid w:val="002A5DB0"/>
    <w:rsid w:val="002A6447"/>
    <w:rsid w:val="002B04E5"/>
    <w:rsid w:val="002B05D3"/>
    <w:rsid w:val="002B0BE9"/>
    <w:rsid w:val="002B1F30"/>
    <w:rsid w:val="002B3A89"/>
    <w:rsid w:val="002B4201"/>
    <w:rsid w:val="002B5953"/>
    <w:rsid w:val="002B6770"/>
    <w:rsid w:val="002B7532"/>
    <w:rsid w:val="002B78D1"/>
    <w:rsid w:val="002C024C"/>
    <w:rsid w:val="002C1E67"/>
    <w:rsid w:val="002C2372"/>
    <w:rsid w:val="002C2C9A"/>
    <w:rsid w:val="002C360E"/>
    <w:rsid w:val="002C40CE"/>
    <w:rsid w:val="002C4219"/>
    <w:rsid w:val="002C4262"/>
    <w:rsid w:val="002C494E"/>
    <w:rsid w:val="002C4BD6"/>
    <w:rsid w:val="002C5317"/>
    <w:rsid w:val="002C7BDB"/>
    <w:rsid w:val="002C7E5B"/>
    <w:rsid w:val="002D0752"/>
    <w:rsid w:val="002D0C44"/>
    <w:rsid w:val="002D143C"/>
    <w:rsid w:val="002D1F6F"/>
    <w:rsid w:val="002D1FB3"/>
    <w:rsid w:val="002D260D"/>
    <w:rsid w:val="002D2CB8"/>
    <w:rsid w:val="002D2F79"/>
    <w:rsid w:val="002D3D10"/>
    <w:rsid w:val="002D57B8"/>
    <w:rsid w:val="002D5CDD"/>
    <w:rsid w:val="002D5F6C"/>
    <w:rsid w:val="002D720E"/>
    <w:rsid w:val="002D741F"/>
    <w:rsid w:val="002D7588"/>
    <w:rsid w:val="002D7E91"/>
    <w:rsid w:val="002E1031"/>
    <w:rsid w:val="002E12C4"/>
    <w:rsid w:val="002E15CE"/>
    <w:rsid w:val="002E1810"/>
    <w:rsid w:val="002E3A92"/>
    <w:rsid w:val="002E3F75"/>
    <w:rsid w:val="002E3F87"/>
    <w:rsid w:val="002E54EC"/>
    <w:rsid w:val="002E5AF0"/>
    <w:rsid w:val="002E5B30"/>
    <w:rsid w:val="002E72ED"/>
    <w:rsid w:val="002E7CEA"/>
    <w:rsid w:val="002F0652"/>
    <w:rsid w:val="002F14F6"/>
    <w:rsid w:val="002F3553"/>
    <w:rsid w:val="002F3987"/>
    <w:rsid w:val="002F4845"/>
    <w:rsid w:val="002F5C2C"/>
    <w:rsid w:val="002F639E"/>
    <w:rsid w:val="00300595"/>
    <w:rsid w:val="00300CCC"/>
    <w:rsid w:val="00302DE1"/>
    <w:rsid w:val="0030306E"/>
    <w:rsid w:val="003035F1"/>
    <w:rsid w:val="003037D0"/>
    <w:rsid w:val="00303D1B"/>
    <w:rsid w:val="0030492D"/>
    <w:rsid w:val="00305453"/>
    <w:rsid w:val="00305604"/>
    <w:rsid w:val="00306535"/>
    <w:rsid w:val="00306EC7"/>
    <w:rsid w:val="00306F9E"/>
    <w:rsid w:val="0030726B"/>
    <w:rsid w:val="00307513"/>
    <w:rsid w:val="003079FD"/>
    <w:rsid w:val="0031029F"/>
    <w:rsid w:val="003110A4"/>
    <w:rsid w:val="00311571"/>
    <w:rsid w:val="0031221A"/>
    <w:rsid w:val="0031298B"/>
    <w:rsid w:val="003144A1"/>
    <w:rsid w:val="003144E8"/>
    <w:rsid w:val="00316C30"/>
    <w:rsid w:val="003179AD"/>
    <w:rsid w:val="003179DF"/>
    <w:rsid w:val="00317DDC"/>
    <w:rsid w:val="0032231C"/>
    <w:rsid w:val="00322615"/>
    <w:rsid w:val="00323539"/>
    <w:rsid w:val="00323A39"/>
    <w:rsid w:val="003244FF"/>
    <w:rsid w:val="00325751"/>
    <w:rsid w:val="003257DF"/>
    <w:rsid w:val="003257EA"/>
    <w:rsid w:val="00325808"/>
    <w:rsid w:val="00325AC2"/>
    <w:rsid w:val="0032718E"/>
    <w:rsid w:val="003273EB"/>
    <w:rsid w:val="00327C98"/>
    <w:rsid w:val="00332B2A"/>
    <w:rsid w:val="00333A98"/>
    <w:rsid w:val="00333BA8"/>
    <w:rsid w:val="00333F4B"/>
    <w:rsid w:val="00334042"/>
    <w:rsid w:val="00334164"/>
    <w:rsid w:val="0033488F"/>
    <w:rsid w:val="003349FC"/>
    <w:rsid w:val="0033530B"/>
    <w:rsid w:val="003355AA"/>
    <w:rsid w:val="00340363"/>
    <w:rsid w:val="00341610"/>
    <w:rsid w:val="003418BE"/>
    <w:rsid w:val="0034236A"/>
    <w:rsid w:val="003424D0"/>
    <w:rsid w:val="003427C1"/>
    <w:rsid w:val="003435A9"/>
    <w:rsid w:val="003439DA"/>
    <w:rsid w:val="003452E4"/>
    <w:rsid w:val="00350A19"/>
    <w:rsid w:val="00350BBA"/>
    <w:rsid w:val="003512DE"/>
    <w:rsid w:val="0035165C"/>
    <w:rsid w:val="00352FB1"/>
    <w:rsid w:val="00353120"/>
    <w:rsid w:val="00354060"/>
    <w:rsid w:val="0035423F"/>
    <w:rsid w:val="0035517E"/>
    <w:rsid w:val="00357013"/>
    <w:rsid w:val="003573C7"/>
    <w:rsid w:val="00360481"/>
    <w:rsid w:val="00361B91"/>
    <w:rsid w:val="00362E43"/>
    <w:rsid w:val="003633D4"/>
    <w:rsid w:val="0036399E"/>
    <w:rsid w:val="00364DDD"/>
    <w:rsid w:val="0036604B"/>
    <w:rsid w:val="0036666A"/>
    <w:rsid w:val="00367170"/>
    <w:rsid w:val="003677B1"/>
    <w:rsid w:val="00370197"/>
    <w:rsid w:val="00371114"/>
    <w:rsid w:val="00371DB7"/>
    <w:rsid w:val="003721D4"/>
    <w:rsid w:val="003722F1"/>
    <w:rsid w:val="00373693"/>
    <w:rsid w:val="00373C45"/>
    <w:rsid w:val="00373CE2"/>
    <w:rsid w:val="00375C45"/>
    <w:rsid w:val="00375E78"/>
    <w:rsid w:val="00376982"/>
    <w:rsid w:val="00380671"/>
    <w:rsid w:val="003808FD"/>
    <w:rsid w:val="00381149"/>
    <w:rsid w:val="00382341"/>
    <w:rsid w:val="00382CED"/>
    <w:rsid w:val="00385761"/>
    <w:rsid w:val="00386324"/>
    <w:rsid w:val="0038687F"/>
    <w:rsid w:val="00386B33"/>
    <w:rsid w:val="00386FE4"/>
    <w:rsid w:val="00387303"/>
    <w:rsid w:val="0038753B"/>
    <w:rsid w:val="003901FC"/>
    <w:rsid w:val="0039075C"/>
    <w:rsid w:val="003907AF"/>
    <w:rsid w:val="003908E5"/>
    <w:rsid w:val="003912D6"/>
    <w:rsid w:val="00391887"/>
    <w:rsid w:val="003921F5"/>
    <w:rsid w:val="0039361D"/>
    <w:rsid w:val="00393EEB"/>
    <w:rsid w:val="003942B4"/>
    <w:rsid w:val="00395563"/>
    <w:rsid w:val="00396F98"/>
    <w:rsid w:val="0039726A"/>
    <w:rsid w:val="003A076D"/>
    <w:rsid w:val="003A0CC4"/>
    <w:rsid w:val="003A12EE"/>
    <w:rsid w:val="003A148A"/>
    <w:rsid w:val="003A1497"/>
    <w:rsid w:val="003A18F8"/>
    <w:rsid w:val="003A2050"/>
    <w:rsid w:val="003A27A6"/>
    <w:rsid w:val="003A4765"/>
    <w:rsid w:val="003A5449"/>
    <w:rsid w:val="003A5E33"/>
    <w:rsid w:val="003A6B29"/>
    <w:rsid w:val="003A74DD"/>
    <w:rsid w:val="003B084C"/>
    <w:rsid w:val="003B19A2"/>
    <w:rsid w:val="003B4079"/>
    <w:rsid w:val="003B420F"/>
    <w:rsid w:val="003B42E5"/>
    <w:rsid w:val="003B4626"/>
    <w:rsid w:val="003B6945"/>
    <w:rsid w:val="003B7033"/>
    <w:rsid w:val="003B76A2"/>
    <w:rsid w:val="003B76AC"/>
    <w:rsid w:val="003B7828"/>
    <w:rsid w:val="003B7BEF"/>
    <w:rsid w:val="003B7C30"/>
    <w:rsid w:val="003B7CE2"/>
    <w:rsid w:val="003C021A"/>
    <w:rsid w:val="003C0B2C"/>
    <w:rsid w:val="003C0B38"/>
    <w:rsid w:val="003C1DE4"/>
    <w:rsid w:val="003C2BC2"/>
    <w:rsid w:val="003C3BAF"/>
    <w:rsid w:val="003C3D01"/>
    <w:rsid w:val="003C4BF0"/>
    <w:rsid w:val="003C4D4D"/>
    <w:rsid w:val="003C4D86"/>
    <w:rsid w:val="003C5CA1"/>
    <w:rsid w:val="003C5ED1"/>
    <w:rsid w:val="003C6114"/>
    <w:rsid w:val="003C732D"/>
    <w:rsid w:val="003C7493"/>
    <w:rsid w:val="003D03A8"/>
    <w:rsid w:val="003D22DE"/>
    <w:rsid w:val="003D26ED"/>
    <w:rsid w:val="003D3407"/>
    <w:rsid w:val="003D4137"/>
    <w:rsid w:val="003D5A27"/>
    <w:rsid w:val="003D6B00"/>
    <w:rsid w:val="003D7568"/>
    <w:rsid w:val="003E18EA"/>
    <w:rsid w:val="003E232D"/>
    <w:rsid w:val="003E2544"/>
    <w:rsid w:val="003E27C5"/>
    <w:rsid w:val="003E3026"/>
    <w:rsid w:val="003E339E"/>
    <w:rsid w:val="003E42E0"/>
    <w:rsid w:val="003E45FA"/>
    <w:rsid w:val="003E4738"/>
    <w:rsid w:val="003E4C31"/>
    <w:rsid w:val="003E5298"/>
    <w:rsid w:val="003E7153"/>
    <w:rsid w:val="003F0AFC"/>
    <w:rsid w:val="003F0B33"/>
    <w:rsid w:val="003F1315"/>
    <w:rsid w:val="003F1850"/>
    <w:rsid w:val="003F440B"/>
    <w:rsid w:val="003F4523"/>
    <w:rsid w:val="003F4B80"/>
    <w:rsid w:val="003F5486"/>
    <w:rsid w:val="003F57F1"/>
    <w:rsid w:val="003F5882"/>
    <w:rsid w:val="003F6940"/>
    <w:rsid w:val="003F6A42"/>
    <w:rsid w:val="003F6C33"/>
    <w:rsid w:val="003F7835"/>
    <w:rsid w:val="004000F4"/>
    <w:rsid w:val="004001B6"/>
    <w:rsid w:val="00400773"/>
    <w:rsid w:val="0040121E"/>
    <w:rsid w:val="00401DFD"/>
    <w:rsid w:val="004020B1"/>
    <w:rsid w:val="00402516"/>
    <w:rsid w:val="00402C25"/>
    <w:rsid w:val="00403623"/>
    <w:rsid w:val="004051C9"/>
    <w:rsid w:val="00405565"/>
    <w:rsid w:val="00405778"/>
    <w:rsid w:val="004058B7"/>
    <w:rsid w:val="004075FE"/>
    <w:rsid w:val="004100BC"/>
    <w:rsid w:val="0041086B"/>
    <w:rsid w:val="00410DB1"/>
    <w:rsid w:val="0041113A"/>
    <w:rsid w:val="00415667"/>
    <w:rsid w:val="00416498"/>
    <w:rsid w:val="004164BC"/>
    <w:rsid w:val="0041673D"/>
    <w:rsid w:val="00417870"/>
    <w:rsid w:val="00420025"/>
    <w:rsid w:val="00420450"/>
    <w:rsid w:val="00420A2A"/>
    <w:rsid w:val="004212A4"/>
    <w:rsid w:val="0042258A"/>
    <w:rsid w:val="00422D48"/>
    <w:rsid w:val="00423393"/>
    <w:rsid w:val="004235A7"/>
    <w:rsid w:val="00423CA3"/>
    <w:rsid w:val="00423FC5"/>
    <w:rsid w:val="004244E6"/>
    <w:rsid w:val="0042519F"/>
    <w:rsid w:val="00425FF0"/>
    <w:rsid w:val="004260A8"/>
    <w:rsid w:val="0042672C"/>
    <w:rsid w:val="00426908"/>
    <w:rsid w:val="00426FAC"/>
    <w:rsid w:val="00427ED9"/>
    <w:rsid w:val="00430784"/>
    <w:rsid w:val="00430AF6"/>
    <w:rsid w:val="00430C9D"/>
    <w:rsid w:val="00431B90"/>
    <w:rsid w:val="0043262F"/>
    <w:rsid w:val="00435884"/>
    <w:rsid w:val="00435E6A"/>
    <w:rsid w:val="00435E70"/>
    <w:rsid w:val="00440258"/>
    <w:rsid w:val="00441160"/>
    <w:rsid w:val="00441D11"/>
    <w:rsid w:val="00442B9C"/>
    <w:rsid w:val="00443784"/>
    <w:rsid w:val="00444579"/>
    <w:rsid w:val="0044482D"/>
    <w:rsid w:val="00444934"/>
    <w:rsid w:val="0044600B"/>
    <w:rsid w:val="004468AA"/>
    <w:rsid w:val="00447DE9"/>
    <w:rsid w:val="00451249"/>
    <w:rsid w:val="00452E78"/>
    <w:rsid w:val="00454420"/>
    <w:rsid w:val="00455360"/>
    <w:rsid w:val="004562ED"/>
    <w:rsid w:val="0045650B"/>
    <w:rsid w:val="00456828"/>
    <w:rsid w:val="00457A95"/>
    <w:rsid w:val="004602AC"/>
    <w:rsid w:val="0046035D"/>
    <w:rsid w:val="00460520"/>
    <w:rsid w:val="004605B5"/>
    <w:rsid w:val="00460C55"/>
    <w:rsid w:val="00460D3C"/>
    <w:rsid w:val="0046121B"/>
    <w:rsid w:val="004624D4"/>
    <w:rsid w:val="004624D5"/>
    <w:rsid w:val="00462830"/>
    <w:rsid w:val="004634C5"/>
    <w:rsid w:val="00463687"/>
    <w:rsid w:val="00464291"/>
    <w:rsid w:val="004644CE"/>
    <w:rsid w:val="00464541"/>
    <w:rsid w:val="00465862"/>
    <w:rsid w:val="00465ECA"/>
    <w:rsid w:val="0046681C"/>
    <w:rsid w:val="004670B2"/>
    <w:rsid w:val="004675C7"/>
    <w:rsid w:val="0046797D"/>
    <w:rsid w:val="00470DB3"/>
    <w:rsid w:val="004713B3"/>
    <w:rsid w:val="00471BF4"/>
    <w:rsid w:val="00472A80"/>
    <w:rsid w:val="00472B05"/>
    <w:rsid w:val="00473D8F"/>
    <w:rsid w:val="00473ED1"/>
    <w:rsid w:val="004779EA"/>
    <w:rsid w:val="00480801"/>
    <w:rsid w:val="00480C13"/>
    <w:rsid w:val="00481432"/>
    <w:rsid w:val="00481CB2"/>
    <w:rsid w:val="00481EBC"/>
    <w:rsid w:val="0048305D"/>
    <w:rsid w:val="00483345"/>
    <w:rsid w:val="004839B6"/>
    <w:rsid w:val="00483F8D"/>
    <w:rsid w:val="00485885"/>
    <w:rsid w:val="00486146"/>
    <w:rsid w:val="00486705"/>
    <w:rsid w:val="00486B58"/>
    <w:rsid w:val="00487755"/>
    <w:rsid w:val="00487AE3"/>
    <w:rsid w:val="00490649"/>
    <w:rsid w:val="0049079E"/>
    <w:rsid w:val="004930C0"/>
    <w:rsid w:val="004939AC"/>
    <w:rsid w:val="00493D12"/>
    <w:rsid w:val="00493D80"/>
    <w:rsid w:val="0049404C"/>
    <w:rsid w:val="004943E8"/>
    <w:rsid w:val="0049471C"/>
    <w:rsid w:val="00495309"/>
    <w:rsid w:val="00495C6A"/>
    <w:rsid w:val="00497C3C"/>
    <w:rsid w:val="004A003A"/>
    <w:rsid w:val="004A06B2"/>
    <w:rsid w:val="004A1149"/>
    <w:rsid w:val="004A2D38"/>
    <w:rsid w:val="004A3515"/>
    <w:rsid w:val="004A388F"/>
    <w:rsid w:val="004A4134"/>
    <w:rsid w:val="004A4652"/>
    <w:rsid w:val="004A46DD"/>
    <w:rsid w:val="004A4CD4"/>
    <w:rsid w:val="004A4DD8"/>
    <w:rsid w:val="004A501E"/>
    <w:rsid w:val="004A5A93"/>
    <w:rsid w:val="004A6470"/>
    <w:rsid w:val="004A7814"/>
    <w:rsid w:val="004A7B2F"/>
    <w:rsid w:val="004A7B3F"/>
    <w:rsid w:val="004B03AD"/>
    <w:rsid w:val="004B36EB"/>
    <w:rsid w:val="004B40C9"/>
    <w:rsid w:val="004B44FE"/>
    <w:rsid w:val="004B4F16"/>
    <w:rsid w:val="004B534B"/>
    <w:rsid w:val="004B6A0B"/>
    <w:rsid w:val="004B7734"/>
    <w:rsid w:val="004B7F23"/>
    <w:rsid w:val="004C0851"/>
    <w:rsid w:val="004C2AA4"/>
    <w:rsid w:val="004C4390"/>
    <w:rsid w:val="004C5139"/>
    <w:rsid w:val="004C5274"/>
    <w:rsid w:val="004C59F7"/>
    <w:rsid w:val="004D0A9C"/>
    <w:rsid w:val="004D113F"/>
    <w:rsid w:val="004D2107"/>
    <w:rsid w:val="004D26F7"/>
    <w:rsid w:val="004D2E2C"/>
    <w:rsid w:val="004D30E8"/>
    <w:rsid w:val="004D3A4E"/>
    <w:rsid w:val="004D51C2"/>
    <w:rsid w:val="004D5E54"/>
    <w:rsid w:val="004D749A"/>
    <w:rsid w:val="004E0AB7"/>
    <w:rsid w:val="004E0C46"/>
    <w:rsid w:val="004E3728"/>
    <w:rsid w:val="004E3BF4"/>
    <w:rsid w:val="004E45E3"/>
    <w:rsid w:val="004E45FA"/>
    <w:rsid w:val="004E4E46"/>
    <w:rsid w:val="004E501E"/>
    <w:rsid w:val="004E54EE"/>
    <w:rsid w:val="004E5B32"/>
    <w:rsid w:val="004E6622"/>
    <w:rsid w:val="004E720C"/>
    <w:rsid w:val="004F33F9"/>
    <w:rsid w:val="004F34E6"/>
    <w:rsid w:val="004F3F45"/>
    <w:rsid w:val="004F65EA"/>
    <w:rsid w:val="004F731F"/>
    <w:rsid w:val="00500C7F"/>
    <w:rsid w:val="00501BB3"/>
    <w:rsid w:val="00503A25"/>
    <w:rsid w:val="00503BA7"/>
    <w:rsid w:val="0050456F"/>
    <w:rsid w:val="005049C1"/>
    <w:rsid w:val="005065D2"/>
    <w:rsid w:val="00510DEA"/>
    <w:rsid w:val="00511720"/>
    <w:rsid w:val="0051385B"/>
    <w:rsid w:val="00513CD6"/>
    <w:rsid w:val="00514BAE"/>
    <w:rsid w:val="00514C3A"/>
    <w:rsid w:val="005154B1"/>
    <w:rsid w:val="005154C4"/>
    <w:rsid w:val="0051550C"/>
    <w:rsid w:val="00515B15"/>
    <w:rsid w:val="00515B3E"/>
    <w:rsid w:val="00515C14"/>
    <w:rsid w:val="005160CD"/>
    <w:rsid w:val="005162AD"/>
    <w:rsid w:val="005166B6"/>
    <w:rsid w:val="00517352"/>
    <w:rsid w:val="00517864"/>
    <w:rsid w:val="00522BBA"/>
    <w:rsid w:val="0052332C"/>
    <w:rsid w:val="005239B3"/>
    <w:rsid w:val="00525465"/>
    <w:rsid w:val="00526147"/>
    <w:rsid w:val="00526B48"/>
    <w:rsid w:val="00531C61"/>
    <w:rsid w:val="00532C3B"/>
    <w:rsid w:val="00532D17"/>
    <w:rsid w:val="00532E81"/>
    <w:rsid w:val="005331E2"/>
    <w:rsid w:val="00533BA1"/>
    <w:rsid w:val="00534420"/>
    <w:rsid w:val="00534CCC"/>
    <w:rsid w:val="00534DA8"/>
    <w:rsid w:val="0053598D"/>
    <w:rsid w:val="0053613A"/>
    <w:rsid w:val="005362EC"/>
    <w:rsid w:val="00536696"/>
    <w:rsid w:val="00536956"/>
    <w:rsid w:val="00537453"/>
    <w:rsid w:val="00537F84"/>
    <w:rsid w:val="0054033F"/>
    <w:rsid w:val="00540803"/>
    <w:rsid w:val="00541AB8"/>
    <w:rsid w:val="00542C36"/>
    <w:rsid w:val="00544D0B"/>
    <w:rsid w:val="00545100"/>
    <w:rsid w:val="00545136"/>
    <w:rsid w:val="00546D28"/>
    <w:rsid w:val="0054738F"/>
    <w:rsid w:val="00550867"/>
    <w:rsid w:val="00550912"/>
    <w:rsid w:val="005514E9"/>
    <w:rsid w:val="00551E3C"/>
    <w:rsid w:val="0055278D"/>
    <w:rsid w:val="0055323E"/>
    <w:rsid w:val="005540EA"/>
    <w:rsid w:val="005550CE"/>
    <w:rsid w:val="005557A9"/>
    <w:rsid w:val="0055580D"/>
    <w:rsid w:val="00555ED7"/>
    <w:rsid w:val="005561B3"/>
    <w:rsid w:val="00557502"/>
    <w:rsid w:val="00557524"/>
    <w:rsid w:val="005600CB"/>
    <w:rsid w:val="00561662"/>
    <w:rsid w:val="00564033"/>
    <w:rsid w:val="0056408C"/>
    <w:rsid w:val="00564C40"/>
    <w:rsid w:val="00564F5C"/>
    <w:rsid w:val="0056557E"/>
    <w:rsid w:val="00565F8F"/>
    <w:rsid w:val="00565FB4"/>
    <w:rsid w:val="00566404"/>
    <w:rsid w:val="005664E8"/>
    <w:rsid w:val="00566B6A"/>
    <w:rsid w:val="00567695"/>
    <w:rsid w:val="00570BF5"/>
    <w:rsid w:val="005719D5"/>
    <w:rsid w:val="00572530"/>
    <w:rsid w:val="00574479"/>
    <w:rsid w:val="005745FE"/>
    <w:rsid w:val="00575A84"/>
    <w:rsid w:val="00576E8C"/>
    <w:rsid w:val="00577972"/>
    <w:rsid w:val="00577C12"/>
    <w:rsid w:val="00580915"/>
    <w:rsid w:val="005829F2"/>
    <w:rsid w:val="0058387E"/>
    <w:rsid w:val="0058437E"/>
    <w:rsid w:val="0058476B"/>
    <w:rsid w:val="005847B8"/>
    <w:rsid w:val="00585F8F"/>
    <w:rsid w:val="00586A97"/>
    <w:rsid w:val="00586F3A"/>
    <w:rsid w:val="00587343"/>
    <w:rsid w:val="00587E63"/>
    <w:rsid w:val="005908CE"/>
    <w:rsid w:val="00590F62"/>
    <w:rsid w:val="005918D7"/>
    <w:rsid w:val="0059219A"/>
    <w:rsid w:val="005921C2"/>
    <w:rsid w:val="00592985"/>
    <w:rsid w:val="005929CA"/>
    <w:rsid w:val="00593278"/>
    <w:rsid w:val="00593F35"/>
    <w:rsid w:val="00594A75"/>
    <w:rsid w:val="005951BD"/>
    <w:rsid w:val="0059691B"/>
    <w:rsid w:val="005970FF"/>
    <w:rsid w:val="005A153D"/>
    <w:rsid w:val="005A1C5D"/>
    <w:rsid w:val="005A3EF5"/>
    <w:rsid w:val="005A4883"/>
    <w:rsid w:val="005A4A42"/>
    <w:rsid w:val="005A4F2B"/>
    <w:rsid w:val="005A651F"/>
    <w:rsid w:val="005A7D5C"/>
    <w:rsid w:val="005B1F3C"/>
    <w:rsid w:val="005B29FF"/>
    <w:rsid w:val="005B458D"/>
    <w:rsid w:val="005B6770"/>
    <w:rsid w:val="005B6FCE"/>
    <w:rsid w:val="005B7095"/>
    <w:rsid w:val="005B73F8"/>
    <w:rsid w:val="005B7B67"/>
    <w:rsid w:val="005C005B"/>
    <w:rsid w:val="005C09C7"/>
    <w:rsid w:val="005C2352"/>
    <w:rsid w:val="005C24A3"/>
    <w:rsid w:val="005C302A"/>
    <w:rsid w:val="005C4227"/>
    <w:rsid w:val="005C4995"/>
    <w:rsid w:val="005C4F68"/>
    <w:rsid w:val="005C564F"/>
    <w:rsid w:val="005C5EE9"/>
    <w:rsid w:val="005C6B54"/>
    <w:rsid w:val="005C6F0F"/>
    <w:rsid w:val="005D05F1"/>
    <w:rsid w:val="005D1005"/>
    <w:rsid w:val="005D18E1"/>
    <w:rsid w:val="005D202A"/>
    <w:rsid w:val="005D20EE"/>
    <w:rsid w:val="005D23F2"/>
    <w:rsid w:val="005D314B"/>
    <w:rsid w:val="005D33C0"/>
    <w:rsid w:val="005D37BD"/>
    <w:rsid w:val="005D3D59"/>
    <w:rsid w:val="005D3F6F"/>
    <w:rsid w:val="005D4194"/>
    <w:rsid w:val="005D4349"/>
    <w:rsid w:val="005D4E44"/>
    <w:rsid w:val="005D525C"/>
    <w:rsid w:val="005D5A3F"/>
    <w:rsid w:val="005D5ABB"/>
    <w:rsid w:val="005D72E2"/>
    <w:rsid w:val="005D78BC"/>
    <w:rsid w:val="005D7DEF"/>
    <w:rsid w:val="005E0A10"/>
    <w:rsid w:val="005E1406"/>
    <w:rsid w:val="005E210D"/>
    <w:rsid w:val="005E2131"/>
    <w:rsid w:val="005E238A"/>
    <w:rsid w:val="005E262F"/>
    <w:rsid w:val="005E268B"/>
    <w:rsid w:val="005E29DE"/>
    <w:rsid w:val="005E35C3"/>
    <w:rsid w:val="005E3AB9"/>
    <w:rsid w:val="005E635F"/>
    <w:rsid w:val="005E69BD"/>
    <w:rsid w:val="005E7BF1"/>
    <w:rsid w:val="005F0068"/>
    <w:rsid w:val="005F089F"/>
    <w:rsid w:val="005F11DF"/>
    <w:rsid w:val="005F18E4"/>
    <w:rsid w:val="005F1C51"/>
    <w:rsid w:val="005F1EC8"/>
    <w:rsid w:val="005F1FFD"/>
    <w:rsid w:val="005F373F"/>
    <w:rsid w:val="005F40EB"/>
    <w:rsid w:val="005F529E"/>
    <w:rsid w:val="005F62F4"/>
    <w:rsid w:val="005F6837"/>
    <w:rsid w:val="005F6D4A"/>
    <w:rsid w:val="005F70A2"/>
    <w:rsid w:val="005F70C4"/>
    <w:rsid w:val="005F7418"/>
    <w:rsid w:val="005F7D70"/>
    <w:rsid w:val="0060051C"/>
    <w:rsid w:val="00600741"/>
    <w:rsid w:val="006013B9"/>
    <w:rsid w:val="006017C1"/>
    <w:rsid w:val="00602987"/>
    <w:rsid w:val="00605935"/>
    <w:rsid w:val="00605D9D"/>
    <w:rsid w:val="00606296"/>
    <w:rsid w:val="006073A7"/>
    <w:rsid w:val="00613213"/>
    <w:rsid w:val="00613831"/>
    <w:rsid w:val="0061416F"/>
    <w:rsid w:val="00614C89"/>
    <w:rsid w:val="0061514F"/>
    <w:rsid w:val="00615621"/>
    <w:rsid w:val="00617891"/>
    <w:rsid w:val="00620366"/>
    <w:rsid w:val="00620A9B"/>
    <w:rsid w:val="006211CF"/>
    <w:rsid w:val="0062146F"/>
    <w:rsid w:val="0062157D"/>
    <w:rsid w:val="00621836"/>
    <w:rsid w:val="00622E21"/>
    <w:rsid w:val="00623AB4"/>
    <w:rsid w:val="0062637E"/>
    <w:rsid w:val="006264BE"/>
    <w:rsid w:val="00626A85"/>
    <w:rsid w:val="00626EB0"/>
    <w:rsid w:val="00627258"/>
    <w:rsid w:val="006272FA"/>
    <w:rsid w:val="00627370"/>
    <w:rsid w:val="006325DA"/>
    <w:rsid w:val="00632AB3"/>
    <w:rsid w:val="00632BDC"/>
    <w:rsid w:val="00632DEB"/>
    <w:rsid w:val="00632E33"/>
    <w:rsid w:val="00633020"/>
    <w:rsid w:val="00633691"/>
    <w:rsid w:val="006339B4"/>
    <w:rsid w:val="00634348"/>
    <w:rsid w:val="00634960"/>
    <w:rsid w:val="00634B68"/>
    <w:rsid w:val="00635279"/>
    <w:rsid w:val="006358B9"/>
    <w:rsid w:val="00635AF6"/>
    <w:rsid w:val="006361AE"/>
    <w:rsid w:val="00636612"/>
    <w:rsid w:val="00636624"/>
    <w:rsid w:val="006369DF"/>
    <w:rsid w:val="00636EFB"/>
    <w:rsid w:val="00637120"/>
    <w:rsid w:val="00642335"/>
    <w:rsid w:val="006438A7"/>
    <w:rsid w:val="00646C98"/>
    <w:rsid w:val="00647108"/>
    <w:rsid w:val="00650D5E"/>
    <w:rsid w:val="00650E29"/>
    <w:rsid w:val="00652582"/>
    <w:rsid w:val="006532AF"/>
    <w:rsid w:val="0065359F"/>
    <w:rsid w:val="006535BD"/>
    <w:rsid w:val="006538D0"/>
    <w:rsid w:val="00654372"/>
    <w:rsid w:val="006545C2"/>
    <w:rsid w:val="00654D09"/>
    <w:rsid w:val="006563B9"/>
    <w:rsid w:val="0065657B"/>
    <w:rsid w:val="006568AD"/>
    <w:rsid w:val="006568BE"/>
    <w:rsid w:val="00656B4A"/>
    <w:rsid w:val="00656B79"/>
    <w:rsid w:val="00656F76"/>
    <w:rsid w:val="00657B12"/>
    <w:rsid w:val="0066007E"/>
    <w:rsid w:val="006602F4"/>
    <w:rsid w:val="006613A6"/>
    <w:rsid w:val="006623AC"/>
    <w:rsid w:val="006628DE"/>
    <w:rsid w:val="00662D5C"/>
    <w:rsid w:val="00663AFF"/>
    <w:rsid w:val="00664036"/>
    <w:rsid w:val="00665150"/>
    <w:rsid w:val="00665770"/>
    <w:rsid w:val="00667B0C"/>
    <w:rsid w:val="0067060B"/>
    <w:rsid w:val="00670AB7"/>
    <w:rsid w:val="00670C2A"/>
    <w:rsid w:val="00670DDD"/>
    <w:rsid w:val="00671ED8"/>
    <w:rsid w:val="006744F8"/>
    <w:rsid w:val="00674869"/>
    <w:rsid w:val="00675B96"/>
    <w:rsid w:val="00675BA9"/>
    <w:rsid w:val="00680149"/>
    <w:rsid w:val="0068026C"/>
    <w:rsid w:val="00681969"/>
    <w:rsid w:val="00681FA3"/>
    <w:rsid w:val="006829D8"/>
    <w:rsid w:val="00682AE4"/>
    <w:rsid w:val="00684E82"/>
    <w:rsid w:val="00685693"/>
    <w:rsid w:val="006864F1"/>
    <w:rsid w:val="00686BB4"/>
    <w:rsid w:val="00687E34"/>
    <w:rsid w:val="00687EA5"/>
    <w:rsid w:val="00690D06"/>
    <w:rsid w:val="0069110D"/>
    <w:rsid w:val="00691BCF"/>
    <w:rsid w:val="0069252D"/>
    <w:rsid w:val="00693498"/>
    <w:rsid w:val="00693685"/>
    <w:rsid w:val="00693B65"/>
    <w:rsid w:val="00693E5D"/>
    <w:rsid w:val="006948A7"/>
    <w:rsid w:val="00695160"/>
    <w:rsid w:val="0069673E"/>
    <w:rsid w:val="00696E4C"/>
    <w:rsid w:val="00697374"/>
    <w:rsid w:val="00697892"/>
    <w:rsid w:val="006A00BD"/>
    <w:rsid w:val="006A0434"/>
    <w:rsid w:val="006A07FD"/>
    <w:rsid w:val="006A1BC6"/>
    <w:rsid w:val="006A1CA9"/>
    <w:rsid w:val="006A1CC9"/>
    <w:rsid w:val="006A1DEC"/>
    <w:rsid w:val="006A1F2F"/>
    <w:rsid w:val="006A32A9"/>
    <w:rsid w:val="006A3567"/>
    <w:rsid w:val="006A3856"/>
    <w:rsid w:val="006A462D"/>
    <w:rsid w:val="006A4832"/>
    <w:rsid w:val="006A628E"/>
    <w:rsid w:val="006A6532"/>
    <w:rsid w:val="006A6791"/>
    <w:rsid w:val="006A686B"/>
    <w:rsid w:val="006A6BCA"/>
    <w:rsid w:val="006A76B4"/>
    <w:rsid w:val="006B0151"/>
    <w:rsid w:val="006B036A"/>
    <w:rsid w:val="006B0E38"/>
    <w:rsid w:val="006B124A"/>
    <w:rsid w:val="006B1A4F"/>
    <w:rsid w:val="006B1AD1"/>
    <w:rsid w:val="006B4600"/>
    <w:rsid w:val="006B4D3E"/>
    <w:rsid w:val="006B56AA"/>
    <w:rsid w:val="006B5DA2"/>
    <w:rsid w:val="006B6DB7"/>
    <w:rsid w:val="006C2975"/>
    <w:rsid w:val="006C2FA6"/>
    <w:rsid w:val="006C3AC5"/>
    <w:rsid w:val="006C447F"/>
    <w:rsid w:val="006C5921"/>
    <w:rsid w:val="006C5DF6"/>
    <w:rsid w:val="006C5E4D"/>
    <w:rsid w:val="006C65F1"/>
    <w:rsid w:val="006C6D9F"/>
    <w:rsid w:val="006C6F05"/>
    <w:rsid w:val="006C70C4"/>
    <w:rsid w:val="006C71C3"/>
    <w:rsid w:val="006C7E6E"/>
    <w:rsid w:val="006D1201"/>
    <w:rsid w:val="006D144A"/>
    <w:rsid w:val="006D2061"/>
    <w:rsid w:val="006D3625"/>
    <w:rsid w:val="006D3A0E"/>
    <w:rsid w:val="006D6CF5"/>
    <w:rsid w:val="006D7258"/>
    <w:rsid w:val="006E0151"/>
    <w:rsid w:val="006E167F"/>
    <w:rsid w:val="006E2135"/>
    <w:rsid w:val="006E2503"/>
    <w:rsid w:val="006E4EC1"/>
    <w:rsid w:val="006E546F"/>
    <w:rsid w:val="006E6A67"/>
    <w:rsid w:val="006E6B66"/>
    <w:rsid w:val="006E7821"/>
    <w:rsid w:val="006F07C5"/>
    <w:rsid w:val="006F18E9"/>
    <w:rsid w:val="006F1A3F"/>
    <w:rsid w:val="006F3DF2"/>
    <w:rsid w:val="006F4992"/>
    <w:rsid w:val="006F4A72"/>
    <w:rsid w:val="006F51A9"/>
    <w:rsid w:val="006F5385"/>
    <w:rsid w:val="006F69E0"/>
    <w:rsid w:val="006F7B65"/>
    <w:rsid w:val="006F7C94"/>
    <w:rsid w:val="006F7F07"/>
    <w:rsid w:val="0070067B"/>
    <w:rsid w:val="00700913"/>
    <w:rsid w:val="00700988"/>
    <w:rsid w:val="0070141C"/>
    <w:rsid w:val="00702A79"/>
    <w:rsid w:val="0070325D"/>
    <w:rsid w:val="00703CD7"/>
    <w:rsid w:val="00705236"/>
    <w:rsid w:val="00705EF2"/>
    <w:rsid w:val="007060A6"/>
    <w:rsid w:val="00706866"/>
    <w:rsid w:val="00710B0A"/>
    <w:rsid w:val="00710F77"/>
    <w:rsid w:val="00711002"/>
    <w:rsid w:val="007115D2"/>
    <w:rsid w:val="007127C2"/>
    <w:rsid w:val="007136CE"/>
    <w:rsid w:val="0071373F"/>
    <w:rsid w:val="007143B0"/>
    <w:rsid w:val="007145ED"/>
    <w:rsid w:val="00715CD3"/>
    <w:rsid w:val="00715FBA"/>
    <w:rsid w:val="00716175"/>
    <w:rsid w:val="00716CFA"/>
    <w:rsid w:val="00720E79"/>
    <w:rsid w:val="0072155D"/>
    <w:rsid w:val="00722BFE"/>
    <w:rsid w:val="0072393F"/>
    <w:rsid w:val="007239A9"/>
    <w:rsid w:val="00723F5C"/>
    <w:rsid w:val="00724336"/>
    <w:rsid w:val="007245BD"/>
    <w:rsid w:val="00725AF7"/>
    <w:rsid w:val="00725CA2"/>
    <w:rsid w:val="00726017"/>
    <w:rsid w:val="0072642D"/>
    <w:rsid w:val="00726A29"/>
    <w:rsid w:val="00727119"/>
    <w:rsid w:val="00730294"/>
    <w:rsid w:val="00730E76"/>
    <w:rsid w:val="00731BA1"/>
    <w:rsid w:val="00731F6A"/>
    <w:rsid w:val="00732456"/>
    <w:rsid w:val="00733974"/>
    <w:rsid w:val="0073422D"/>
    <w:rsid w:val="00734343"/>
    <w:rsid w:val="0073469F"/>
    <w:rsid w:val="00736191"/>
    <w:rsid w:val="00736455"/>
    <w:rsid w:val="00736B0D"/>
    <w:rsid w:val="0073728F"/>
    <w:rsid w:val="00737F50"/>
    <w:rsid w:val="007413E4"/>
    <w:rsid w:val="007428F1"/>
    <w:rsid w:val="007434C9"/>
    <w:rsid w:val="007437DC"/>
    <w:rsid w:val="007439F7"/>
    <w:rsid w:val="00744D15"/>
    <w:rsid w:val="00744DB1"/>
    <w:rsid w:val="007450C7"/>
    <w:rsid w:val="007455F2"/>
    <w:rsid w:val="0074577D"/>
    <w:rsid w:val="00745873"/>
    <w:rsid w:val="007459DC"/>
    <w:rsid w:val="0075082C"/>
    <w:rsid w:val="00750BCE"/>
    <w:rsid w:val="00751C91"/>
    <w:rsid w:val="00752259"/>
    <w:rsid w:val="00752E47"/>
    <w:rsid w:val="00753C85"/>
    <w:rsid w:val="00754955"/>
    <w:rsid w:val="00754C9B"/>
    <w:rsid w:val="00755D3F"/>
    <w:rsid w:val="0075620E"/>
    <w:rsid w:val="00756957"/>
    <w:rsid w:val="00757931"/>
    <w:rsid w:val="0076049D"/>
    <w:rsid w:val="00760BCF"/>
    <w:rsid w:val="00760F11"/>
    <w:rsid w:val="0076133C"/>
    <w:rsid w:val="00761465"/>
    <w:rsid w:val="0076195F"/>
    <w:rsid w:val="007621B2"/>
    <w:rsid w:val="00762A84"/>
    <w:rsid w:val="007652AA"/>
    <w:rsid w:val="00765ADD"/>
    <w:rsid w:val="00765C0D"/>
    <w:rsid w:val="00765E05"/>
    <w:rsid w:val="00766023"/>
    <w:rsid w:val="00766204"/>
    <w:rsid w:val="00766285"/>
    <w:rsid w:val="007668A8"/>
    <w:rsid w:val="007669F4"/>
    <w:rsid w:val="00766B66"/>
    <w:rsid w:val="0076749D"/>
    <w:rsid w:val="00767BB0"/>
    <w:rsid w:val="00770344"/>
    <w:rsid w:val="00771313"/>
    <w:rsid w:val="00772232"/>
    <w:rsid w:val="007723F5"/>
    <w:rsid w:val="00772708"/>
    <w:rsid w:val="00772733"/>
    <w:rsid w:val="007728C4"/>
    <w:rsid w:val="00774390"/>
    <w:rsid w:val="00774548"/>
    <w:rsid w:val="00775308"/>
    <w:rsid w:val="0077579A"/>
    <w:rsid w:val="00776104"/>
    <w:rsid w:val="007761C8"/>
    <w:rsid w:val="007763D8"/>
    <w:rsid w:val="007770D2"/>
    <w:rsid w:val="007805E2"/>
    <w:rsid w:val="00780729"/>
    <w:rsid w:val="007811EC"/>
    <w:rsid w:val="00781C6C"/>
    <w:rsid w:val="00781CEF"/>
    <w:rsid w:val="00782743"/>
    <w:rsid w:val="007833A0"/>
    <w:rsid w:val="00783478"/>
    <w:rsid w:val="00783BCD"/>
    <w:rsid w:val="00783E48"/>
    <w:rsid w:val="00785513"/>
    <w:rsid w:val="00785C0E"/>
    <w:rsid w:val="00785D24"/>
    <w:rsid w:val="00786B29"/>
    <w:rsid w:val="007870A9"/>
    <w:rsid w:val="007877D4"/>
    <w:rsid w:val="0079173B"/>
    <w:rsid w:val="00791DED"/>
    <w:rsid w:val="00792C68"/>
    <w:rsid w:val="00793117"/>
    <w:rsid w:val="007931DD"/>
    <w:rsid w:val="00793E7F"/>
    <w:rsid w:val="007944A1"/>
    <w:rsid w:val="0079466E"/>
    <w:rsid w:val="00795B4D"/>
    <w:rsid w:val="00796741"/>
    <w:rsid w:val="00796814"/>
    <w:rsid w:val="0079704B"/>
    <w:rsid w:val="0079755F"/>
    <w:rsid w:val="00797970"/>
    <w:rsid w:val="007A04DA"/>
    <w:rsid w:val="007A0612"/>
    <w:rsid w:val="007A1203"/>
    <w:rsid w:val="007A2F11"/>
    <w:rsid w:val="007A346C"/>
    <w:rsid w:val="007A42FC"/>
    <w:rsid w:val="007A431D"/>
    <w:rsid w:val="007A4C7F"/>
    <w:rsid w:val="007A5747"/>
    <w:rsid w:val="007A5C9A"/>
    <w:rsid w:val="007A63B4"/>
    <w:rsid w:val="007A63F0"/>
    <w:rsid w:val="007A7B3F"/>
    <w:rsid w:val="007B0885"/>
    <w:rsid w:val="007B0BC4"/>
    <w:rsid w:val="007B0C6A"/>
    <w:rsid w:val="007B0DFF"/>
    <w:rsid w:val="007B10B4"/>
    <w:rsid w:val="007B2B05"/>
    <w:rsid w:val="007B3D45"/>
    <w:rsid w:val="007B5B65"/>
    <w:rsid w:val="007B5E50"/>
    <w:rsid w:val="007B63DB"/>
    <w:rsid w:val="007B6D93"/>
    <w:rsid w:val="007B7348"/>
    <w:rsid w:val="007B7F17"/>
    <w:rsid w:val="007C0425"/>
    <w:rsid w:val="007C3119"/>
    <w:rsid w:val="007C31FD"/>
    <w:rsid w:val="007C34A7"/>
    <w:rsid w:val="007C37BB"/>
    <w:rsid w:val="007C38E4"/>
    <w:rsid w:val="007C3D0A"/>
    <w:rsid w:val="007C3FE1"/>
    <w:rsid w:val="007C43E0"/>
    <w:rsid w:val="007C56A2"/>
    <w:rsid w:val="007C65A3"/>
    <w:rsid w:val="007C6A53"/>
    <w:rsid w:val="007C6CD7"/>
    <w:rsid w:val="007C762F"/>
    <w:rsid w:val="007D1067"/>
    <w:rsid w:val="007D1854"/>
    <w:rsid w:val="007D28BF"/>
    <w:rsid w:val="007D31D0"/>
    <w:rsid w:val="007D37ED"/>
    <w:rsid w:val="007D3EC1"/>
    <w:rsid w:val="007D4D6B"/>
    <w:rsid w:val="007D6B26"/>
    <w:rsid w:val="007D6F0B"/>
    <w:rsid w:val="007D7624"/>
    <w:rsid w:val="007E0136"/>
    <w:rsid w:val="007E09A7"/>
    <w:rsid w:val="007E0C22"/>
    <w:rsid w:val="007E0F7C"/>
    <w:rsid w:val="007E0FAE"/>
    <w:rsid w:val="007E150A"/>
    <w:rsid w:val="007E1ADF"/>
    <w:rsid w:val="007E1E31"/>
    <w:rsid w:val="007E214F"/>
    <w:rsid w:val="007E4A4B"/>
    <w:rsid w:val="007E5050"/>
    <w:rsid w:val="007E5265"/>
    <w:rsid w:val="007E57E7"/>
    <w:rsid w:val="007E7762"/>
    <w:rsid w:val="007F0389"/>
    <w:rsid w:val="007F1501"/>
    <w:rsid w:val="007F156C"/>
    <w:rsid w:val="007F2817"/>
    <w:rsid w:val="007F2F83"/>
    <w:rsid w:val="007F3128"/>
    <w:rsid w:val="007F5B1D"/>
    <w:rsid w:val="007F6512"/>
    <w:rsid w:val="007F738D"/>
    <w:rsid w:val="007F7C11"/>
    <w:rsid w:val="008032EB"/>
    <w:rsid w:val="00804089"/>
    <w:rsid w:val="0080479F"/>
    <w:rsid w:val="008051EF"/>
    <w:rsid w:val="00805465"/>
    <w:rsid w:val="00805FA2"/>
    <w:rsid w:val="00805FD8"/>
    <w:rsid w:val="008066ED"/>
    <w:rsid w:val="008069F5"/>
    <w:rsid w:val="00807B4A"/>
    <w:rsid w:val="008106EC"/>
    <w:rsid w:val="00810AF1"/>
    <w:rsid w:val="00810EF9"/>
    <w:rsid w:val="0081208E"/>
    <w:rsid w:val="0081291B"/>
    <w:rsid w:val="00812AA9"/>
    <w:rsid w:val="00812FFB"/>
    <w:rsid w:val="00813902"/>
    <w:rsid w:val="008139D6"/>
    <w:rsid w:val="00813D10"/>
    <w:rsid w:val="00813E75"/>
    <w:rsid w:val="00813F2C"/>
    <w:rsid w:val="00814AEE"/>
    <w:rsid w:val="00814D89"/>
    <w:rsid w:val="00814DC7"/>
    <w:rsid w:val="008150D6"/>
    <w:rsid w:val="00815552"/>
    <w:rsid w:val="00815C4B"/>
    <w:rsid w:val="00815DAD"/>
    <w:rsid w:val="00817149"/>
    <w:rsid w:val="008206EB"/>
    <w:rsid w:val="00822365"/>
    <w:rsid w:val="00823A16"/>
    <w:rsid w:val="00824A1F"/>
    <w:rsid w:val="00824F4C"/>
    <w:rsid w:val="00825C83"/>
    <w:rsid w:val="008262A4"/>
    <w:rsid w:val="00827944"/>
    <w:rsid w:val="00830936"/>
    <w:rsid w:val="00831175"/>
    <w:rsid w:val="0083203F"/>
    <w:rsid w:val="0083219C"/>
    <w:rsid w:val="0083237C"/>
    <w:rsid w:val="00832706"/>
    <w:rsid w:val="00832A81"/>
    <w:rsid w:val="00832AB2"/>
    <w:rsid w:val="00832E86"/>
    <w:rsid w:val="0083303D"/>
    <w:rsid w:val="00833C90"/>
    <w:rsid w:val="00834614"/>
    <w:rsid w:val="008349B8"/>
    <w:rsid w:val="00840F5C"/>
    <w:rsid w:val="0084164E"/>
    <w:rsid w:val="00841B7A"/>
    <w:rsid w:val="00842844"/>
    <w:rsid w:val="00843B9B"/>
    <w:rsid w:val="00844A05"/>
    <w:rsid w:val="00845BB5"/>
    <w:rsid w:val="00845EEA"/>
    <w:rsid w:val="00846EFE"/>
    <w:rsid w:val="00847D68"/>
    <w:rsid w:val="00850058"/>
    <w:rsid w:val="00850953"/>
    <w:rsid w:val="00850DD2"/>
    <w:rsid w:val="00851091"/>
    <w:rsid w:val="008523A4"/>
    <w:rsid w:val="008524A3"/>
    <w:rsid w:val="008529A0"/>
    <w:rsid w:val="00852E60"/>
    <w:rsid w:val="008530A8"/>
    <w:rsid w:val="00853876"/>
    <w:rsid w:val="0085493D"/>
    <w:rsid w:val="00854DDA"/>
    <w:rsid w:val="00854EF1"/>
    <w:rsid w:val="00855415"/>
    <w:rsid w:val="00857E39"/>
    <w:rsid w:val="008601FC"/>
    <w:rsid w:val="00860530"/>
    <w:rsid w:val="008618D2"/>
    <w:rsid w:val="00861E0D"/>
    <w:rsid w:val="00862227"/>
    <w:rsid w:val="00862AFD"/>
    <w:rsid w:val="00863A4C"/>
    <w:rsid w:val="00863B09"/>
    <w:rsid w:val="00863E1A"/>
    <w:rsid w:val="00864104"/>
    <w:rsid w:val="00864883"/>
    <w:rsid w:val="00865386"/>
    <w:rsid w:val="0086644D"/>
    <w:rsid w:val="0086708C"/>
    <w:rsid w:val="00870043"/>
    <w:rsid w:val="00870BF3"/>
    <w:rsid w:val="00871424"/>
    <w:rsid w:val="00871ED7"/>
    <w:rsid w:val="00871FD1"/>
    <w:rsid w:val="00872A7C"/>
    <w:rsid w:val="0087370E"/>
    <w:rsid w:val="00873E2D"/>
    <w:rsid w:val="00875FD8"/>
    <w:rsid w:val="0087623B"/>
    <w:rsid w:val="0087638C"/>
    <w:rsid w:val="008765D6"/>
    <w:rsid w:val="00876EB7"/>
    <w:rsid w:val="008771ED"/>
    <w:rsid w:val="00880060"/>
    <w:rsid w:val="008805FF"/>
    <w:rsid w:val="00881627"/>
    <w:rsid w:val="0088195F"/>
    <w:rsid w:val="00881E14"/>
    <w:rsid w:val="00884474"/>
    <w:rsid w:val="00884E58"/>
    <w:rsid w:val="008869B1"/>
    <w:rsid w:val="00887730"/>
    <w:rsid w:val="008878D6"/>
    <w:rsid w:val="00890280"/>
    <w:rsid w:val="0089161D"/>
    <w:rsid w:val="00891879"/>
    <w:rsid w:val="008919C1"/>
    <w:rsid w:val="00892E9E"/>
    <w:rsid w:val="00892EA3"/>
    <w:rsid w:val="0089348E"/>
    <w:rsid w:val="00894215"/>
    <w:rsid w:val="008958D2"/>
    <w:rsid w:val="00896110"/>
    <w:rsid w:val="00896247"/>
    <w:rsid w:val="00896407"/>
    <w:rsid w:val="00896477"/>
    <w:rsid w:val="00897349"/>
    <w:rsid w:val="008A0404"/>
    <w:rsid w:val="008A1976"/>
    <w:rsid w:val="008A1C68"/>
    <w:rsid w:val="008A251E"/>
    <w:rsid w:val="008A3542"/>
    <w:rsid w:val="008A46A8"/>
    <w:rsid w:val="008A51F5"/>
    <w:rsid w:val="008A555D"/>
    <w:rsid w:val="008A76C6"/>
    <w:rsid w:val="008A7C43"/>
    <w:rsid w:val="008B013D"/>
    <w:rsid w:val="008B3CFD"/>
    <w:rsid w:val="008B56B3"/>
    <w:rsid w:val="008B5D97"/>
    <w:rsid w:val="008C081A"/>
    <w:rsid w:val="008C1A20"/>
    <w:rsid w:val="008C2929"/>
    <w:rsid w:val="008C33A2"/>
    <w:rsid w:val="008C3BB7"/>
    <w:rsid w:val="008C3BFB"/>
    <w:rsid w:val="008C5418"/>
    <w:rsid w:val="008C7E72"/>
    <w:rsid w:val="008C7FD2"/>
    <w:rsid w:val="008D0602"/>
    <w:rsid w:val="008D1EB3"/>
    <w:rsid w:val="008D23FB"/>
    <w:rsid w:val="008D3119"/>
    <w:rsid w:val="008D4D18"/>
    <w:rsid w:val="008D4F84"/>
    <w:rsid w:val="008D5E0B"/>
    <w:rsid w:val="008D5EAC"/>
    <w:rsid w:val="008D6188"/>
    <w:rsid w:val="008D6BB7"/>
    <w:rsid w:val="008D736B"/>
    <w:rsid w:val="008D736F"/>
    <w:rsid w:val="008D743C"/>
    <w:rsid w:val="008D77F7"/>
    <w:rsid w:val="008E00F0"/>
    <w:rsid w:val="008E07C5"/>
    <w:rsid w:val="008E13EE"/>
    <w:rsid w:val="008E3B1A"/>
    <w:rsid w:val="008E3B95"/>
    <w:rsid w:val="008E42D1"/>
    <w:rsid w:val="008E5169"/>
    <w:rsid w:val="008E56BA"/>
    <w:rsid w:val="008E6064"/>
    <w:rsid w:val="008E62A6"/>
    <w:rsid w:val="008E6C9A"/>
    <w:rsid w:val="008E6E3E"/>
    <w:rsid w:val="008E71B4"/>
    <w:rsid w:val="008F068E"/>
    <w:rsid w:val="008F06B7"/>
    <w:rsid w:val="008F0A6B"/>
    <w:rsid w:val="008F14AC"/>
    <w:rsid w:val="008F433E"/>
    <w:rsid w:val="008F434B"/>
    <w:rsid w:val="008F4C1C"/>
    <w:rsid w:val="008F591A"/>
    <w:rsid w:val="008F617D"/>
    <w:rsid w:val="008F70AD"/>
    <w:rsid w:val="008F757C"/>
    <w:rsid w:val="00900532"/>
    <w:rsid w:val="009023CF"/>
    <w:rsid w:val="009035D2"/>
    <w:rsid w:val="00904597"/>
    <w:rsid w:val="0090498D"/>
    <w:rsid w:val="009051C5"/>
    <w:rsid w:val="00905992"/>
    <w:rsid w:val="00910447"/>
    <w:rsid w:val="00910FDC"/>
    <w:rsid w:val="00911A17"/>
    <w:rsid w:val="00912EE1"/>
    <w:rsid w:val="00913B7E"/>
    <w:rsid w:val="00914FFE"/>
    <w:rsid w:val="009169D8"/>
    <w:rsid w:val="009171D8"/>
    <w:rsid w:val="00917D52"/>
    <w:rsid w:val="00922EEE"/>
    <w:rsid w:val="009237BB"/>
    <w:rsid w:val="00924A37"/>
    <w:rsid w:val="009266DD"/>
    <w:rsid w:val="009273A3"/>
    <w:rsid w:val="009278BE"/>
    <w:rsid w:val="00931DBC"/>
    <w:rsid w:val="00931FBA"/>
    <w:rsid w:val="0093265F"/>
    <w:rsid w:val="00933230"/>
    <w:rsid w:val="00933CD2"/>
    <w:rsid w:val="00934578"/>
    <w:rsid w:val="00935B45"/>
    <w:rsid w:val="00936022"/>
    <w:rsid w:val="00936B0E"/>
    <w:rsid w:val="0094051C"/>
    <w:rsid w:val="00940E2C"/>
    <w:rsid w:val="009414AC"/>
    <w:rsid w:val="0094265B"/>
    <w:rsid w:val="00942AA4"/>
    <w:rsid w:val="00944865"/>
    <w:rsid w:val="0094593A"/>
    <w:rsid w:val="00945946"/>
    <w:rsid w:val="00945A13"/>
    <w:rsid w:val="00945B17"/>
    <w:rsid w:val="00946355"/>
    <w:rsid w:val="00946A2E"/>
    <w:rsid w:val="00947B9E"/>
    <w:rsid w:val="00951E03"/>
    <w:rsid w:val="00953484"/>
    <w:rsid w:val="00953921"/>
    <w:rsid w:val="00953B18"/>
    <w:rsid w:val="00954F88"/>
    <w:rsid w:val="00957AC3"/>
    <w:rsid w:val="00957C93"/>
    <w:rsid w:val="00961E86"/>
    <w:rsid w:val="00962518"/>
    <w:rsid w:val="00962C25"/>
    <w:rsid w:val="00962CDD"/>
    <w:rsid w:val="00962EC4"/>
    <w:rsid w:val="009638C0"/>
    <w:rsid w:val="00964BB7"/>
    <w:rsid w:val="0096521B"/>
    <w:rsid w:val="009665DB"/>
    <w:rsid w:val="00966E3D"/>
    <w:rsid w:val="0096707A"/>
    <w:rsid w:val="0096789E"/>
    <w:rsid w:val="009708A8"/>
    <w:rsid w:val="00970A1D"/>
    <w:rsid w:val="00970F7D"/>
    <w:rsid w:val="009712C4"/>
    <w:rsid w:val="00971779"/>
    <w:rsid w:val="00972784"/>
    <w:rsid w:val="00973045"/>
    <w:rsid w:val="0097333E"/>
    <w:rsid w:val="00974182"/>
    <w:rsid w:val="00974799"/>
    <w:rsid w:val="00974E75"/>
    <w:rsid w:val="00975187"/>
    <w:rsid w:val="00975E08"/>
    <w:rsid w:val="00975E18"/>
    <w:rsid w:val="00975EA9"/>
    <w:rsid w:val="0098031C"/>
    <w:rsid w:val="00980D7D"/>
    <w:rsid w:val="00981E36"/>
    <w:rsid w:val="00982D0B"/>
    <w:rsid w:val="00982D35"/>
    <w:rsid w:val="009830C9"/>
    <w:rsid w:val="00983567"/>
    <w:rsid w:val="0098420B"/>
    <w:rsid w:val="0098719E"/>
    <w:rsid w:val="009876C6"/>
    <w:rsid w:val="00987C10"/>
    <w:rsid w:val="00987E5B"/>
    <w:rsid w:val="0099031F"/>
    <w:rsid w:val="00991503"/>
    <w:rsid w:val="0099246E"/>
    <w:rsid w:val="0099391F"/>
    <w:rsid w:val="00993A55"/>
    <w:rsid w:val="00994262"/>
    <w:rsid w:val="0099597A"/>
    <w:rsid w:val="00996406"/>
    <w:rsid w:val="00996BD0"/>
    <w:rsid w:val="00997B8F"/>
    <w:rsid w:val="00997FE3"/>
    <w:rsid w:val="009A0C8C"/>
    <w:rsid w:val="009A1194"/>
    <w:rsid w:val="009A2F21"/>
    <w:rsid w:val="009A3150"/>
    <w:rsid w:val="009A3470"/>
    <w:rsid w:val="009A37F5"/>
    <w:rsid w:val="009A4E2B"/>
    <w:rsid w:val="009A5B2A"/>
    <w:rsid w:val="009A6B73"/>
    <w:rsid w:val="009A6D81"/>
    <w:rsid w:val="009A7D27"/>
    <w:rsid w:val="009B06F4"/>
    <w:rsid w:val="009B12B8"/>
    <w:rsid w:val="009B1C6C"/>
    <w:rsid w:val="009B32DA"/>
    <w:rsid w:val="009B6969"/>
    <w:rsid w:val="009B765E"/>
    <w:rsid w:val="009C3768"/>
    <w:rsid w:val="009C444F"/>
    <w:rsid w:val="009C6EF0"/>
    <w:rsid w:val="009D16C8"/>
    <w:rsid w:val="009D1939"/>
    <w:rsid w:val="009D1D56"/>
    <w:rsid w:val="009D2444"/>
    <w:rsid w:val="009D3931"/>
    <w:rsid w:val="009D3D0A"/>
    <w:rsid w:val="009D4002"/>
    <w:rsid w:val="009D48AF"/>
    <w:rsid w:val="009D5769"/>
    <w:rsid w:val="009D5FB1"/>
    <w:rsid w:val="009D668D"/>
    <w:rsid w:val="009D7B8C"/>
    <w:rsid w:val="009E0A13"/>
    <w:rsid w:val="009E30EB"/>
    <w:rsid w:val="009E4E2C"/>
    <w:rsid w:val="009E5C16"/>
    <w:rsid w:val="009E66F0"/>
    <w:rsid w:val="009E6741"/>
    <w:rsid w:val="009E7231"/>
    <w:rsid w:val="009E7672"/>
    <w:rsid w:val="009E7F64"/>
    <w:rsid w:val="009F1345"/>
    <w:rsid w:val="009F1A2F"/>
    <w:rsid w:val="009F324B"/>
    <w:rsid w:val="009F4D46"/>
    <w:rsid w:val="009F6123"/>
    <w:rsid w:val="009F67E1"/>
    <w:rsid w:val="009F7490"/>
    <w:rsid w:val="00A0120A"/>
    <w:rsid w:val="00A02109"/>
    <w:rsid w:val="00A0316F"/>
    <w:rsid w:val="00A0335D"/>
    <w:rsid w:val="00A03B57"/>
    <w:rsid w:val="00A06137"/>
    <w:rsid w:val="00A061B8"/>
    <w:rsid w:val="00A0622E"/>
    <w:rsid w:val="00A069D4"/>
    <w:rsid w:val="00A070BB"/>
    <w:rsid w:val="00A070D4"/>
    <w:rsid w:val="00A070FE"/>
    <w:rsid w:val="00A07E1A"/>
    <w:rsid w:val="00A10BAB"/>
    <w:rsid w:val="00A110C5"/>
    <w:rsid w:val="00A11329"/>
    <w:rsid w:val="00A1203B"/>
    <w:rsid w:val="00A1237C"/>
    <w:rsid w:val="00A14766"/>
    <w:rsid w:val="00A14AC0"/>
    <w:rsid w:val="00A1597E"/>
    <w:rsid w:val="00A161B7"/>
    <w:rsid w:val="00A225E8"/>
    <w:rsid w:val="00A228E6"/>
    <w:rsid w:val="00A23149"/>
    <w:rsid w:val="00A23763"/>
    <w:rsid w:val="00A2405B"/>
    <w:rsid w:val="00A25548"/>
    <w:rsid w:val="00A25E44"/>
    <w:rsid w:val="00A2632E"/>
    <w:rsid w:val="00A2654F"/>
    <w:rsid w:val="00A31721"/>
    <w:rsid w:val="00A31BA5"/>
    <w:rsid w:val="00A31C07"/>
    <w:rsid w:val="00A32D91"/>
    <w:rsid w:val="00A345D8"/>
    <w:rsid w:val="00A348C7"/>
    <w:rsid w:val="00A36222"/>
    <w:rsid w:val="00A36463"/>
    <w:rsid w:val="00A36C57"/>
    <w:rsid w:val="00A37389"/>
    <w:rsid w:val="00A37C70"/>
    <w:rsid w:val="00A40246"/>
    <w:rsid w:val="00A40B68"/>
    <w:rsid w:val="00A40FEC"/>
    <w:rsid w:val="00A42E9A"/>
    <w:rsid w:val="00A444F9"/>
    <w:rsid w:val="00A44ACE"/>
    <w:rsid w:val="00A44C99"/>
    <w:rsid w:val="00A463DC"/>
    <w:rsid w:val="00A464A9"/>
    <w:rsid w:val="00A46936"/>
    <w:rsid w:val="00A47788"/>
    <w:rsid w:val="00A47BB5"/>
    <w:rsid w:val="00A47E3D"/>
    <w:rsid w:val="00A50ACF"/>
    <w:rsid w:val="00A50EFB"/>
    <w:rsid w:val="00A51A6D"/>
    <w:rsid w:val="00A52C0F"/>
    <w:rsid w:val="00A52D87"/>
    <w:rsid w:val="00A53C78"/>
    <w:rsid w:val="00A53D59"/>
    <w:rsid w:val="00A55F37"/>
    <w:rsid w:val="00A5624E"/>
    <w:rsid w:val="00A5763E"/>
    <w:rsid w:val="00A57A04"/>
    <w:rsid w:val="00A57D44"/>
    <w:rsid w:val="00A57F5F"/>
    <w:rsid w:val="00A60140"/>
    <w:rsid w:val="00A607BB"/>
    <w:rsid w:val="00A60C3E"/>
    <w:rsid w:val="00A614ED"/>
    <w:rsid w:val="00A62EB3"/>
    <w:rsid w:val="00A6370F"/>
    <w:rsid w:val="00A63D4C"/>
    <w:rsid w:val="00A64B59"/>
    <w:rsid w:val="00A64EF8"/>
    <w:rsid w:val="00A6609E"/>
    <w:rsid w:val="00A663F3"/>
    <w:rsid w:val="00A66AC5"/>
    <w:rsid w:val="00A6761B"/>
    <w:rsid w:val="00A70FF7"/>
    <w:rsid w:val="00A71220"/>
    <w:rsid w:val="00A7130F"/>
    <w:rsid w:val="00A72F08"/>
    <w:rsid w:val="00A73FD0"/>
    <w:rsid w:val="00A7400B"/>
    <w:rsid w:val="00A74F68"/>
    <w:rsid w:val="00A754BB"/>
    <w:rsid w:val="00A75733"/>
    <w:rsid w:val="00A75EDC"/>
    <w:rsid w:val="00A75F42"/>
    <w:rsid w:val="00A767D7"/>
    <w:rsid w:val="00A77142"/>
    <w:rsid w:val="00A77945"/>
    <w:rsid w:val="00A77EA4"/>
    <w:rsid w:val="00A8089E"/>
    <w:rsid w:val="00A80D4A"/>
    <w:rsid w:val="00A83F47"/>
    <w:rsid w:val="00A84831"/>
    <w:rsid w:val="00A8491E"/>
    <w:rsid w:val="00A8523A"/>
    <w:rsid w:val="00A87D29"/>
    <w:rsid w:val="00A9238E"/>
    <w:rsid w:val="00A92730"/>
    <w:rsid w:val="00A93177"/>
    <w:rsid w:val="00A943F1"/>
    <w:rsid w:val="00A969D5"/>
    <w:rsid w:val="00AA1290"/>
    <w:rsid w:val="00AA1AE6"/>
    <w:rsid w:val="00AA3044"/>
    <w:rsid w:val="00AA3959"/>
    <w:rsid w:val="00AA4614"/>
    <w:rsid w:val="00AA4AC9"/>
    <w:rsid w:val="00AA501D"/>
    <w:rsid w:val="00AA51A2"/>
    <w:rsid w:val="00AA658C"/>
    <w:rsid w:val="00AA661B"/>
    <w:rsid w:val="00AA7C1A"/>
    <w:rsid w:val="00AA7E43"/>
    <w:rsid w:val="00AB004C"/>
    <w:rsid w:val="00AB077D"/>
    <w:rsid w:val="00AB1BC0"/>
    <w:rsid w:val="00AB2221"/>
    <w:rsid w:val="00AB317C"/>
    <w:rsid w:val="00AB4144"/>
    <w:rsid w:val="00AB4309"/>
    <w:rsid w:val="00AB4664"/>
    <w:rsid w:val="00AB55B3"/>
    <w:rsid w:val="00AB6329"/>
    <w:rsid w:val="00AB661A"/>
    <w:rsid w:val="00AB6F5C"/>
    <w:rsid w:val="00AB75F0"/>
    <w:rsid w:val="00AB7C8D"/>
    <w:rsid w:val="00AC0312"/>
    <w:rsid w:val="00AC05E5"/>
    <w:rsid w:val="00AC118E"/>
    <w:rsid w:val="00AC12C3"/>
    <w:rsid w:val="00AC1FA2"/>
    <w:rsid w:val="00AC2397"/>
    <w:rsid w:val="00AC267D"/>
    <w:rsid w:val="00AC2BFF"/>
    <w:rsid w:val="00AC2CFC"/>
    <w:rsid w:val="00AC4601"/>
    <w:rsid w:val="00AC5AF0"/>
    <w:rsid w:val="00AC5B63"/>
    <w:rsid w:val="00AC64F8"/>
    <w:rsid w:val="00AC73D1"/>
    <w:rsid w:val="00AC7A29"/>
    <w:rsid w:val="00AD3418"/>
    <w:rsid w:val="00AD3888"/>
    <w:rsid w:val="00AD41CC"/>
    <w:rsid w:val="00AD5F14"/>
    <w:rsid w:val="00AD7B82"/>
    <w:rsid w:val="00AE0B37"/>
    <w:rsid w:val="00AE12EB"/>
    <w:rsid w:val="00AE52FA"/>
    <w:rsid w:val="00AE5583"/>
    <w:rsid w:val="00AE6F9B"/>
    <w:rsid w:val="00AE7D36"/>
    <w:rsid w:val="00AF08FE"/>
    <w:rsid w:val="00AF2708"/>
    <w:rsid w:val="00AF4372"/>
    <w:rsid w:val="00AF4B63"/>
    <w:rsid w:val="00AF59B7"/>
    <w:rsid w:val="00AF5EF6"/>
    <w:rsid w:val="00AF722D"/>
    <w:rsid w:val="00B003A4"/>
    <w:rsid w:val="00B008B4"/>
    <w:rsid w:val="00B00C37"/>
    <w:rsid w:val="00B01E06"/>
    <w:rsid w:val="00B02572"/>
    <w:rsid w:val="00B028FA"/>
    <w:rsid w:val="00B02B1E"/>
    <w:rsid w:val="00B02DB2"/>
    <w:rsid w:val="00B03BD1"/>
    <w:rsid w:val="00B0415B"/>
    <w:rsid w:val="00B0448C"/>
    <w:rsid w:val="00B04A09"/>
    <w:rsid w:val="00B05212"/>
    <w:rsid w:val="00B060FE"/>
    <w:rsid w:val="00B064B6"/>
    <w:rsid w:val="00B079C6"/>
    <w:rsid w:val="00B10867"/>
    <w:rsid w:val="00B1096B"/>
    <w:rsid w:val="00B1173C"/>
    <w:rsid w:val="00B12782"/>
    <w:rsid w:val="00B12EB8"/>
    <w:rsid w:val="00B1430D"/>
    <w:rsid w:val="00B16048"/>
    <w:rsid w:val="00B164E0"/>
    <w:rsid w:val="00B16BD6"/>
    <w:rsid w:val="00B16C4B"/>
    <w:rsid w:val="00B16CCF"/>
    <w:rsid w:val="00B177D6"/>
    <w:rsid w:val="00B178AD"/>
    <w:rsid w:val="00B17CAB"/>
    <w:rsid w:val="00B210EE"/>
    <w:rsid w:val="00B248D7"/>
    <w:rsid w:val="00B25081"/>
    <w:rsid w:val="00B257F4"/>
    <w:rsid w:val="00B2580E"/>
    <w:rsid w:val="00B25F64"/>
    <w:rsid w:val="00B27AE6"/>
    <w:rsid w:val="00B303AF"/>
    <w:rsid w:val="00B314AA"/>
    <w:rsid w:val="00B33A13"/>
    <w:rsid w:val="00B3460C"/>
    <w:rsid w:val="00B358EC"/>
    <w:rsid w:val="00B35987"/>
    <w:rsid w:val="00B363D2"/>
    <w:rsid w:val="00B376D4"/>
    <w:rsid w:val="00B40632"/>
    <w:rsid w:val="00B40ECE"/>
    <w:rsid w:val="00B4137F"/>
    <w:rsid w:val="00B417E6"/>
    <w:rsid w:val="00B4195B"/>
    <w:rsid w:val="00B41AE3"/>
    <w:rsid w:val="00B42371"/>
    <w:rsid w:val="00B4239B"/>
    <w:rsid w:val="00B42ACF"/>
    <w:rsid w:val="00B42B61"/>
    <w:rsid w:val="00B439C3"/>
    <w:rsid w:val="00B442F2"/>
    <w:rsid w:val="00B4488A"/>
    <w:rsid w:val="00B4489D"/>
    <w:rsid w:val="00B44BC8"/>
    <w:rsid w:val="00B4507C"/>
    <w:rsid w:val="00B45C2E"/>
    <w:rsid w:val="00B46596"/>
    <w:rsid w:val="00B46B29"/>
    <w:rsid w:val="00B46B93"/>
    <w:rsid w:val="00B46D9B"/>
    <w:rsid w:val="00B47610"/>
    <w:rsid w:val="00B512B6"/>
    <w:rsid w:val="00B514E3"/>
    <w:rsid w:val="00B5293F"/>
    <w:rsid w:val="00B531E5"/>
    <w:rsid w:val="00B54ACC"/>
    <w:rsid w:val="00B54D08"/>
    <w:rsid w:val="00B5509B"/>
    <w:rsid w:val="00B5537D"/>
    <w:rsid w:val="00B6204F"/>
    <w:rsid w:val="00B621B9"/>
    <w:rsid w:val="00B627E8"/>
    <w:rsid w:val="00B62AAE"/>
    <w:rsid w:val="00B62D1F"/>
    <w:rsid w:val="00B6389F"/>
    <w:rsid w:val="00B63D30"/>
    <w:rsid w:val="00B63EC6"/>
    <w:rsid w:val="00B64BA4"/>
    <w:rsid w:val="00B64EE8"/>
    <w:rsid w:val="00B65C69"/>
    <w:rsid w:val="00B65F18"/>
    <w:rsid w:val="00B6647F"/>
    <w:rsid w:val="00B6796F"/>
    <w:rsid w:val="00B70222"/>
    <w:rsid w:val="00B70475"/>
    <w:rsid w:val="00B746CB"/>
    <w:rsid w:val="00B76680"/>
    <w:rsid w:val="00B769CC"/>
    <w:rsid w:val="00B77263"/>
    <w:rsid w:val="00B8126E"/>
    <w:rsid w:val="00B83969"/>
    <w:rsid w:val="00B83F53"/>
    <w:rsid w:val="00B84CC3"/>
    <w:rsid w:val="00B85096"/>
    <w:rsid w:val="00B8565F"/>
    <w:rsid w:val="00B87D96"/>
    <w:rsid w:val="00B91258"/>
    <w:rsid w:val="00B9171C"/>
    <w:rsid w:val="00B91B47"/>
    <w:rsid w:val="00B933F3"/>
    <w:rsid w:val="00B9341E"/>
    <w:rsid w:val="00B93A15"/>
    <w:rsid w:val="00B95D27"/>
    <w:rsid w:val="00B96CAB"/>
    <w:rsid w:val="00BA0090"/>
    <w:rsid w:val="00BA11DC"/>
    <w:rsid w:val="00BA158A"/>
    <w:rsid w:val="00BA2C9C"/>
    <w:rsid w:val="00BA31D2"/>
    <w:rsid w:val="00BA3FCC"/>
    <w:rsid w:val="00BA4A4F"/>
    <w:rsid w:val="00BA5408"/>
    <w:rsid w:val="00BA63DE"/>
    <w:rsid w:val="00BA7270"/>
    <w:rsid w:val="00BA78B7"/>
    <w:rsid w:val="00BA7CDA"/>
    <w:rsid w:val="00BA7D00"/>
    <w:rsid w:val="00BB0196"/>
    <w:rsid w:val="00BB1EA5"/>
    <w:rsid w:val="00BB2F88"/>
    <w:rsid w:val="00BB3316"/>
    <w:rsid w:val="00BB5403"/>
    <w:rsid w:val="00BB5F39"/>
    <w:rsid w:val="00BB65D1"/>
    <w:rsid w:val="00BB794A"/>
    <w:rsid w:val="00BC030F"/>
    <w:rsid w:val="00BC0BA5"/>
    <w:rsid w:val="00BC0D5F"/>
    <w:rsid w:val="00BC40A7"/>
    <w:rsid w:val="00BC4261"/>
    <w:rsid w:val="00BC46D0"/>
    <w:rsid w:val="00BC531E"/>
    <w:rsid w:val="00BC5A90"/>
    <w:rsid w:val="00BC673B"/>
    <w:rsid w:val="00BC69FF"/>
    <w:rsid w:val="00BC712F"/>
    <w:rsid w:val="00BC75F6"/>
    <w:rsid w:val="00BC7833"/>
    <w:rsid w:val="00BD09B3"/>
    <w:rsid w:val="00BD09CE"/>
    <w:rsid w:val="00BD0C45"/>
    <w:rsid w:val="00BD165F"/>
    <w:rsid w:val="00BD2AC2"/>
    <w:rsid w:val="00BD2AE2"/>
    <w:rsid w:val="00BD4B35"/>
    <w:rsid w:val="00BD5395"/>
    <w:rsid w:val="00BD5A4E"/>
    <w:rsid w:val="00BD5DFB"/>
    <w:rsid w:val="00BD6431"/>
    <w:rsid w:val="00BD6960"/>
    <w:rsid w:val="00BD7543"/>
    <w:rsid w:val="00BD7ADC"/>
    <w:rsid w:val="00BE16AB"/>
    <w:rsid w:val="00BE1B8A"/>
    <w:rsid w:val="00BE310F"/>
    <w:rsid w:val="00BE3CFD"/>
    <w:rsid w:val="00BE50C2"/>
    <w:rsid w:val="00BE5B54"/>
    <w:rsid w:val="00BE65EC"/>
    <w:rsid w:val="00BE67AE"/>
    <w:rsid w:val="00BE77E6"/>
    <w:rsid w:val="00BF039E"/>
    <w:rsid w:val="00BF0838"/>
    <w:rsid w:val="00BF1B6B"/>
    <w:rsid w:val="00BF2882"/>
    <w:rsid w:val="00BF39E2"/>
    <w:rsid w:val="00BF40AA"/>
    <w:rsid w:val="00BF4732"/>
    <w:rsid w:val="00BF4ADC"/>
    <w:rsid w:val="00BF5B50"/>
    <w:rsid w:val="00BF5E69"/>
    <w:rsid w:val="00BF6B28"/>
    <w:rsid w:val="00BF6C40"/>
    <w:rsid w:val="00BF7487"/>
    <w:rsid w:val="00BF7E02"/>
    <w:rsid w:val="00C00757"/>
    <w:rsid w:val="00C00B91"/>
    <w:rsid w:val="00C0109D"/>
    <w:rsid w:val="00C0138A"/>
    <w:rsid w:val="00C02A27"/>
    <w:rsid w:val="00C04C1B"/>
    <w:rsid w:val="00C068D6"/>
    <w:rsid w:val="00C06FD9"/>
    <w:rsid w:val="00C10379"/>
    <w:rsid w:val="00C1083A"/>
    <w:rsid w:val="00C10B18"/>
    <w:rsid w:val="00C1197A"/>
    <w:rsid w:val="00C12993"/>
    <w:rsid w:val="00C12B90"/>
    <w:rsid w:val="00C140A4"/>
    <w:rsid w:val="00C144DB"/>
    <w:rsid w:val="00C14A11"/>
    <w:rsid w:val="00C15359"/>
    <w:rsid w:val="00C177EA"/>
    <w:rsid w:val="00C23162"/>
    <w:rsid w:val="00C23AE3"/>
    <w:rsid w:val="00C248AC"/>
    <w:rsid w:val="00C25BA6"/>
    <w:rsid w:val="00C27684"/>
    <w:rsid w:val="00C276B9"/>
    <w:rsid w:val="00C27EDA"/>
    <w:rsid w:val="00C27FCF"/>
    <w:rsid w:val="00C305B1"/>
    <w:rsid w:val="00C30B8B"/>
    <w:rsid w:val="00C312EB"/>
    <w:rsid w:val="00C324A6"/>
    <w:rsid w:val="00C32A00"/>
    <w:rsid w:val="00C32A8C"/>
    <w:rsid w:val="00C32ACB"/>
    <w:rsid w:val="00C3330E"/>
    <w:rsid w:val="00C33A16"/>
    <w:rsid w:val="00C33B04"/>
    <w:rsid w:val="00C33F5D"/>
    <w:rsid w:val="00C34862"/>
    <w:rsid w:val="00C34C1C"/>
    <w:rsid w:val="00C35CA3"/>
    <w:rsid w:val="00C35E44"/>
    <w:rsid w:val="00C36102"/>
    <w:rsid w:val="00C363C0"/>
    <w:rsid w:val="00C3795E"/>
    <w:rsid w:val="00C4031D"/>
    <w:rsid w:val="00C40DDA"/>
    <w:rsid w:val="00C416C0"/>
    <w:rsid w:val="00C41FD7"/>
    <w:rsid w:val="00C44A47"/>
    <w:rsid w:val="00C44BA0"/>
    <w:rsid w:val="00C45989"/>
    <w:rsid w:val="00C45C40"/>
    <w:rsid w:val="00C47C73"/>
    <w:rsid w:val="00C50044"/>
    <w:rsid w:val="00C51819"/>
    <w:rsid w:val="00C537D5"/>
    <w:rsid w:val="00C5412E"/>
    <w:rsid w:val="00C54198"/>
    <w:rsid w:val="00C54568"/>
    <w:rsid w:val="00C5464C"/>
    <w:rsid w:val="00C55177"/>
    <w:rsid w:val="00C55542"/>
    <w:rsid w:val="00C5559F"/>
    <w:rsid w:val="00C56123"/>
    <w:rsid w:val="00C56325"/>
    <w:rsid w:val="00C56A88"/>
    <w:rsid w:val="00C56CF3"/>
    <w:rsid w:val="00C57651"/>
    <w:rsid w:val="00C57BB2"/>
    <w:rsid w:val="00C609C4"/>
    <w:rsid w:val="00C60F8B"/>
    <w:rsid w:val="00C62187"/>
    <w:rsid w:val="00C6230B"/>
    <w:rsid w:val="00C62D1C"/>
    <w:rsid w:val="00C6331E"/>
    <w:rsid w:val="00C64BA5"/>
    <w:rsid w:val="00C65D22"/>
    <w:rsid w:val="00C67331"/>
    <w:rsid w:val="00C679D9"/>
    <w:rsid w:val="00C72116"/>
    <w:rsid w:val="00C732B5"/>
    <w:rsid w:val="00C73E0D"/>
    <w:rsid w:val="00C757C7"/>
    <w:rsid w:val="00C768B8"/>
    <w:rsid w:val="00C77A13"/>
    <w:rsid w:val="00C77AD5"/>
    <w:rsid w:val="00C809BD"/>
    <w:rsid w:val="00C809FA"/>
    <w:rsid w:val="00C80B9D"/>
    <w:rsid w:val="00C81312"/>
    <w:rsid w:val="00C833B5"/>
    <w:rsid w:val="00C8344D"/>
    <w:rsid w:val="00C837A4"/>
    <w:rsid w:val="00C84BE9"/>
    <w:rsid w:val="00C850DF"/>
    <w:rsid w:val="00C85C74"/>
    <w:rsid w:val="00C8768A"/>
    <w:rsid w:val="00C90F6A"/>
    <w:rsid w:val="00C91661"/>
    <w:rsid w:val="00C92867"/>
    <w:rsid w:val="00C93746"/>
    <w:rsid w:val="00C94557"/>
    <w:rsid w:val="00C94AA7"/>
    <w:rsid w:val="00CA0B0C"/>
    <w:rsid w:val="00CA1AE3"/>
    <w:rsid w:val="00CA1E06"/>
    <w:rsid w:val="00CA2882"/>
    <w:rsid w:val="00CA2C9D"/>
    <w:rsid w:val="00CA31DD"/>
    <w:rsid w:val="00CA321B"/>
    <w:rsid w:val="00CA351B"/>
    <w:rsid w:val="00CA46BC"/>
    <w:rsid w:val="00CA480D"/>
    <w:rsid w:val="00CA512E"/>
    <w:rsid w:val="00CA7225"/>
    <w:rsid w:val="00CA7CB1"/>
    <w:rsid w:val="00CA7E0E"/>
    <w:rsid w:val="00CB038E"/>
    <w:rsid w:val="00CB111F"/>
    <w:rsid w:val="00CB1477"/>
    <w:rsid w:val="00CB3342"/>
    <w:rsid w:val="00CB3615"/>
    <w:rsid w:val="00CB3A99"/>
    <w:rsid w:val="00CB5F6E"/>
    <w:rsid w:val="00CB7509"/>
    <w:rsid w:val="00CC0126"/>
    <w:rsid w:val="00CC051E"/>
    <w:rsid w:val="00CC2B24"/>
    <w:rsid w:val="00CC3852"/>
    <w:rsid w:val="00CC3BFA"/>
    <w:rsid w:val="00CC412C"/>
    <w:rsid w:val="00CC5324"/>
    <w:rsid w:val="00CC5B4C"/>
    <w:rsid w:val="00CC5BF7"/>
    <w:rsid w:val="00CC5EAC"/>
    <w:rsid w:val="00CC6ABC"/>
    <w:rsid w:val="00CC730C"/>
    <w:rsid w:val="00CC7FF7"/>
    <w:rsid w:val="00CD0746"/>
    <w:rsid w:val="00CD13B8"/>
    <w:rsid w:val="00CD1E4E"/>
    <w:rsid w:val="00CD3074"/>
    <w:rsid w:val="00CD3D4B"/>
    <w:rsid w:val="00CD3FBD"/>
    <w:rsid w:val="00CD533A"/>
    <w:rsid w:val="00CD610E"/>
    <w:rsid w:val="00CD6830"/>
    <w:rsid w:val="00CD6DFC"/>
    <w:rsid w:val="00CD7BDF"/>
    <w:rsid w:val="00CD7EE8"/>
    <w:rsid w:val="00CE0148"/>
    <w:rsid w:val="00CE160F"/>
    <w:rsid w:val="00CE176F"/>
    <w:rsid w:val="00CE1D2D"/>
    <w:rsid w:val="00CE1D73"/>
    <w:rsid w:val="00CE1F8F"/>
    <w:rsid w:val="00CE3534"/>
    <w:rsid w:val="00CE416B"/>
    <w:rsid w:val="00CE5718"/>
    <w:rsid w:val="00CE5CEC"/>
    <w:rsid w:val="00CE7018"/>
    <w:rsid w:val="00CE7963"/>
    <w:rsid w:val="00CE7D70"/>
    <w:rsid w:val="00CF24C8"/>
    <w:rsid w:val="00CF32D4"/>
    <w:rsid w:val="00CF5F82"/>
    <w:rsid w:val="00CF6FB7"/>
    <w:rsid w:val="00D008D9"/>
    <w:rsid w:val="00D024CA"/>
    <w:rsid w:val="00D02834"/>
    <w:rsid w:val="00D03790"/>
    <w:rsid w:val="00D04E87"/>
    <w:rsid w:val="00D04F8A"/>
    <w:rsid w:val="00D05444"/>
    <w:rsid w:val="00D0554E"/>
    <w:rsid w:val="00D05766"/>
    <w:rsid w:val="00D057B5"/>
    <w:rsid w:val="00D059FB"/>
    <w:rsid w:val="00D060B7"/>
    <w:rsid w:val="00D06645"/>
    <w:rsid w:val="00D06ACE"/>
    <w:rsid w:val="00D06CF5"/>
    <w:rsid w:val="00D121A5"/>
    <w:rsid w:val="00D13655"/>
    <w:rsid w:val="00D13789"/>
    <w:rsid w:val="00D13AF7"/>
    <w:rsid w:val="00D147F8"/>
    <w:rsid w:val="00D14BEB"/>
    <w:rsid w:val="00D1706F"/>
    <w:rsid w:val="00D1721D"/>
    <w:rsid w:val="00D173A4"/>
    <w:rsid w:val="00D17F50"/>
    <w:rsid w:val="00D20335"/>
    <w:rsid w:val="00D20CAD"/>
    <w:rsid w:val="00D20FC6"/>
    <w:rsid w:val="00D22784"/>
    <w:rsid w:val="00D23BE2"/>
    <w:rsid w:val="00D23C40"/>
    <w:rsid w:val="00D2441E"/>
    <w:rsid w:val="00D2651E"/>
    <w:rsid w:val="00D2656E"/>
    <w:rsid w:val="00D2686E"/>
    <w:rsid w:val="00D27A0B"/>
    <w:rsid w:val="00D27D4B"/>
    <w:rsid w:val="00D27F93"/>
    <w:rsid w:val="00D31603"/>
    <w:rsid w:val="00D31CA8"/>
    <w:rsid w:val="00D31F9B"/>
    <w:rsid w:val="00D32D2A"/>
    <w:rsid w:val="00D33CD9"/>
    <w:rsid w:val="00D345CD"/>
    <w:rsid w:val="00D347C0"/>
    <w:rsid w:val="00D34D80"/>
    <w:rsid w:val="00D34F7F"/>
    <w:rsid w:val="00D35AF4"/>
    <w:rsid w:val="00D3648B"/>
    <w:rsid w:val="00D364C7"/>
    <w:rsid w:val="00D36A73"/>
    <w:rsid w:val="00D37504"/>
    <w:rsid w:val="00D37A81"/>
    <w:rsid w:val="00D4001C"/>
    <w:rsid w:val="00D400C8"/>
    <w:rsid w:val="00D40B93"/>
    <w:rsid w:val="00D42111"/>
    <w:rsid w:val="00D42947"/>
    <w:rsid w:val="00D42E6E"/>
    <w:rsid w:val="00D432BD"/>
    <w:rsid w:val="00D440B0"/>
    <w:rsid w:val="00D4447F"/>
    <w:rsid w:val="00D45299"/>
    <w:rsid w:val="00D45308"/>
    <w:rsid w:val="00D4564A"/>
    <w:rsid w:val="00D45B8E"/>
    <w:rsid w:val="00D470B9"/>
    <w:rsid w:val="00D47905"/>
    <w:rsid w:val="00D50DE9"/>
    <w:rsid w:val="00D50FA1"/>
    <w:rsid w:val="00D51A32"/>
    <w:rsid w:val="00D52252"/>
    <w:rsid w:val="00D5231F"/>
    <w:rsid w:val="00D5237E"/>
    <w:rsid w:val="00D529B2"/>
    <w:rsid w:val="00D53344"/>
    <w:rsid w:val="00D534F3"/>
    <w:rsid w:val="00D549E1"/>
    <w:rsid w:val="00D54B68"/>
    <w:rsid w:val="00D559DF"/>
    <w:rsid w:val="00D55EB0"/>
    <w:rsid w:val="00D565AB"/>
    <w:rsid w:val="00D56624"/>
    <w:rsid w:val="00D572A8"/>
    <w:rsid w:val="00D619E4"/>
    <w:rsid w:val="00D6240D"/>
    <w:rsid w:val="00D63EFB"/>
    <w:rsid w:val="00D64781"/>
    <w:rsid w:val="00D65510"/>
    <w:rsid w:val="00D65E4D"/>
    <w:rsid w:val="00D66703"/>
    <w:rsid w:val="00D6690A"/>
    <w:rsid w:val="00D6784A"/>
    <w:rsid w:val="00D7096D"/>
    <w:rsid w:val="00D71043"/>
    <w:rsid w:val="00D720FE"/>
    <w:rsid w:val="00D722A0"/>
    <w:rsid w:val="00D7273F"/>
    <w:rsid w:val="00D73625"/>
    <w:rsid w:val="00D73FC9"/>
    <w:rsid w:val="00D74C97"/>
    <w:rsid w:val="00D74FA4"/>
    <w:rsid w:val="00D76208"/>
    <w:rsid w:val="00D803EF"/>
    <w:rsid w:val="00D80487"/>
    <w:rsid w:val="00D80869"/>
    <w:rsid w:val="00D81AA3"/>
    <w:rsid w:val="00D81F6F"/>
    <w:rsid w:val="00D83139"/>
    <w:rsid w:val="00D837AB"/>
    <w:rsid w:val="00D843E0"/>
    <w:rsid w:val="00D854EA"/>
    <w:rsid w:val="00D85941"/>
    <w:rsid w:val="00D859E0"/>
    <w:rsid w:val="00D86D05"/>
    <w:rsid w:val="00D905AF"/>
    <w:rsid w:val="00D94F41"/>
    <w:rsid w:val="00D95232"/>
    <w:rsid w:val="00D96206"/>
    <w:rsid w:val="00D963F1"/>
    <w:rsid w:val="00D974A2"/>
    <w:rsid w:val="00D97C77"/>
    <w:rsid w:val="00DA0027"/>
    <w:rsid w:val="00DA0CFC"/>
    <w:rsid w:val="00DA1AB4"/>
    <w:rsid w:val="00DA2C46"/>
    <w:rsid w:val="00DA2FDB"/>
    <w:rsid w:val="00DA302E"/>
    <w:rsid w:val="00DA320A"/>
    <w:rsid w:val="00DA420D"/>
    <w:rsid w:val="00DA478B"/>
    <w:rsid w:val="00DA4799"/>
    <w:rsid w:val="00DA5C67"/>
    <w:rsid w:val="00DA69CD"/>
    <w:rsid w:val="00DA6F59"/>
    <w:rsid w:val="00DA7013"/>
    <w:rsid w:val="00DA730F"/>
    <w:rsid w:val="00DB0022"/>
    <w:rsid w:val="00DB01F9"/>
    <w:rsid w:val="00DB09E6"/>
    <w:rsid w:val="00DB0BDA"/>
    <w:rsid w:val="00DB0F65"/>
    <w:rsid w:val="00DB162B"/>
    <w:rsid w:val="00DB1A2C"/>
    <w:rsid w:val="00DB1BE6"/>
    <w:rsid w:val="00DB2488"/>
    <w:rsid w:val="00DB24B9"/>
    <w:rsid w:val="00DB3100"/>
    <w:rsid w:val="00DB5CFD"/>
    <w:rsid w:val="00DB75CC"/>
    <w:rsid w:val="00DB7FC3"/>
    <w:rsid w:val="00DC03B2"/>
    <w:rsid w:val="00DC0C20"/>
    <w:rsid w:val="00DC15D8"/>
    <w:rsid w:val="00DC1776"/>
    <w:rsid w:val="00DC20BC"/>
    <w:rsid w:val="00DC4F38"/>
    <w:rsid w:val="00DC6CD3"/>
    <w:rsid w:val="00DC7EA0"/>
    <w:rsid w:val="00DD0826"/>
    <w:rsid w:val="00DD5045"/>
    <w:rsid w:val="00DD6070"/>
    <w:rsid w:val="00DD71A1"/>
    <w:rsid w:val="00DE0436"/>
    <w:rsid w:val="00DE04F6"/>
    <w:rsid w:val="00DE12B2"/>
    <w:rsid w:val="00DE1574"/>
    <w:rsid w:val="00DE1C3E"/>
    <w:rsid w:val="00DE2366"/>
    <w:rsid w:val="00DE2CCB"/>
    <w:rsid w:val="00DE3318"/>
    <w:rsid w:val="00DE3F3E"/>
    <w:rsid w:val="00DE4657"/>
    <w:rsid w:val="00DE4B31"/>
    <w:rsid w:val="00DE63CA"/>
    <w:rsid w:val="00DE641F"/>
    <w:rsid w:val="00DE7D24"/>
    <w:rsid w:val="00DF037A"/>
    <w:rsid w:val="00DF0D24"/>
    <w:rsid w:val="00DF18A3"/>
    <w:rsid w:val="00DF20D6"/>
    <w:rsid w:val="00DF21AB"/>
    <w:rsid w:val="00DF26C1"/>
    <w:rsid w:val="00DF2DFA"/>
    <w:rsid w:val="00DF3B6F"/>
    <w:rsid w:val="00DF5059"/>
    <w:rsid w:val="00DF507F"/>
    <w:rsid w:val="00DF5208"/>
    <w:rsid w:val="00DF59B9"/>
    <w:rsid w:val="00E00F4A"/>
    <w:rsid w:val="00E01332"/>
    <w:rsid w:val="00E0140C"/>
    <w:rsid w:val="00E03DDF"/>
    <w:rsid w:val="00E06066"/>
    <w:rsid w:val="00E068B4"/>
    <w:rsid w:val="00E06E4E"/>
    <w:rsid w:val="00E071F5"/>
    <w:rsid w:val="00E1008B"/>
    <w:rsid w:val="00E10878"/>
    <w:rsid w:val="00E10C37"/>
    <w:rsid w:val="00E11188"/>
    <w:rsid w:val="00E11E0C"/>
    <w:rsid w:val="00E12C79"/>
    <w:rsid w:val="00E12DDC"/>
    <w:rsid w:val="00E13E5A"/>
    <w:rsid w:val="00E153A3"/>
    <w:rsid w:val="00E155D9"/>
    <w:rsid w:val="00E179D4"/>
    <w:rsid w:val="00E17AE5"/>
    <w:rsid w:val="00E17F79"/>
    <w:rsid w:val="00E21819"/>
    <w:rsid w:val="00E24314"/>
    <w:rsid w:val="00E26B60"/>
    <w:rsid w:val="00E31246"/>
    <w:rsid w:val="00E32692"/>
    <w:rsid w:val="00E32FAA"/>
    <w:rsid w:val="00E3452D"/>
    <w:rsid w:val="00E345D3"/>
    <w:rsid w:val="00E34F47"/>
    <w:rsid w:val="00E35D14"/>
    <w:rsid w:val="00E36BFF"/>
    <w:rsid w:val="00E3756B"/>
    <w:rsid w:val="00E40127"/>
    <w:rsid w:val="00E41477"/>
    <w:rsid w:val="00E4196F"/>
    <w:rsid w:val="00E41FAC"/>
    <w:rsid w:val="00E421F5"/>
    <w:rsid w:val="00E42817"/>
    <w:rsid w:val="00E4290A"/>
    <w:rsid w:val="00E434DE"/>
    <w:rsid w:val="00E43841"/>
    <w:rsid w:val="00E4581D"/>
    <w:rsid w:val="00E459F9"/>
    <w:rsid w:val="00E4630B"/>
    <w:rsid w:val="00E471A1"/>
    <w:rsid w:val="00E47209"/>
    <w:rsid w:val="00E50351"/>
    <w:rsid w:val="00E509AE"/>
    <w:rsid w:val="00E513D9"/>
    <w:rsid w:val="00E51989"/>
    <w:rsid w:val="00E51AD4"/>
    <w:rsid w:val="00E5232B"/>
    <w:rsid w:val="00E52BC3"/>
    <w:rsid w:val="00E52F84"/>
    <w:rsid w:val="00E53156"/>
    <w:rsid w:val="00E544A0"/>
    <w:rsid w:val="00E54EB6"/>
    <w:rsid w:val="00E56571"/>
    <w:rsid w:val="00E60CE8"/>
    <w:rsid w:val="00E60FF2"/>
    <w:rsid w:val="00E61A8A"/>
    <w:rsid w:val="00E61BB1"/>
    <w:rsid w:val="00E62C5C"/>
    <w:rsid w:val="00E63215"/>
    <w:rsid w:val="00E63756"/>
    <w:rsid w:val="00E64722"/>
    <w:rsid w:val="00E65238"/>
    <w:rsid w:val="00E65EB9"/>
    <w:rsid w:val="00E668C9"/>
    <w:rsid w:val="00E679AB"/>
    <w:rsid w:val="00E67C9A"/>
    <w:rsid w:val="00E70EB7"/>
    <w:rsid w:val="00E71F86"/>
    <w:rsid w:val="00E72416"/>
    <w:rsid w:val="00E733FE"/>
    <w:rsid w:val="00E7341F"/>
    <w:rsid w:val="00E75006"/>
    <w:rsid w:val="00E757EC"/>
    <w:rsid w:val="00E76B09"/>
    <w:rsid w:val="00E80388"/>
    <w:rsid w:val="00E80F78"/>
    <w:rsid w:val="00E81555"/>
    <w:rsid w:val="00E82E7D"/>
    <w:rsid w:val="00E8392F"/>
    <w:rsid w:val="00E83AA0"/>
    <w:rsid w:val="00E83D6F"/>
    <w:rsid w:val="00E8455D"/>
    <w:rsid w:val="00E84B2B"/>
    <w:rsid w:val="00E84E40"/>
    <w:rsid w:val="00E863E5"/>
    <w:rsid w:val="00E868D4"/>
    <w:rsid w:val="00E87899"/>
    <w:rsid w:val="00E90D49"/>
    <w:rsid w:val="00E916CE"/>
    <w:rsid w:val="00E920B7"/>
    <w:rsid w:val="00E92BF8"/>
    <w:rsid w:val="00E938D1"/>
    <w:rsid w:val="00E93964"/>
    <w:rsid w:val="00E94A6B"/>
    <w:rsid w:val="00E966CA"/>
    <w:rsid w:val="00E9709E"/>
    <w:rsid w:val="00EA0BD1"/>
    <w:rsid w:val="00EA3604"/>
    <w:rsid w:val="00EA3888"/>
    <w:rsid w:val="00EA3B3C"/>
    <w:rsid w:val="00EA3E0A"/>
    <w:rsid w:val="00EA47E3"/>
    <w:rsid w:val="00EA56CB"/>
    <w:rsid w:val="00EA6023"/>
    <w:rsid w:val="00EA6FFA"/>
    <w:rsid w:val="00EB0512"/>
    <w:rsid w:val="00EB4651"/>
    <w:rsid w:val="00EB525C"/>
    <w:rsid w:val="00EB55F8"/>
    <w:rsid w:val="00EB560F"/>
    <w:rsid w:val="00EB61D3"/>
    <w:rsid w:val="00EB6EAA"/>
    <w:rsid w:val="00EB6FED"/>
    <w:rsid w:val="00EB7746"/>
    <w:rsid w:val="00EB7F01"/>
    <w:rsid w:val="00EC0659"/>
    <w:rsid w:val="00EC09ED"/>
    <w:rsid w:val="00EC0A59"/>
    <w:rsid w:val="00EC1797"/>
    <w:rsid w:val="00EC17C9"/>
    <w:rsid w:val="00EC28F6"/>
    <w:rsid w:val="00EC2E37"/>
    <w:rsid w:val="00EC459D"/>
    <w:rsid w:val="00EC519D"/>
    <w:rsid w:val="00EC5694"/>
    <w:rsid w:val="00EC6674"/>
    <w:rsid w:val="00EC6AF8"/>
    <w:rsid w:val="00EC796C"/>
    <w:rsid w:val="00ED0012"/>
    <w:rsid w:val="00ED05C4"/>
    <w:rsid w:val="00ED102D"/>
    <w:rsid w:val="00ED1301"/>
    <w:rsid w:val="00ED1700"/>
    <w:rsid w:val="00ED37A8"/>
    <w:rsid w:val="00ED6428"/>
    <w:rsid w:val="00ED66FA"/>
    <w:rsid w:val="00ED72CA"/>
    <w:rsid w:val="00ED7A5E"/>
    <w:rsid w:val="00EE02C6"/>
    <w:rsid w:val="00EE0EE9"/>
    <w:rsid w:val="00EE2044"/>
    <w:rsid w:val="00EE24ED"/>
    <w:rsid w:val="00EE2BC9"/>
    <w:rsid w:val="00EE34F5"/>
    <w:rsid w:val="00EE3562"/>
    <w:rsid w:val="00EE3930"/>
    <w:rsid w:val="00EE4434"/>
    <w:rsid w:val="00EE48D2"/>
    <w:rsid w:val="00EE67FE"/>
    <w:rsid w:val="00EE6A69"/>
    <w:rsid w:val="00EE6B24"/>
    <w:rsid w:val="00EE6C52"/>
    <w:rsid w:val="00EE7B50"/>
    <w:rsid w:val="00EF02B4"/>
    <w:rsid w:val="00EF0487"/>
    <w:rsid w:val="00EF0C42"/>
    <w:rsid w:val="00EF1E17"/>
    <w:rsid w:val="00EF267E"/>
    <w:rsid w:val="00EF4498"/>
    <w:rsid w:val="00EF4800"/>
    <w:rsid w:val="00EF4B28"/>
    <w:rsid w:val="00EF6A2C"/>
    <w:rsid w:val="00EF6F02"/>
    <w:rsid w:val="00EF75AC"/>
    <w:rsid w:val="00EF75E9"/>
    <w:rsid w:val="00EF77CA"/>
    <w:rsid w:val="00EF7A80"/>
    <w:rsid w:val="00F0041E"/>
    <w:rsid w:val="00F00E19"/>
    <w:rsid w:val="00F01220"/>
    <w:rsid w:val="00F01833"/>
    <w:rsid w:val="00F049EF"/>
    <w:rsid w:val="00F04ACA"/>
    <w:rsid w:val="00F053EF"/>
    <w:rsid w:val="00F05703"/>
    <w:rsid w:val="00F07642"/>
    <w:rsid w:val="00F07973"/>
    <w:rsid w:val="00F11866"/>
    <w:rsid w:val="00F1233C"/>
    <w:rsid w:val="00F129CB"/>
    <w:rsid w:val="00F13B37"/>
    <w:rsid w:val="00F1499E"/>
    <w:rsid w:val="00F151DE"/>
    <w:rsid w:val="00F162CF"/>
    <w:rsid w:val="00F169F1"/>
    <w:rsid w:val="00F16CB4"/>
    <w:rsid w:val="00F20284"/>
    <w:rsid w:val="00F214BE"/>
    <w:rsid w:val="00F216B8"/>
    <w:rsid w:val="00F22553"/>
    <w:rsid w:val="00F2286D"/>
    <w:rsid w:val="00F235B9"/>
    <w:rsid w:val="00F23B14"/>
    <w:rsid w:val="00F2424C"/>
    <w:rsid w:val="00F24278"/>
    <w:rsid w:val="00F24D6A"/>
    <w:rsid w:val="00F24DFF"/>
    <w:rsid w:val="00F271F9"/>
    <w:rsid w:val="00F278D5"/>
    <w:rsid w:val="00F30FBC"/>
    <w:rsid w:val="00F31EEF"/>
    <w:rsid w:val="00F32203"/>
    <w:rsid w:val="00F32BEA"/>
    <w:rsid w:val="00F335D0"/>
    <w:rsid w:val="00F33A6A"/>
    <w:rsid w:val="00F33EBD"/>
    <w:rsid w:val="00F34185"/>
    <w:rsid w:val="00F34F5D"/>
    <w:rsid w:val="00F354C8"/>
    <w:rsid w:val="00F362A5"/>
    <w:rsid w:val="00F36ED3"/>
    <w:rsid w:val="00F377DC"/>
    <w:rsid w:val="00F379D4"/>
    <w:rsid w:val="00F40BAA"/>
    <w:rsid w:val="00F4139E"/>
    <w:rsid w:val="00F41F16"/>
    <w:rsid w:val="00F421F6"/>
    <w:rsid w:val="00F4324D"/>
    <w:rsid w:val="00F46791"/>
    <w:rsid w:val="00F47020"/>
    <w:rsid w:val="00F508C0"/>
    <w:rsid w:val="00F508F4"/>
    <w:rsid w:val="00F50F96"/>
    <w:rsid w:val="00F51125"/>
    <w:rsid w:val="00F51FD7"/>
    <w:rsid w:val="00F52258"/>
    <w:rsid w:val="00F52F3B"/>
    <w:rsid w:val="00F53EA4"/>
    <w:rsid w:val="00F55AFE"/>
    <w:rsid w:val="00F55CB0"/>
    <w:rsid w:val="00F55D0F"/>
    <w:rsid w:val="00F56ED2"/>
    <w:rsid w:val="00F57D72"/>
    <w:rsid w:val="00F57D8E"/>
    <w:rsid w:val="00F6271B"/>
    <w:rsid w:val="00F648A0"/>
    <w:rsid w:val="00F64BAA"/>
    <w:rsid w:val="00F65092"/>
    <w:rsid w:val="00F66D3F"/>
    <w:rsid w:val="00F673A5"/>
    <w:rsid w:val="00F673BE"/>
    <w:rsid w:val="00F708F7"/>
    <w:rsid w:val="00F71FBD"/>
    <w:rsid w:val="00F7318F"/>
    <w:rsid w:val="00F732D8"/>
    <w:rsid w:val="00F74592"/>
    <w:rsid w:val="00F747C6"/>
    <w:rsid w:val="00F75D29"/>
    <w:rsid w:val="00F76AAC"/>
    <w:rsid w:val="00F76D7B"/>
    <w:rsid w:val="00F76E52"/>
    <w:rsid w:val="00F76EF3"/>
    <w:rsid w:val="00F80284"/>
    <w:rsid w:val="00F82B36"/>
    <w:rsid w:val="00F82EA7"/>
    <w:rsid w:val="00F82EAA"/>
    <w:rsid w:val="00F83811"/>
    <w:rsid w:val="00F84966"/>
    <w:rsid w:val="00F85216"/>
    <w:rsid w:val="00F85C7B"/>
    <w:rsid w:val="00F8713C"/>
    <w:rsid w:val="00F913EE"/>
    <w:rsid w:val="00F9220D"/>
    <w:rsid w:val="00F939BC"/>
    <w:rsid w:val="00F9409E"/>
    <w:rsid w:val="00F940AD"/>
    <w:rsid w:val="00F957C1"/>
    <w:rsid w:val="00F95BCA"/>
    <w:rsid w:val="00F97453"/>
    <w:rsid w:val="00F97651"/>
    <w:rsid w:val="00F976FD"/>
    <w:rsid w:val="00F97959"/>
    <w:rsid w:val="00FA0C41"/>
    <w:rsid w:val="00FA0DC1"/>
    <w:rsid w:val="00FA1DE0"/>
    <w:rsid w:val="00FA1ED7"/>
    <w:rsid w:val="00FA5FA6"/>
    <w:rsid w:val="00FA6CCD"/>
    <w:rsid w:val="00FA6FCF"/>
    <w:rsid w:val="00FB07F5"/>
    <w:rsid w:val="00FB1A89"/>
    <w:rsid w:val="00FB23DB"/>
    <w:rsid w:val="00FB2446"/>
    <w:rsid w:val="00FB2AC5"/>
    <w:rsid w:val="00FB3D0B"/>
    <w:rsid w:val="00FB45D0"/>
    <w:rsid w:val="00FB4E07"/>
    <w:rsid w:val="00FB592F"/>
    <w:rsid w:val="00FB5A26"/>
    <w:rsid w:val="00FB6B08"/>
    <w:rsid w:val="00FB78F1"/>
    <w:rsid w:val="00FC19C8"/>
    <w:rsid w:val="00FC2387"/>
    <w:rsid w:val="00FC2496"/>
    <w:rsid w:val="00FC25F6"/>
    <w:rsid w:val="00FC340E"/>
    <w:rsid w:val="00FC4206"/>
    <w:rsid w:val="00FC5DF3"/>
    <w:rsid w:val="00FC62A5"/>
    <w:rsid w:val="00FC789B"/>
    <w:rsid w:val="00FC78E3"/>
    <w:rsid w:val="00FD0DA5"/>
    <w:rsid w:val="00FD2105"/>
    <w:rsid w:val="00FD231A"/>
    <w:rsid w:val="00FD3F1B"/>
    <w:rsid w:val="00FD4622"/>
    <w:rsid w:val="00FD46B3"/>
    <w:rsid w:val="00FD497A"/>
    <w:rsid w:val="00FD6CCD"/>
    <w:rsid w:val="00FD74DA"/>
    <w:rsid w:val="00FE0085"/>
    <w:rsid w:val="00FE066F"/>
    <w:rsid w:val="00FE08B6"/>
    <w:rsid w:val="00FE08C1"/>
    <w:rsid w:val="00FE0B29"/>
    <w:rsid w:val="00FE1572"/>
    <w:rsid w:val="00FE1A6F"/>
    <w:rsid w:val="00FE2259"/>
    <w:rsid w:val="00FE4197"/>
    <w:rsid w:val="00FE47DA"/>
    <w:rsid w:val="00FE4EF8"/>
    <w:rsid w:val="00FE4F77"/>
    <w:rsid w:val="00FE53D4"/>
    <w:rsid w:val="00FE5BE0"/>
    <w:rsid w:val="00FE6C3B"/>
    <w:rsid w:val="00FE73A4"/>
    <w:rsid w:val="00FE7EED"/>
    <w:rsid w:val="00FE7F00"/>
    <w:rsid w:val="00FF0857"/>
    <w:rsid w:val="00FF2AB3"/>
    <w:rsid w:val="00FF3090"/>
    <w:rsid w:val="00FF3135"/>
    <w:rsid w:val="00FF3D10"/>
    <w:rsid w:val="00FF3FF3"/>
    <w:rsid w:val="00FF4175"/>
    <w:rsid w:val="00FF4194"/>
    <w:rsid w:val="00FF435C"/>
    <w:rsid w:val="00FF5C78"/>
    <w:rsid w:val="00FF67CF"/>
    <w:rsid w:val="00FF7C84"/>
    <w:rsid w:val="0108528D"/>
    <w:rsid w:val="010D3333"/>
    <w:rsid w:val="0160A272"/>
    <w:rsid w:val="01D92D40"/>
    <w:rsid w:val="026C9C3B"/>
    <w:rsid w:val="029A98C4"/>
    <w:rsid w:val="02E173D5"/>
    <w:rsid w:val="034B1CB5"/>
    <w:rsid w:val="03987069"/>
    <w:rsid w:val="03A8C7E1"/>
    <w:rsid w:val="03E6D04B"/>
    <w:rsid w:val="042F40FD"/>
    <w:rsid w:val="04856A2E"/>
    <w:rsid w:val="04DDAA5D"/>
    <w:rsid w:val="04E8DFFD"/>
    <w:rsid w:val="0573109B"/>
    <w:rsid w:val="05B3E009"/>
    <w:rsid w:val="05F5DB3C"/>
    <w:rsid w:val="05FE03DC"/>
    <w:rsid w:val="063702BE"/>
    <w:rsid w:val="06737ADE"/>
    <w:rsid w:val="06ACD424"/>
    <w:rsid w:val="0718F896"/>
    <w:rsid w:val="075F831C"/>
    <w:rsid w:val="07875CD5"/>
    <w:rsid w:val="0801464B"/>
    <w:rsid w:val="08062FC4"/>
    <w:rsid w:val="080CBB89"/>
    <w:rsid w:val="090E3805"/>
    <w:rsid w:val="09A135DC"/>
    <w:rsid w:val="09D57E6B"/>
    <w:rsid w:val="09E65BBB"/>
    <w:rsid w:val="0A61A259"/>
    <w:rsid w:val="0A99BF27"/>
    <w:rsid w:val="0A9C1C0C"/>
    <w:rsid w:val="0ABB9D5D"/>
    <w:rsid w:val="0ABD1C74"/>
    <w:rsid w:val="0AFB8FA2"/>
    <w:rsid w:val="0B4BBCF1"/>
    <w:rsid w:val="0B915A69"/>
    <w:rsid w:val="0BD388DF"/>
    <w:rsid w:val="0BDC5DD2"/>
    <w:rsid w:val="0BE17E5E"/>
    <w:rsid w:val="0BE6429B"/>
    <w:rsid w:val="0C0AEEEB"/>
    <w:rsid w:val="0C1C5C93"/>
    <w:rsid w:val="0CACADFD"/>
    <w:rsid w:val="0DE8E6F9"/>
    <w:rsid w:val="0E6B6446"/>
    <w:rsid w:val="0EA5DC04"/>
    <w:rsid w:val="0EAB263B"/>
    <w:rsid w:val="0EC81739"/>
    <w:rsid w:val="0EE7735C"/>
    <w:rsid w:val="0FAC0AB3"/>
    <w:rsid w:val="101C43AA"/>
    <w:rsid w:val="1097C150"/>
    <w:rsid w:val="10C5EBDE"/>
    <w:rsid w:val="10F49313"/>
    <w:rsid w:val="10F83CFA"/>
    <w:rsid w:val="11F1CFDC"/>
    <w:rsid w:val="1331935A"/>
    <w:rsid w:val="13AF9052"/>
    <w:rsid w:val="1433C74C"/>
    <w:rsid w:val="158DF9C2"/>
    <w:rsid w:val="15BEB5EA"/>
    <w:rsid w:val="15CE8C12"/>
    <w:rsid w:val="160E845C"/>
    <w:rsid w:val="162D0842"/>
    <w:rsid w:val="162D5AE6"/>
    <w:rsid w:val="164D9756"/>
    <w:rsid w:val="167AC8B8"/>
    <w:rsid w:val="16D62813"/>
    <w:rsid w:val="177D34C2"/>
    <w:rsid w:val="17F9DDE0"/>
    <w:rsid w:val="18175608"/>
    <w:rsid w:val="184A1B59"/>
    <w:rsid w:val="18F9E37C"/>
    <w:rsid w:val="18FA347D"/>
    <w:rsid w:val="1944AE67"/>
    <w:rsid w:val="1981D821"/>
    <w:rsid w:val="1A0751A1"/>
    <w:rsid w:val="1A156D7F"/>
    <w:rsid w:val="1A161B02"/>
    <w:rsid w:val="1B02D9C6"/>
    <w:rsid w:val="1B1D52B0"/>
    <w:rsid w:val="1B615A24"/>
    <w:rsid w:val="1D9A8972"/>
    <w:rsid w:val="1DC33C0A"/>
    <w:rsid w:val="1E84AF3E"/>
    <w:rsid w:val="1F763C8A"/>
    <w:rsid w:val="2009507B"/>
    <w:rsid w:val="205011FB"/>
    <w:rsid w:val="20690263"/>
    <w:rsid w:val="207A700B"/>
    <w:rsid w:val="2093A9F3"/>
    <w:rsid w:val="20D79B63"/>
    <w:rsid w:val="20DC4FFD"/>
    <w:rsid w:val="20DD21E3"/>
    <w:rsid w:val="20E1C53E"/>
    <w:rsid w:val="21045DE9"/>
    <w:rsid w:val="2143887F"/>
    <w:rsid w:val="21C239B5"/>
    <w:rsid w:val="21DED141"/>
    <w:rsid w:val="221E9D31"/>
    <w:rsid w:val="228738BE"/>
    <w:rsid w:val="229D38F2"/>
    <w:rsid w:val="22C5A1A0"/>
    <w:rsid w:val="22D0F50A"/>
    <w:rsid w:val="22D2F8DB"/>
    <w:rsid w:val="2322393A"/>
    <w:rsid w:val="236B5376"/>
    <w:rsid w:val="23BC3BF5"/>
    <w:rsid w:val="23FB7658"/>
    <w:rsid w:val="24DFCDCC"/>
    <w:rsid w:val="25DB3E3B"/>
    <w:rsid w:val="26225470"/>
    <w:rsid w:val="266C14B2"/>
    <w:rsid w:val="26BBE9C4"/>
    <w:rsid w:val="26FEB5A4"/>
    <w:rsid w:val="2735FF47"/>
    <w:rsid w:val="275B4159"/>
    <w:rsid w:val="282963AE"/>
    <w:rsid w:val="289F2424"/>
    <w:rsid w:val="28A80331"/>
    <w:rsid w:val="296D66E1"/>
    <w:rsid w:val="29CABBE4"/>
    <w:rsid w:val="2A176C8D"/>
    <w:rsid w:val="2A538244"/>
    <w:rsid w:val="2A60C432"/>
    <w:rsid w:val="2ADEC976"/>
    <w:rsid w:val="2AFCB0DA"/>
    <w:rsid w:val="2B2789A3"/>
    <w:rsid w:val="2B295AA3"/>
    <w:rsid w:val="2B6E5192"/>
    <w:rsid w:val="2BC11EC1"/>
    <w:rsid w:val="2C78D36F"/>
    <w:rsid w:val="2C7AD1E8"/>
    <w:rsid w:val="2CB1427E"/>
    <w:rsid w:val="2DA9D29C"/>
    <w:rsid w:val="2DCE5881"/>
    <w:rsid w:val="2E530EFA"/>
    <w:rsid w:val="2F2E19CA"/>
    <w:rsid w:val="2F5B20DB"/>
    <w:rsid w:val="309FF2BB"/>
    <w:rsid w:val="30FA68EA"/>
    <w:rsid w:val="312EEE50"/>
    <w:rsid w:val="3214D568"/>
    <w:rsid w:val="3270C153"/>
    <w:rsid w:val="32FBEB13"/>
    <w:rsid w:val="33329B88"/>
    <w:rsid w:val="33B06DFB"/>
    <w:rsid w:val="33CBD697"/>
    <w:rsid w:val="33DF31E5"/>
    <w:rsid w:val="342B1C2B"/>
    <w:rsid w:val="347E23D8"/>
    <w:rsid w:val="3496A641"/>
    <w:rsid w:val="34A03F77"/>
    <w:rsid w:val="34DE8CF2"/>
    <w:rsid w:val="34EDED3A"/>
    <w:rsid w:val="35DE18C5"/>
    <w:rsid w:val="35E813B9"/>
    <w:rsid w:val="36207FFE"/>
    <w:rsid w:val="36DEF342"/>
    <w:rsid w:val="3707032E"/>
    <w:rsid w:val="3734AE31"/>
    <w:rsid w:val="3777BE17"/>
    <w:rsid w:val="37A4C72C"/>
    <w:rsid w:val="37A68201"/>
    <w:rsid w:val="37EAE178"/>
    <w:rsid w:val="38305713"/>
    <w:rsid w:val="38534D13"/>
    <w:rsid w:val="3966CBE1"/>
    <w:rsid w:val="396C28B6"/>
    <w:rsid w:val="39A9B023"/>
    <w:rsid w:val="39B1FE15"/>
    <w:rsid w:val="39EB4868"/>
    <w:rsid w:val="3B2E10C5"/>
    <w:rsid w:val="3B6C9F61"/>
    <w:rsid w:val="3BA79DB6"/>
    <w:rsid w:val="3C360394"/>
    <w:rsid w:val="3C8FC182"/>
    <w:rsid w:val="3C90568C"/>
    <w:rsid w:val="3CBF4067"/>
    <w:rsid w:val="3CE99ED7"/>
    <w:rsid w:val="3DF9D99C"/>
    <w:rsid w:val="3E315E1D"/>
    <w:rsid w:val="3EDD7B8B"/>
    <w:rsid w:val="3EDD8FAD"/>
    <w:rsid w:val="3F279F5E"/>
    <w:rsid w:val="3F5213D4"/>
    <w:rsid w:val="40369CB5"/>
    <w:rsid w:val="4046A015"/>
    <w:rsid w:val="40642928"/>
    <w:rsid w:val="40931EE8"/>
    <w:rsid w:val="40AB22ED"/>
    <w:rsid w:val="40DC11E6"/>
    <w:rsid w:val="414619CC"/>
    <w:rsid w:val="41AB65F2"/>
    <w:rsid w:val="41F7E4C5"/>
    <w:rsid w:val="4207E614"/>
    <w:rsid w:val="427D845E"/>
    <w:rsid w:val="43931DAE"/>
    <w:rsid w:val="439EF118"/>
    <w:rsid w:val="43AD55E1"/>
    <w:rsid w:val="44268116"/>
    <w:rsid w:val="449C953C"/>
    <w:rsid w:val="44E2C94B"/>
    <w:rsid w:val="45366434"/>
    <w:rsid w:val="4538B38E"/>
    <w:rsid w:val="45587C62"/>
    <w:rsid w:val="457AC9A0"/>
    <w:rsid w:val="4600BCA1"/>
    <w:rsid w:val="4635FA67"/>
    <w:rsid w:val="46A4E42B"/>
    <w:rsid w:val="46AE8C86"/>
    <w:rsid w:val="470D3C01"/>
    <w:rsid w:val="475F50C8"/>
    <w:rsid w:val="47CEF010"/>
    <w:rsid w:val="480F4BBC"/>
    <w:rsid w:val="481EAFF8"/>
    <w:rsid w:val="48708CD5"/>
    <w:rsid w:val="489C05BE"/>
    <w:rsid w:val="48E1624F"/>
    <w:rsid w:val="49642BF5"/>
    <w:rsid w:val="49645EC6"/>
    <w:rsid w:val="4A4DE92C"/>
    <w:rsid w:val="4A842DB4"/>
    <w:rsid w:val="4AE07C00"/>
    <w:rsid w:val="4AEFC931"/>
    <w:rsid w:val="4B335E5F"/>
    <w:rsid w:val="4B383680"/>
    <w:rsid w:val="4B64A767"/>
    <w:rsid w:val="4B8524D7"/>
    <w:rsid w:val="4B901152"/>
    <w:rsid w:val="4BBC12B5"/>
    <w:rsid w:val="4C570899"/>
    <w:rsid w:val="4D228646"/>
    <w:rsid w:val="4D591C9E"/>
    <w:rsid w:val="4D79D3DF"/>
    <w:rsid w:val="4DA6F19F"/>
    <w:rsid w:val="4E1E42E5"/>
    <w:rsid w:val="4E6B4EB4"/>
    <w:rsid w:val="4E6CBAF1"/>
    <w:rsid w:val="4E7870BA"/>
    <w:rsid w:val="504369AC"/>
    <w:rsid w:val="5070D927"/>
    <w:rsid w:val="50D27EF7"/>
    <w:rsid w:val="5136152C"/>
    <w:rsid w:val="51BF2A5D"/>
    <w:rsid w:val="51EF78C5"/>
    <w:rsid w:val="51F6D96B"/>
    <w:rsid w:val="525C6941"/>
    <w:rsid w:val="5370C003"/>
    <w:rsid w:val="53767290"/>
    <w:rsid w:val="5494DA77"/>
    <w:rsid w:val="5583D807"/>
    <w:rsid w:val="55ACA6AF"/>
    <w:rsid w:val="55B19484"/>
    <w:rsid w:val="55E88223"/>
    <w:rsid w:val="567F54BA"/>
    <w:rsid w:val="56AE7D4B"/>
    <w:rsid w:val="570EAA05"/>
    <w:rsid w:val="571251AA"/>
    <w:rsid w:val="572E5E27"/>
    <w:rsid w:val="57CFA267"/>
    <w:rsid w:val="5823C989"/>
    <w:rsid w:val="589B6A9E"/>
    <w:rsid w:val="58AD642B"/>
    <w:rsid w:val="58C8354F"/>
    <w:rsid w:val="59B68FDA"/>
    <w:rsid w:val="59C7660A"/>
    <w:rsid w:val="59F24410"/>
    <w:rsid w:val="5A27EDCE"/>
    <w:rsid w:val="5A8574A7"/>
    <w:rsid w:val="5ACE723D"/>
    <w:rsid w:val="5B0A05B0"/>
    <w:rsid w:val="5B50CCA4"/>
    <w:rsid w:val="5B5951A2"/>
    <w:rsid w:val="5B8A8436"/>
    <w:rsid w:val="5BC354A3"/>
    <w:rsid w:val="5C0B39F7"/>
    <w:rsid w:val="5C2147A0"/>
    <w:rsid w:val="5C2FE2E3"/>
    <w:rsid w:val="5C4BB751"/>
    <w:rsid w:val="5CB30631"/>
    <w:rsid w:val="5D6F49F7"/>
    <w:rsid w:val="5E2685D7"/>
    <w:rsid w:val="5E4EBDFC"/>
    <w:rsid w:val="5E5645E0"/>
    <w:rsid w:val="5E57B744"/>
    <w:rsid w:val="5E6F4604"/>
    <w:rsid w:val="5EA86976"/>
    <w:rsid w:val="5EEBB6B6"/>
    <w:rsid w:val="5F0672AA"/>
    <w:rsid w:val="5F226826"/>
    <w:rsid w:val="5F2DEC19"/>
    <w:rsid w:val="5F3255E2"/>
    <w:rsid w:val="5F66050C"/>
    <w:rsid w:val="6141F46A"/>
    <w:rsid w:val="6144021D"/>
    <w:rsid w:val="6156AB30"/>
    <w:rsid w:val="61B3D609"/>
    <w:rsid w:val="61EE3A9A"/>
    <w:rsid w:val="62467031"/>
    <w:rsid w:val="628CC7E6"/>
    <w:rsid w:val="62FE8A81"/>
    <w:rsid w:val="63278BF4"/>
    <w:rsid w:val="64B02845"/>
    <w:rsid w:val="65843811"/>
    <w:rsid w:val="65DB3325"/>
    <w:rsid w:val="6601A4E2"/>
    <w:rsid w:val="663DE4FD"/>
    <w:rsid w:val="66A12E4D"/>
    <w:rsid w:val="66FDB526"/>
    <w:rsid w:val="686D1E42"/>
    <w:rsid w:val="68CFC065"/>
    <w:rsid w:val="68EBAD03"/>
    <w:rsid w:val="68F58938"/>
    <w:rsid w:val="693B212E"/>
    <w:rsid w:val="6975F7DF"/>
    <w:rsid w:val="6B6EAB23"/>
    <w:rsid w:val="6B98B767"/>
    <w:rsid w:val="6BAB82B6"/>
    <w:rsid w:val="6BB6D3D8"/>
    <w:rsid w:val="6BBF24FC"/>
    <w:rsid w:val="6BF4E8EA"/>
    <w:rsid w:val="6CA8A438"/>
    <w:rsid w:val="6D03A2F1"/>
    <w:rsid w:val="6D09E40C"/>
    <w:rsid w:val="6D104893"/>
    <w:rsid w:val="6D166230"/>
    <w:rsid w:val="6DE70F53"/>
    <w:rsid w:val="6E89330C"/>
    <w:rsid w:val="6F36C588"/>
    <w:rsid w:val="6F8AFF10"/>
    <w:rsid w:val="6FA31A20"/>
    <w:rsid w:val="6FA95171"/>
    <w:rsid w:val="6FDB142B"/>
    <w:rsid w:val="70268C6C"/>
    <w:rsid w:val="704F1E04"/>
    <w:rsid w:val="7087AAAD"/>
    <w:rsid w:val="709CAEC2"/>
    <w:rsid w:val="70AFBA99"/>
    <w:rsid w:val="7124A462"/>
    <w:rsid w:val="7129F69F"/>
    <w:rsid w:val="712D0AB6"/>
    <w:rsid w:val="7142412C"/>
    <w:rsid w:val="71EC3321"/>
    <w:rsid w:val="72C0FE9F"/>
    <w:rsid w:val="737162E0"/>
    <w:rsid w:val="7388FFA1"/>
    <w:rsid w:val="73F3193E"/>
    <w:rsid w:val="74464F88"/>
    <w:rsid w:val="74483D2E"/>
    <w:rsid w:val="747C9B56"/>
    <w:rsid w:val="759CF626"/>
    <w:rsid w:val="75AA9A93"/>
    <w:rsid w:val="76248627"/>
    <w:rsid w:val="764BE96B"/>
    <w:rsid w:val="7689EFEE"/>
    <w:rsid w:val="771E9A0E"/>
    <w:rsid w:val="7774DA39"/>
    <w:rsid w:val="77DB7723"/>
    <w:rsid w:val="77F1F404"/>
    <w:rsid w:val="77FC5B7E"/>
    <w:rsid w:val="7849ACEE"/>
    <w:rsid w:val="7907E2C9"/>
    <w:rsid w:val="79815F1E"/>
    <w:rsid w:val="79D9F95C"/>
    <w:rsid w:val="7A09F9A9"/>
    <w:rsid w:val="7A2EEFF4"/>
    <w:rsid w:val="7A835DF3"/>
    <w:rsid w:val="7A91A372"/>
    <w:rsid w:val="7B1F3350"/>
    <w:rsid w:val="7B64C1B7"/>
    <w:rsid w:val="7C52F056"/>
    <w:rsid w:val="7CA8C128"/>
    <w:rsid w:val="7CF7DB44"/>
    <w:rsid w:val="7D07BEDC"/>
    <w:rsid w:val="7D0F3D39"/>
    <w:rsid w:val="7D0F7999"/>
    <w:rsid w:val="7DD3093D"/>
    <w:rsid w:val="7E20E253"/>
    <w:rsid w:val="7EDC8878"/>
    <w:rsid w:val="7F7EE99A"/>
    <w:rsid w:val="7FB626EF"/>
    <w:rsid w:val="7FC20B2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DB"/>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2C5317"/>
    <w:pPr>
      <w:keepNext/>
      <w:pBdr>
        <w:bottom w:val="single" w:sz="4" w:space="1" w:color="auto"/>
      </w:pBdr>
      <w:tabs>
        <w:tab w:val="left" w:pos="66"/>
      </w:tabs>
      <w:spacing w:before="120" w:after="0" w:line="240" w:lineRule="auto"/>
      <w:outlineLvl w:val="0"/>
    </w:pPr>
    <w:rPr>
      <w:rFonts w:asciiTheme="minorHAnsi" w:eastAsiaTheme="minorHAnsi" w:hAnsiTheme="minorHAnsi" w:cstheme="minorHAnsi"/>
      <w:bCs/>
      <w:color w:val="7030A0"/>
      <w:kern w:val="28"/>
      <w:sz w:val="32"/>
      <w:szCs w:val="14"/>
    </w:rPr>
  </w:style>
  <w:style w:type="paragraph" w:styleId="Heading2">
    <w:name w:val="heading 2"/>
    <w:aliases w:val="1.1,Defs Heading,h2,2 headline,h,Para2"/>
    <w:basedOn w:val="Normal"/>
    <w:next w:val="Normal"/>
    <w:link w:val="Heading2Char"/>
    <w:uiPriority w:val="99"/>
    <w:qFormat/>
    <w:rsid w:val="005F70C4"/>
    <w:pPr>
      <w:keepNext/>
      <w:spacing w:before="240" w:after="60"/>
      <w:outlineLvl w:val="1"/>
    </w:pPr>
    <w:rPr>
      <w:rFonts w:ascii="Arial" w:hAnsi="Arial"/>
      <w:b/>
      <w:snapToGrid w:val="0"/>
      <w:color w:val="7030A0"/>
      <w:sz w:val="30"/>
    </w:rPr>
  </w:style>
  <w:style w:type="paragraph" w:styleId="Heading3">
    <w:name w:val="heading 3"/>
    <w:aliases w:val="(a),Plain Heading,Third Level,3 bullet,b,2,Para3,Heading 3 OL,Level 1 - 1,h3,3,Head 3,C Sub-Sub/Italic,Head 31,Head 32,C Sub-Sub/Italic1,Head 33,C Sub-Sub/Italic2,Head 311,Head 321,C Sub-Sub/Italic11,h31,h3 sub heading,H3,hoofdstuk 1.1.1,H31"/>
    <w:basedOn w:val="Normal"/>
    <w:next w:val="Normal"/>
    <w:link w:val="Heading3Char"/>
    <w:autoRedefine/>
    <w:uiPriority w:val="99"/>
    <w:qFormat/>
    <w:rsid w:val="004A7B2F"/>
    <w:pPr>
      <w:spacing w:before="0" w:after="120" w:line="240" w:lineRule="auto"/>
      <w:outlineLvl w:val="2"/>
    </w:pPr>
    <w:rPr>
      <w:rFonts w:asciiTheme="minorHAnsi" w:hAnsiTheme="minorHAnsi" w:cstheme="minorHAnsi"/>
      <w:b/>
      <w:szCs w:val="24"/>
    </w:rPr>
  </w:style>
  <w:style w:type="paragraph" w:styleId="Heading4">
    <w:name w:val="heading 4"/>
    <w:basedOn w:val="Normal"/>
    <w:next w:val="Normal"/>
    <w:link w:val="Heading4Char"/>
    <w:autoRedefine/>
    <w:qFormat/>
    <w:rsid w:val="0079466E"/>
    <w:pPr>
      <w:keepNext/>
      <w:keepLines/>
      <w:tabs>
        <w:tab w:val="left" w:pos="709"/>
      </w:tabs>
      <w:spacing w:before="240" w:after="0" w:line="240" w:lineRule="auto"/>
      <w:outlineLvl w:val="3"/>
    </w:pPr>
    <w:rPr>
      <w:rFonts w:asciiTheme="minorHAnsi" w:hAnsiTheme="minorHAnsi" w:cstheme="majorBidi"/>
      <w:b/>
      <w:color w:val="7030A0"/>
      <w:sz w:val="28"/>
      <w:szCs w:val="22"/>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317"/>
    <w:rPr>
      <w:rFonts w:cstheme="minorHAnsi"/>
      <w:bCs/>
      <w:color w:val="7030A0"/>
      <w:kern w:val="28"/>
      <w:sz w:val="32"/>
      <w:szCs w:val="14"/>
    </w:rPr>
  </w:style>
  <w:style w:type="character" w:customStyle="1" w:styleId="Heading2Char">
    <w:name w:val="Heading 2 Char"/>
    <w:aliases w:val="1.1 Char,Defs Heading Char,h2 Char,2 headline Char,h Char,Para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aliases w:val="(a) Char,Plain Heading Char,Third Level Char,3 bullet Char,b Char,2 Char,Para3 Char,Heading 3 OL Char,Level 1 - 1 Char,h3 Char,3 Char,Head 3 Char,C Sub-Sub/Italic Char,Head 31 Char,Head 32 Char,C Sub-Sub/Italic1 Char,Head 33 Char,h31 Char"/>
    <w:basedOn w:val="DefaultParagraphFont"/>
    <w:link w:val="Heading3"/>
    <w:uiPriority w:val="99"/>
    <w:rsid w:val="004A7B2F"/>
    <w:rPr>
      <w:rFonts w:eastAsia="Times New Roman" w:cstheme="minorHAnsi"/>
      <w:b/>
      <w:szCs w:val="24"/>
    </w:rPr>
  </w:style>
  <w:style w:type="character" w:customStyle="1" w:styleId="Heading4Char">
    <w:name w:val="Heading 4 Char"/>
    <w:basedOn w:val="DefaultParagraphFont"/>
    <w:link w:val="Heading4"/>
    <w:rsid w:val="0079466E"/>
    <w:rPr>
      <w:rFonts w:eastAsia="Times New Roman" w:cstheme="majorBidi"/>
      <w:b/>
      <w:color w:val="7030A0"/>
      <w:sz w:val="28"/>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aliases w:val="List Paragraph Char,Recommendation Char,List Paragraph1 Char,List Paragraph11 Char,Bullet point Char,Bullets Char,NAST Quote Char,L Char,CV text Char,F5 List Paragraph Char,Dot pt Char,List Paragraph111 Char,Numbered Paragraph Char"/>
    <w:basedOn w:val="DefaultParagraphFont"/>
    <w:link w:val="Tabletext"/>
    <w:uiPriority w:val="34"/>
    <w:qForma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Recommendation,List Paragraph1,List Paragraph11,Bullet point,Bullets,NAST Quote,L,CV text,F5 List Paragraph,Dot pt,List Paragraph111,Medium Grid 1 - Accent 21,Numbered Paragraph,List Paragraph2,NFP GP Bulleted List,FooterText,列,Heading 2."/>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11"/>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11"/>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uiPriority w:val="11"/>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character" w:styleId="Emphasis">
    <w:name w:val="Emphasis"/>
    <w:basedOn w:val="DefaultParagraphFont"/>
    <w:uiPriority w:val="20"/>
    <w:qFormat/>
    <w:rsid w:val="00A47BB5"/>
    <w:rPr>
      <w:i/>
      <w:iCs/>
    </w:rPr>
  </w:style>
  <w:style w:type="table" w:styleId="GridTable1Light-Accent2">
    <w:name w:val="Grid Table 1 Light Accent 2"/>
    <w:basedOn w:val="TableNormal"/>
    <w:uiPriority w:val="46"/>
    <w:rsid w:val="00A47BB5"/>
    <w:pPr>
      <w:spacing w:after="0" w:line="240" w:lineRule="auto"/>
    </w:pPr>
    <w:rPr>
      <w:rFonts w:eastAsiaTheme="minorEastAsia"/>
      <w:kern w:val="22"/>
      <w:lang w:val="en-US"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NormalRedBullet">
    <w:name w:val="Normal Red Bullet"/>
    <w:basedOn w:val="Normal"/>
    <w:qFormat/>
    <w:rsid w:val="00786B29"/>
    <w:pPr>
      <w:numPr>
        <w:numId w:val="17"/>
      </w:numPr>
      <w:tabs>
        <w:tab w:val="left" w:pos="1080"/>
      </w:tabs>
      <w:spacing w:before="60" w:after="60" w:line="228" w:lineRule="auto"/>
    </w:pPr>
    <w:rPr>
      <w:rFonts w:cs="Calibri"/>
      <w:color w:val="C7461F"/>
      <w:szCs w:val="22"/>
    </w:rPr>
  </w:style>
  <w:style w:type="paragraph" w:customStyle="1" w:styleId="TableParagraph">
    <w:name w:val="Table Paragraph"/>
    <w:basedOn w:val="Normal"/>
    <w:uiPriority w:val="1"/>
    <w:qFormat/>
    <w:rsid w:val="00AF5EF6"/>
    <w:pPr>
      <w:widowControl w:val="0"/>
      <w:autoSpaceDE w:val="0"/>
      <w:autoSpaceDN w:val="0"/>
      <w:spacing w:before="121" w:after="0" w:line="240" w:lineRule="auto"/>
    </w:pPr>
    <w:rPr>
      <w:rFonts w:eastAsia="Calibri" w:cs="Calibri"/>
      <w:szCs w:val="22"/>
    </w:rPr>
  </w:style>
  <w:style w:type="paragraph" w:customStyle="1" w:styleId="ListParagraph2">
    <w:name w:val="List Paragraph 2"/>
    <w:basedOn w:val="ListParagraph"/>
    <w:qFormat/>
    <w:rsid w:val="0046681C"/>
    <w:pPr>
      <w:tabs>
        <w:tab w:val="left" w:pos="425"/>
        <w:tab w:val="left" w:pos="851"/>
      </w:tabs>
      <w:spacing w:before="240" w:after="0"/>
      <w:ind w:left="1440" w:hanging="360"/>
      <w:contextualSpacing w:val="0"/>
    </w:pPr>
    <w:rPr>
      <w:rFonts w:asciiTheme="minorHAnsi" w:eastAsiaTheme="minorEastAsia" w:hAnsiTheme="minorHAnsi" w:cstheme="minorBidi"/>
      <w:sz w:val="26"/>
      <w:szCs w:val="26"/>
    </w:rPr>
  </w:style>
  <w:style w:type="paragraph" w:customStyle="1" w:styleId="Default">
    <w:name w:val="Default"/>
    <w:rsid w:val="00067FA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E7F64"/>
    <w:pPr>
      <w:spacing w:before="100" w:beforeAutospacing="1" w:after="100" w:afterAutospacing="1" w:line="240" w:lineRule="auto"/>
    </w:pPr>
    <w:rPr>
      <w:rFonts w:ascii="Times New Roman" w:hAnsi="Times New Roman"/>
      <w:sz w:val="24"/>
      <w:szCs w:val="24"/>
      <w:lang w:eastAsia="en-AU"/>
    </w:rPr>
  </w:style>
  <w:style w:type="paragraph" w:customStyle="1" w:styleId="1-PACT">
    <w:name w:val="1. - PACT"/>
    <w:basedOn w:val="Normal"/>
    <w:qFormat/>
    <w:rsid w:val="00F56ED2"/>
    <w:pPr>
      <w:numPr>
        <w:ilvl w:val="1"/>
        <w:numId w:val="19"/>
      </w:numPr>
      <w:spacing w:before="240" w:after="120" w:line="240" w:lineRule="auto"/>
      <w:jc w:val="both"/>
      <w:outlineLvl w:val="3"/>
    </w:pPr>
    <w:rPr>
      <w:rFonts w:ascii="Arial" w:eastAsiaTheme="minorHAnsi" w:hAnsi="Arial" w:cs="Arial"/>
      <w:b/>
      <w:color w:val="482D8C"/>
      <w:sz w:val="44"/>
      <w:szCs w:val="44"/>
    </w:rPr>
  </w:style>
  <w:style w:type="paragraph" w:customStyle="1" w:styleId="11-PACT">
    <w:name w:val="1.1 - PACT"/>
    <w:basedOn w:val="Normal"/>
    <w:qFormat/>
    <w:rsid w:val="00F56ED2"/>
    <w:pPr>
      <w:numPr>
        <w:ilvl w:val="2"/>
        <w:numId w:val="19"/>
      </w:numPr>
      <w:spacing w:before="240" w:after="120" w:line="240" w:lineRule="auto"/>
      <w:jc w:val="both"/>
      <w:outlineLvl w:val="3"/>
    </w:pPr>
    <w:rPr>
      <w:rFonts w:ascii="Arial" w:eastAsiaTheme="minorHAnsi" w:hAnsi="Arial" w:cs="Arial"/>
      <w:color w:val="482D8C"/>
      <w:sz w:val="32"/>
      <w:szCs w:val="32"/>
    </w:rPr>
  </w:style>
  <w:style w:type="character" w:customStyle="1" w:styleId="111-PACTChar">
    <w:name w:val="1.1.1. - PACT Char"/>
    <w:basedOn w:val="DefaultParagraphFont"/>
    <w:link w:val="111-PACT"/>
    <w:locked/>
    <w:rsid w:val="00F56ED2"/>
    <w:rPr>
      <w:rFonts w:ascii="Calibri" w:hAnsi="Calibri" w:cs="Calibri"/>
    </w:rPr>
  </w:style>
  <w:style w:type="paragraph" w:customStyle="1" w:styleId="111-PACT">
    <w:name w:val="1.1.1. - PACT"/>
    <w:basedOn w:val="Normal"/>
    <w:link w:val="111-PACTChar"/>
    <w:qFormat/>
    <w:rsid w:val="00F56ED2"/>
    <w:pPr>
      <w:numPr>
        <w:ilvl w:val="3"/>
        <w:numId w:val="19"/>
      </w:numPr>
      <w:spacing w:before="120" w:after="120" w:line="240" w:lineRule="auto"/>
      <w:jc w:val="both"/>
      <w:outlineLvl w:val="3"/>
    </w:pPr>
    <w:rPr>
      <w:rFonts w:eastAsiaTheme="minorHAnsi" w:cs="Calibri"/>
      <w:szCs w:val="22"/>
    </w:rPr>
  </w:style>
  <w:style w:type="paragraph" w:customStyle="1" w:styleId="i-PACT">
    <w:name w:val="i. - PACT"/>
    <w:basedOn w:val="Normal"/>
    <w:qFormat/>
    <w:rsid w:val="00F56ED2"/>
    <w:pPr>
      <w:numPr>
        <w:ilvl w:val="5"/>
        <w:numId w:val="19"/>
      </w:numPr>
      <w:spacing w:before="0" w:after="120" w:line="240" w:lineRule="auto"/>
      <w:jc w:val="both"/>
      <w:outlineLvl w:val="5"/>
    </w:pPr>
    <w:rPr>
      <w:rFonts w:eastAsia="Calibri"/>
      <w:szCs w:val="22"/>
    </w:rPr>
  </w:style>
  <w:style w:type="paragraph" w:customStyle="1" w:styleId="Schedule1PACT">
    <w:name w:val="Schedule 1. PACT"/>
    <w:basedOn w:val="Normal"/>
    <w:qFormat/>
    <w:rsid w:val="00F56ED2"/>
    <w:pPr>
      <w:pageBreakBefore/>
      <w:numPr>
        <w:numId w:val="19"/>
      </w:numPr>
      <w:spacing w:before="240" w:after="120" w:line="240" w:lineRule="auto"/>
      <w:outlineLvl w:val="3"/>
    </w:pPr>
    <w:rPr>
      <w:rFonts w:asciiTheme="majorHAnsi" w:eastAsiaTheme="minorHAnsi" w:hAnsiTheme="majorHAnsi" w:cstheme="majorHAnsi"/>
      <w:b/>
      <w:color w:val="482D8C"/>
      <w:sz w:val="44"/>
      <w:szCs w:val="44"/>
    </w:rPr>
  </w:style>
  <w:style w:type="paragraph" w:customStyle="1" w:styleId="a-PACT">
    <w:name w:val="(a) - PACT"/>
    <w:basedOn w:val="i-PACT"/>
    <w:link w:val="a-PACTChar"/>
    <w:qFormat/>
    <w:rsid w:val="00F56ED2"/>
    <w:pPr>
      <w:numPr>
        <w:ilvl w:val="4"/>
      </w:numPr>
      <w:outlineLvl w:val="4"/>
    </w:pPr>
  </w:style>
  <w:style w:type="character" w:customStyle="1" w:styleId="a-PACTChar">
    <w:name w:val="(a) - PACT Char"/>
    <w:basedOn w:val="DefaultParagraphFont"/>
    <w:link w:val="a-PACT"/>
    <w:locked/>
    <w:rsid w:val="00F56ED2"/>
    <w:rPr>
      <w:rFonts w:ascii="Calibri" w:eastAsia="Calibri" w:hAnsi="Calibri" w:cs="Times New Roman"/>
    </w:rPr>
  </w:style>
  <w:style w:type="paragraph" w:customStyle="1" w:styleId="RFPparagraph">
    <w:name w:val="RFP paragraph"/>
    <w:basedOn w:val="Heading3"/>
    <w:qFormat/>
    <w:rsid w:val="001221C2"/>
    <w:pPr>
      <w:tabs>
        <w:tab w:val="num" w:pos="1702"/>
      </w:tabs>
      <w:spacing w:beforeLines="100" w:after="0"/>
      <w:ind w:left="1702" w:hanging="851"/>
    </w:pPr>
    <w:rPr>
      <w:rFonts w:ascii="Times New Roman" w:hAnsi="Times New Roman"/>
      <w:bCs/>
    </w:rPr>
  </w:style>
  <w:style w:type="paragraph" w:customStyle="1" w:styleId="TableText0">
    <w:name w:val="Table Text"/>
    <w:basedOn w:val="Normal"/>
    <w:link w:val="TableTextChar0"/>
    <w:rsid w:val="001221C2"/>
    <w:pPr>
      <w:spacing w:before="60" w:after="60" w:line="240" w:lineRule="auto"/>
    </w:pPr>
    <w:rPr>
      <w:rFonts w:ascii="Times New Roman" w:hAnsi="Times New Roman"/>
      <w:sz w:val="24"/>
      <w:szCs w:val="24"/>
    </w:rPr>
  </w:style>
  <w:style w:type="character" w:customStyle="1" w:styleId="TableTextChar0">
    <w:name w:val="Table Text Char"/>
    <w:basedOn w:val="DefaultParagraphFont"/>
    <w:link w:val="TableText0"/>
    <w:locked/>
    <w:rsid w:val="001221C2"/>
    <w:rPr>
      <w:rFonts w:ascii="Times New Roman" w:eastAsia="Times New Roman" w:hAnsi="Times New Roman" w:cs="Times New Roman"/>
      <w:sz w:val="24"/>
      <w:szCs w:val="24"/>
    </w:rPr>
  </w:style>
  <w:style w:type="paragraph" w:customStyle="1" w:styleId="Criteria">
    <w:name w:val="Criteria"/>
    <w:basedOn w:val="RFPparagraph"/>
    <w:rsid w:val="001221C2"/>
    <w:pPr>
      <w:tabs>
        <w:tab w:val="clear" w:pos="1702"/>
      </w:tabs>
      <w:ind w:left="0" w:firstLine="0"/>
    </w:pPr>
  </w:style>
  <w:style w:type="paragraph" w:styleId="List">
    <w:name w:val="List"/>
    <w:basedOn w:val="Normal"/>
    <w:rsid w:val="001221C2"/>
    <w:pPr>
      <w:numPr>
        <w:numId w:val="18"/>
      </w:numPr>
      <w:spacing w:beforeLines="50" w:before="0" w:after="0" w:line="240" w:lineRule="auto"/>
      <w:ind w:right="612"/>
    </w:pPr>
    <w:rPr>
      <w:rFonts w:ascii="Times New Roman" w:hAnsi="Times New Roman"/>
      <w:sz w:val="24"/>
    </w:rPr>
  </w:style>
  <w:style w:type="paragraph" w:styleId="NoSpacing">
    <w:name w:val="No Spacing"/>
    <w:uiPriority w:val="1"/>
    <w:qFormat/>
    <w:rsid w:val="00623AB4"/>
    <w:pPr>
      <w:spacing w:after="0" w:line="240" w:lineRule="auto"/>
    </w:pPr>
    <w:rPr>
      <w:rFonts w:ascii="Verdana" w:eastAsia="Times New Roman" w:hAnsi="Verdana" w:cs="Times New Roman"/>
      <w:sz w:val="24"/>
    </w:rPr>
  </w:style>
  <w:style w:type="character" w:styleId="CommentReference">
    <w:name w:val="annotation reference"/>
    <w:basedOn w:val="DefaultParagraphFont"/>
    <w:uiPriority w:val="99"/>
    <w:unhideWhenUsed/>
    <w:rsid w:val="00100416"/>
    <w:rPr>
      <w:sz w:val="16"/>
      <w:szCs w:val="16"/>
    </w:rPr>
  </w:style>
  <w:style w:type="paragraph" w:styleId="CommentText">
    <w:name w:val="annotation text"/>
    <w:basedOn w:val="Normal"/>
    <w:link w:val="CommentTextChar"/>
    <w:uiPriority w:val="99"/>
    <w:unhideWhenUsed/>
    <w:rsid w:val="00100416"/>
    <w:pPr>
      <w:spacing w:line="240" w:lineRule="auto"/>
    </w:pPr>
    <w:rPr>
      <w:sz w:val="20"/>
    </w:rPr>
  </w:style>
  <w:style w:type="character" w:customStyle="1" w:styleId="CommentTextChar">
    <w:name w:val="Comment Text Char"/>
    <w:basedOn w:val="DefaultParagraphFont"/>
    <w:link w:val="CommentText"/>
    <w:uiPriority w:val="99"/>
    <w:rsid w:val="0010041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00416"/>
    <w:rPr>
      <w:b/>
      <w:bCs/>
    </w:rPr>
  </w:style>
  <w:style w:type="character" w:customStyle="1" w:styleId="CommentSubjectChar">
    <w:name w:val="Comment Subject Char"/>
    <w:basedOn w:val="CommentTextChar"/>
    <w:link w:val="CommentSubject"/>
    <w:uiPriority w:val="99"/>
    <w:semiHidden/>
    <w:rsid w:val="00100416"/>
    <w:rPr>
      <w:rFonts w:ascii="Calibri" w:eastAsia="Times New Roman" w:hAnsi="Calibri" w:cs="Times New Roman"/>
      <w:b/>
      <w:bCs/>
      <w:sz w:val="20"/>
      <w:szCs w:val="20"/>
    </w:rPr>
  </w:style>
  <w:style w:type="paragraph" w:styleId="Revision">
    <w:name w:val="Revision"/>
    <w:hidden/>
    <w:uiPriority w:val="99"/>
    <w:semiHidden/>
    <w:rsid w:val="003273EB"/>
    <w:pPr>
      <w:spacing w:after="0" w:line="240" w:lineRule="auto"/>
    </w:pPr>
    <w:rPr>
      <w:rFonts w:ascii="Calibri" w:eastAsia="Times New Roman" w:hAnsi="Calibri" w:cs="Times New Roman"/>
      <w:szCs w:val="20"/>
    </w:rPr>
  </w:style>
  <w:style w:type="paragraph" w:styleId="BodyText2">
    <w:name w:val="Body Text 2"/>
    <w:basedOn w:val="Normal"/>
    <w:link w:val="BodyText2Char"/>
    <w:uiPriority w:val="99"/>
    <w:semiHidden/>
    <w:unhideWhenUsed/>
    <w:rsid w:val="003037D0"/>
    <w:pPr>
      <w:spacing w:after="120" w:line="480" w:lineRule="auto"/>
    </w:pPr>
  </w:style>
  <w:style w:type="character" w:customStyle="1" w:styleId="BodyText2Char">
    <w:name w:val="Body Text 2 Char"/>
    <w:basedOn w:val="DefaultParagraphFont"/>
    <w:link w:val="BodyText2"/>
    <w:uiPriority w:val="99"/>
    <w:semiHidden/>
    <w:rsid w:val="003037D0"/>
    <w:rPr>
      <w:rFonts w:ascii="Calibri" w:eastAsia="Times New Roman" w:hAnsi="Calibri" w:cs="Times New Roman"/>
      <w:szCs w:val="20"/>
    </w:rPr>
  </w:style>
  <w:style w:type="paragraph" w:customStyle="1" w:styleId="CS-Paragraphnumbering">
    <w:name w:val="CS - Paragraph numbering"/>
    <w:basedOn w:val="Normal"/>
    <w:rsid w:val="00FE0085"/>
    <w:pPr>
      <w:numPr>
        <w:numId w:val="20"/>
      </w:numPr>
      <w:spacing w:before="0" w:after="120"/>
      <w:ind w:right="-45"/>
    </w:pPr>
    <w:rPr>
      <w:rFonts w:asciiTheme="minorHAnsi" w:eastAsiaTheme="minorHAnsi" w:hAnsiTheme="minorHAnsi" w:cstheme="minorBidi"/>
      <w:sz w:val="24"/>
      <w:szCs w:val="24"/>
    </w:rPr>
  </w:style>
  <w:style w:type="paragraph" w:styleId="TOCHeading">
    <w:name w:val="TOC Heading"/>
    <w:basedOn w:val="Heading1"/>
    <w:next w:val="Normal"/>
    <w:uiPriority w:val="39"/>
    <w:unhideWhenUsed/>
    <w:qFormat/>
    <w:rsid w:val="00687E34"/>
    <w:pPr>
      <w:keepLines/>
      <w:pBdr>
        <w:bottom w:val="none" w:sz="0" w:space="0" w:color="auto"/>
      </w:pBdr>
      <w:spacing w:before="240" w:line="259" w:lineRule="auto"/>
      <w:outlineLvl w:val="9"/>
    </w:pPr>
    <w:rPr>
      <w:rFonts w:asciiTheme="majorHAnsi" w:eastAsiaTheme="majorEastAsia" w:hAnsiTheme="majorHAnsi" w:cstheme="majorBidi"/>
      <w:b/>
      <w:color w:val="2E74B5" w:themeColor="accent1" w:themeShade="BF"/>
      <w:kern w:val="0"/>
      <w:szCs w:val="32"/>
      <w:lang w:val="en-US"/>
    </w:rPr>
  </w:style>
  <w:style w:type="paragraph" w:styleId="TOC1">
    <w:name w:val="toc 1"/>
    <w:basedOn w:val="Normal"/>
    <w:next w:val="Normal"/>
    <w:autoRedefine/>
    <w:uiPriority w:val="39"/>
    <w:unhideWhenUsed/>
    <w:rsid w:val="00AB004C"/>
    <w:pPr>
      <w:tabs>
        <w:tab w:val="left" w:pos="440"/>
        <w:tab w:val="right" w:leader="dot" w:pos="9629"/>
      </w:tabs>
      <w:spacing w:after="100"/>
    </w:pPr>
  </w:style>
  <w:style w:type="paragraph" w:styleId="TOC2">
    <w:name w:val="toc 2"/>
    <w:basedOn w:val="Normal"/>
    <w:next w:val="Normal"/>
    <w:autoRedefine/>
    <w:uiPriority w:val="39"/>
    <w:unhideWhenUsed/>
    <w:rsid w:val="008D23FB"/>
    <w:pPr>
      <w:tabs>
        <w:tab w:val="right" w:leader="dot" w:pos="9629"/>
      </w:tabs>
      <w:spacing w:after="100"/>
      <w:ind w:left="220"/>
    </w:pPr>
  </w:style>
  <w:style w:type="character" w:customStyle="1" w:styleId="apple-converted-space">
    <w:name w:val="apple-converted-space"/>
    <w:basedOn w:val="DefaultParagraphFont"/>
    <w:rsid w:val="002405B6"/>
  </w:style>
  <w:style w:type="paragraph" w:customStyle="1" w:styleId="Tablebody">
    <w:name w:val="Table_body"/>
    <w:basedOn w:val="BodyText"/>
    <w:qFormat/>
    <w:rsid w:val="00B5509B"/>
    <w:pPr>
      <w:spacing w:before="60" w:line="240" w:lineRule="auto"/>
    </w:pPr>
    <w:rPr>
      <w:rFonts w:cs="Arial"/>
      <w:bCs/>
      <w:iCs/>
      <w:color w:val="323232"/>
      <w:sz w:val="24"/>
      <w:szCs w:val="24"/>
      <w:lang w:val="en-US"/>
    </w:rPr>
  </w:style>
  <w:style w:type="paragraph" w:customStyle="1" w:styleId="Tableheaderreverse">
    <w:name w:val="Table_header_reverse"/>
    <w:qFormat/>
    <w:rsid w:val="00B5509B"/>
    <w:pPr>
      <w:spacing w:before="60" w:after="60" w:line="240" w:lineRule="auto"/>
    </w:pPr>
    <w:rPr>
      <w:rFonts w:ascii="Calibri" w:eastAsia="Times New Roman" w:hAnsi="Calibri" w:cs="Arial"/>
      <w:b/>
      <w:bCs/>
      <w:iCs/>
      <w:color w:val="FFFFFF"/>
      <w:sz w:val="24"/>
      <w:szCs w:val="24"/>
      <w:lang w:val="en-US"/>
    </w:rPr>
  </w:style>
  <w:style w:type="table" w:styleId="GridTable4-Accent5">
    <w:name w:val="Grid Table 4 Accent 5"/>
    <w:basedOn w:val="TableNormal"/>
    <w:uiPriority w:val="49"/>
    <w:rsid w:val="007060A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odyCopy">
    <w:name w:val="Body Copy"/>
    <w:basedOn w:val="BodyText"/>
    <w:qFormat/>
    <w:rsid w:val="007060A6"/>
    <w:pPr>
      <w:spacing w:before="120" w:after="240" w:line="280" w:lineRule="exact"/>
    </w:pPr>
    <w:rPr>
      <w:rFonts w:cs="Arial"/>
      <w:bCs/>
      <w:iCs/>
      <w:color w:val="7B7B7B" w:themeColor="accent3" w:themeShade="BF"/>
      <w:sz w:val="24"/>
      <w:szCs w:val="24"/>
    </w:rPr>
  </w:style>
  <w:style w:type="character" w:customStyle="1" w:styleId="cf01">
    <w:name w:val="cf01"/>
    <w:basedOn w:val="DefaultParagraphFont"/>
    <w:rsid w:val="00942AA4"/>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197A1B"/>
    <w:rPr>
      <w:color w:val="605E5C"/>
      <w:shd w:val="clear" w:color="auto" w:fill="E1DFDD"/>
    </w:rPr>
  </w:style>
  <w:style w:type="paragraph" w:customStyle="1" w:styleId="pf0">
    <w:name w:val="pf0"/>
    <w:basedOn w:val="Normal"/>
    <w:rsid w:val="00031D19"/>
    <w:pPr>
      <w:spacing w:before="100" w:beforeAutospacing="1" w:after="100" w:afterAutospacing="1" w:line="240" w:lineRule="auto"/>
    </w:pPr>
    <w:rPr>
      <w:rFonts w:ascii="Times New Roman" w:hAnsi="Times New Roman"/>
      <w:sz w:val="24"/>
      <w:szCs w:val="24"/>
      <w:lang w:eastAsia="en-AU"/>
    </w:rPr>
  </w:style>
  <w:style w:type="character" w:customStyle="1" w:styleId="ui-provider">
    <w:name w:val="ui-provider"/>
    <w:basedOn w:val="DefaultParagraphFont"/>
    <w:rsid w:val="00C6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0394">
      <w:bodyDiv w:val="1"/>
      <w:marLeft w:val="0"/>
      <w:marRight w:val="0"/>
      <w:marTop w:val="0"/>
      <w:marBottom w:val="0"/>
      <w:divBdr>
        <w:top w:val="none" w:sz="0" w:space="0" w:color="auto"/>
        <w:left w:val="none" w:sz="0" w:space="0" w:color="auto"/>
        <w:bottom w:val="none" w:sz="0" w:space="0" w:color="auto"/>
        <w:right w:val="none" w:sz="0" w:space="0" w:color="auto"/>
      </w:divBdr>
      <w:divsChild>
        <w:div w:id="2016809585">
          <w:marLeft w:val="547"/>
          <w:marRight w:val="0"/>
          <w:marTop w:val="0"/>
          <w:marBottom w:val="0"/>
          <w:divBdr>
            <w:top w:val="none" w:sz="0" w:space="0" w:color="auto"/>
            <w:left w:val="none" w:sz="0" w:space="0" w:color="auto"/>
            <w:bottom w:val="none" w:sz="0" w:space="0" w:color="auto"/>
            <w:right w:val="none" w:sz="0" w:space="0" w:color="auto"/>
          </w:divBdr>
        </w:div>
      </w:divsChild>
    </w:div>
    <w:div w:id="720179889">
      <w:bodyDiv w:val="1"/>
      <w:marLeft w:val="0"/>
      <w:marRight w:val="0"/>
      <w:marTop w:val="0"/>
      <w:marBottom w:val="0"/>
      <w:divBdr>
        <w:top w:val="none" w:sz="0" w:space="0" w:color="auto"/>
        <w:left w:val="none" w:sz="0" w:space="0" w:color="auto"/>
        <w:bottom w:val="none" w:sz="0" w:space="0" w:color="auto"/>
        <w:right w:val="none" w:sz="0" w:space="0" w:color="auto"/>
      </w:divBdr>
    </w:div>
    <w:div w:id="784469687">
      <w:bodyDiv w:val="1"/>
      <w:marLeft w:val="0"/>
      <w:marRight w:val="0"/>
      <w:marTop w:val="0"/>
      <w:marBottom w:val="0"/>
      <w:divBdr>
        <w:top w:val="none" w:sz="0" w:space="0" w:color="auto"/>
        <w:left w:val="none" w:sz="0" w:space="0" w:color="auto"/>
        <w:bottom w:val="none" w:sz="0" w:space="0" w:color="auto"/>
        <w:right w:val="none" w:sz="0" w:space="0" w:color="auto"/>
      </w:divBdr>
    </w:div>
    <w:div w:id="854030321">
      <w:bodyDiv w:val="1"/>
      <w:marLeft w:val="0"/>
      <w:marRight w:val="0"/>
      <w:marTop w:val="0"/>
      <w:marBottom w:val="0"/>
      <w:divBdr>
        <w:top w:val="none" w:sz="0" w:space="0" w:color="auto"/>
        <w:left w:val="none" w:sz="0" w:space="0" w:color="auto"/>
        <w:bottom w:val="none" w:sz="0" w:space="0" w:color="auto"/>
        <w:right w:val="none" w:sz="0" w:space="0" w:color="auto"/>
      </w:divBdr>
    </w:div>
    <w:div w:id="901405705">
      <w:bodyDiv w:val="1"/>
      <w:marLeft w:val="0"/>
      <w:marRight w:val="0"/>
      <w:marTop w:val="0"/>
      <w:marBottom w:val="0"/>
      <w:divBdr>
        <w:top w:val="none" w:sz="0" w:space="0" w:color="auto"/>
        <w:left w:val="none" w:sz="0" w:space="0" w:color="auto"/>
        <w:bottom w:val="none" w:sz="0" w:space="0" w:color="auto"/>
        <w:right w:val="none" w:sz="0" w:space="0" w:color="auto"/>
      </w:divBdr>
    </w:div>
    <w:div w:id="941495520">
      <w:bodyDiv w:val="1"/>
      <w:marLeft w:val="0"/>
      <w:marRight w:val="0"/>
      <w:marTop w:val="0"/>
      <w:marBottom w:val="0"/>
      <w:divBdr>
        <w:top w:val="none" w:sz="0" w:space="0" w:color="auto"/>
        <w:left w:val="none" w:sz="0" w:space="0" w:color="auto"/>
        <w:bottom w:val="none" w:sz="0" w:space="0" w:color="auto"/>
        <w:right w:val="none" w:sz="0" w:space="0" w:color="auto"/>
      </w:divBdr>
    </w:div>
    <w:div w:id="951597279">
      <w:bodyDiv w:val="1"/>
      <w:marLeft w:val="0"/>
      <w:marRight w:val="0"/>
      <w:marTop w:val="0"/>
      <w:marBottom w:val="0"/>
      <w:divBdr>
        <w:top w:val="none" w:sz="0" w:space="0" w:color="auto"/>
        <w:left w:val="none" w:sz="0" w:space="0" w:color="auto"/>
        <w:bottom w:val="none" w:sz="0" w:space="0" w:color="auto"/>
        <w:right w:val="none" w:sz="0" w:space="0" w:color="auto"/>
      </w:divBdr>
    </w:div>
    <w:div w:id="1058894905">
      <w:bodyDiv w:val="1"/>
      <w:marLeft w:val="0"/>
      <w:marRight w:val="0"/>
      <w:marTop w:val="0"/>
      <w:marBottom w:val="0"/>
      <w:divBdr>
        <w:top w:val="none" w:sz="0" w:space="0" w:color="auto"/>
        <w:left w:val="none" w:sz="0" w:space="0" w:color="auto"/>
        <w:bottom w:val="none" w:sz="0" w:space="0" w:color="auto"/>
        <w:right w:val="none" w:sz="0" w:space="0" w:color="auto"/>
      </w:divBdr>
    </w:div>
    <w:div w:id="1117338501">
      <w:bodyDiv w:val="1"/>
      <w:marLeft w:val="0"/>
      <w:marRight w:val="0"/>
      <w:marTop w:val="0"/>
      <w:marBottom w:val="0"/>
      <w:divBdr>
        <w:top w:val="none" w:sz="0" w:space="0" w:color="auto"/>
        <w:left w:val="none" w:sz="0" w:space="0" w:color="auto"/>
        <w:bottom w:val="none" w:sz="0" w:space="0" w:color="auto"/>
        <w:right w:val="none" w:sz="0" w:space="0" w:color="auto"/>
      </w:divBdr>
      <w:divsChild>
        <w:div w:id="7879509">
          <w:marLeft w:val="1080"/>
          <w:marRight w:val="0"/>
          <w:marTop w:val="100"/>
          <w:marBottom w:val="0"/>
          <w:divBdr>
            <w:top w:val="none" w:sz="0" w:space="0" w:color="auto"/>
            <w:left w:val="none" w:sz="0" w:space="0" w:color="auto"/>
            <w:bottom w:val="none" w:sz="0" w:space="0" w:color="auto"/>
            <w:right w:val="none" w:sz="0" w:space="0" w:color="auto"/>
          </w:divBdr>
        </w:div>
        <w:div w:id="292835317">
          <w:marLeft w:val="1080"/>
          <w:marRight w:val="0"/>
          <w:marTop w:val="100"/>
          <w:marBottom w:val="0"/>
          <w:divBdr>
            <w:top w:val="none" w:sz="0" w:space="0" w:color="auto"/>
            <w:left w:val="none" w:sz="0" w:space="0" w:color="auto"/>
            <w:bottom w:val="none" w:sz="0" w:space="0" w:color="auto"/>
            <w:right w:val="none" w:sz="0" w:space="0" w:color="auto"/>
          </w:divBdr>
        </w:div>
        <w:div w:id="485825616">
          <w:marLeft w:val="1080"/>
          <w:marRight w:val="0"/>
          <w:marTop w:val="100"/>
          <w:marBottom w:val="0"/>
          <w:divBdr>
            <w:top w:val="none" w:sz="0" w:space="0" w:color="auto"/>
            <w:left w:val="none" w:sz="0" w:space="0" w:color="auto"/>
            <w:bottom w:val="none" w:sz="0" w:space="0" w:color="auto"/>
            <w:right w:val="none" w:sz="0" w:space="0" w:color="auto"/>
          </w:divBdr>
        </w:div>
        <w:div w:id="941230479">
          <w:marLeft w:val="1080"/>
          <w:marRight w:val="0"/>
          <w:marTop w:val="100"/>
          <w:marBottom w:val="0"/>
          <w:divBdr>
            <w:top w:val="none" w:sz="0" w:space="0" w:color="auto"/>
            <w:left w:val="none" w:sz="0" w:space="0" w:color="auto"/>
            <w:bottom w:val="none" w:sz="0" w:space="0" w:color="auto"/>
            <w:right w:val="none" w:sz="0" w:space="0" w:color="auto"/>
          </w:divBdr>
        </w:div>
        <w:div w:id="1506938602">
          <w:marLeft w:val="1080"/>
          <w:marRight w:val="0"/>
          <w:marTop w:val="100"/>
          <w:marBottom w:val="0"/>
          <w:divBdr>
            <w:top w:val="none" w:sz="0" w:space="0" w:color="auto"/>
            <w:left w:val="none" w:sz="0" w:space="0" w:color="auto"/>
            <w:bottom w:val="none" w:sz="0" w:space="0" w:color="auto"/>
            <w:right w:val="none" w:sz="0" w:space="0" w:color="auto"/>
          </w:divBdr>
        </w:div>
        <w:div w:id="1705058551">
          <w:marLeft w:val="1080"/>
          <w:marRight w:val="0"/>
          <w:marTop w:val="100"/>
          <w:marBottom w:val="0"/>
          <w:divBdr>
            <w:top w:val="none" w:sz="0" w:space="0" w:color="auto"/>
            <w:left w:val="none" w:sz="0" w:space="0" w:color="auto"/>
            <w:bottom w:val="none" w:sz="0" w:space="0" w:color="auto"/>
            <w:right w:val="none" w:sz="0" w:space="0" w:color="auto"/>
          </w:divBdr>
        </w:div>
        <w:div w:id="2079666657">
          <w:marLeft w:val="1080"/>
          <w:marRight w:val="0"/>
          <w:marTop w:val="100"/>
          <w:marBottom w:val="0"/>
          <w:divBdr>
            <w:top w:val="none" w:sz="0" w:space="0" w:color="auto"/>
            <w:left w:val="none" w:sz="0" w:space="0" w:color="auto"/>
            <w:bottom w:val="none" w:sz="0" w:space="0" w:color="auto"/>
            <w:right w:val="none" w:sz="0" w:space="0" w:color="auto"/>
          </w:divBdr>
        </w:div>
      </w:divsChild>
    </w:div>
    <w:div w:id="1279295477">
      <w:bodyDiv w:val="1"/>
      <w:marLeft w:val="0"/>
      <w:marRight w:val="0"/>
      <w:marTop w:val="0"/>
      <w:marBottom w:val="0"/>
      <w:divBdr>
        <w:top w:val="none" w:sz="0" w:space="0" w:color="auto"/>
        <w:left w:val="none" w:sz="0" w:space="0" w:color="auto"/>
        <w:bottom w:val="none" w:sz="0" w:space="0" w:color="auto"/>
        <w:right w:val="none" w:sz="0" w:space="0" w:color="auto"/>
      </w:divBdr>
    </w:div>
    <w:div w:id="1300459360">
      <w:bodyDiv w:val="1"/>
      <w:marLeft w:val="0"/>
      <w:marRight w:val="0"/>
      <w:marTop w:val="0"/>
      <w:marBottom w:val="0"/>
      <w:divBdr>
        <w:top w:val="none" w:sz="0" w:space="0" w:color="auto"/>
        <w:left w:val="none" w:sz="0" w:space="0" w:color="auto"/>
        <w:bottom w:val="none" w:sz="0" w:space="0" w:color="auto"/>
        <w:right w:val="none" w:sz="0" w:space="0" w:color="auto"/>
      </w:divBdr>
    </w:div>
    <w:div w:id="1322008348">
      <w:bodyDiv w:val="1"/>
      <w:marLeft w:val="0"/>
      <w:marRight w:val="0"/>
      <w:marTop w:val="0"/>
      <w:marBottom w:val="0"/>
      <w:divBdr>
        <w:top w:val="none" w:sz="0" w:space="0" w:color="auto"/>
        <w:left w:val="none" w:sz="0" w:space="0" w:color="auto"/>
        <w:bottom w:val="none" w:sz="0" w:space="0" w:color="auto"/>
        <w:right w:val="none" w:sz="0" w:space="0" w:color="auto"/>
      </w:divBdr>
    </w:div>
    <w:div w:id="1576620630">
      <w:bodyDiv w:val="1"/>
      <w:marLeft w:val="0"/>
      <w:marRight w:val="0"/>
      <w:marTop w:val="0"/>
      <w:marBottom w:val="0"/>
      <w:divBdr>
        <w:top w:val="none" w:sz="0" w:space="0" w:color="auto"/>
        <w:left w:val="none" w:sz="0" w:space="0" w:color="auto"/>
        <w:bottom w:val="none" w:sz="0" w:space="0" w:color="auto"/>
        <w:right w:val="none" w:sz="0" w:space="0" w:color="auto"/>
      </w:divBdr>
    </w:div>
    <w:div w:id="1606886510">
      <w:bodyDiv w:val="1"/>
      <w:marLeft w:val="0"/>
      <w:marRight w:val="0"/>
      <w:marTop w:val="0"/>
      <w:marBottom w:val="0"/>
      <w:divBdr>
        <w:top w:val="none" w:sz="0" w:space="0" w:color="auto"/>
        <w:left w:val="none" w:sz="0" w:space="0" w:color="auto"/>
        <w:bottom w:val="none" w:sz="0" w:space="0" w:color="auto"/>
        <w:right w:val="none" w:sz="0" w:space="0" w:color="auto"/>
      </w:divBdr>
    </w:div>
    <w:div w:id="1713921615">
      <w:bodyDiv w:val="1"/>
      <w:marLeft w:val="0"/>
      <w:marRight w:val="0"/>
      <w:marTop w:val="0"/>
      <w:marBottom w:val="0"/>
      <w:divBdr>
        <w:top w:val="none" w:sz="0" w:space="0" w:color="auto"/>
        <w:left w:val="none" w:sz="0" w:space="0" w:color="auto"/>
        <w:bottom w:val="none" w:sz="0" w:space="0" w:color="auto"/>
        <w:right w:val="none" w:sz="0" w:space="0" w:color="auto"/>
      </w:divBdr>
    </w:div>
    <w:div w:id="1948197491">
      <w:bodyDiv w:val="1"/>
      <w:marLeft w:val="0"/>
      <w:marRight w:val="0"/>
      <w:marTop w:val="0"/>
      <w:marBottom w:val="0"/>
      <w:divBdr>
        <w:top w:val="none" w:sz="0" w:space="0" w:color="auto"/>
        <w:left w:val="none" w:sz="0" w:space="0" w:color="auto"/>
        <w:bottom w:val="none" w:sz="0" w:space="0" w:color="auto"/>
        <w:right w:val="none" w:sz="0" w:space="0" w:color="auto"/>
      </w:divBdr>
    </w:div>
    <w:div w:id="1978484046">
      <w:bodyDiv w:val="1"/>
      <w:marLeft w:val="0"/>
      <w:marRight w:val="0"/>
      <w:marTop w:val="0"/>
      <w:marBottom w:val="0"/>
      <w:divBdr>
        <w:top w:val="none" w:sz="0" w:space="0" w:color="auto"/>
        <w:left w:val="none" w:sz="0" w:space="0" w:color="auto"/>
        <w:bottom w:val="none" w:sz="0" w:space="0" w:color="auto"/>
        <w:right w:val="none" w:sz="0" w:space="0" w:color="auto"/>
      </w:divBdr>
    </w:div>
    <w:div w:id="2005236628">
      <w:bodyDiv w:val="1"/>
      <w:marLeft w:val="0"/>
      <w:marRight w:val="0"/>
      <w:marTop w:val="0"/>
      <w:marBottom w:val="0"/>
      <w:divBdr>
        <w:top w:val="none" w:sz="0" w:space="0" w:color="auto"/>
        <w:left w:val="none" w:sz="0" w:space="0" w:color="auto"/>
        <w:bottom w:val="none" w:sz="0" w:space="0" w:color="auto"/>
        <w:right w:val="none" w:sz="0" w:space="0" w:color="auto"/>
      </w:divBdr>
    </w:div>
    <w:div w:id="2035685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image" Target="media/image4.png"/><Relationship Id="rId39" Type="http://schemas.openxmlformats.org/officeDocument/2006/relationships/hyperlink" Target="https://www.health.gov.au/resources/collections/national-strategies-for-bloodborne-viruses-and-sexually-transmissible-infections" TargetMode="External"/><Relationship Id="rId21" Type="http://schemas.openxmlformats.org/officeDocument/2006/relationships/image" Target="media/image2.png"/><Relationship Id="rId34" Type="http://schemas.openxmlformats.org/officeDocument/2006/relationships/hyperlink" Target="https://www.health.gov.au/resources/publications/fourth-national-sexually-transmissible-infections-strategy-2018-2022?language=en" TargetMode="External"/><Relationship Id="rId42" Type="http://schemas.openxmlformats.org/officeDocument/2006/relationships/hyperlink" Target="https://www.treasury.act.gov.au/__data/assets/pdf_file/0010/1499905/Guidelines-for-Unsolicited-Proposals-Edition-3.1.pdf" TargetMode="External"/><Relationship Id="rId47" Type="http://schemas.openxmlformats.org/officeDocument/2006/relationships/header" Target="header5.xml"/><Relationship Id="rId50" Type="http://schemas.openxmlformats.org/officeDocument/2006/relationships/footer" Target="footer4.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health.gov.au/resources/collections/national-strategies-for-bloodborne-viruses-and-sexually-transmissible-infections" TargetMode="External"/><Relationship Id="rId11" Type="http://schemas.openxmlformats.org/officeDocument/2006/relationships/styles" Target="styles.xml"/><Relationship Id="rId24" Type="http://schemas.openxmlformats.org/officeDocument/2006/relationships/hyperlink" Target="https://www.communityservices.act.gov.au/__data/assets/pdf_file/0015/2122413/Commissioning-Roadmap-Introduction-2024.pdf" TargetMode="External"/><Relationship Id="rId32" Type="http://schemas.openxmlformats.org/officeDocument/2006/relationships/hyperlink" Target="https://www.health.gov.au/resources/publications/eighth-national-hiv-strategy-2018-2022?language=en" TargetMode="External"/><Relationship Id="rId37" Type="http://schemas.openxmlformats.org/officeDocument/2006/relationships/hyperlink" Target="https://www.health.gov.au/resources/collections/national-strategies-for-bloodborne-viruses-and-sexually-transmissible-infections?utm_source=health.gov.au&amp;utm_medium=callout-auto-custom&amp;utm_campaign=digital_transformation" TargetMode="External"/><Relationship Id="rId40" Type="http://schemas.openxmlformats.org/officeDocument/2006/relationships/hyperlink" Target="https://www.procurement.act.gov.au/secure-local-jobs" TargetMode="External"/><Relationship Id="rId45" Type="http://schemas.openxmlformats.org/officeDocument/2006/relationships/hyperlink" Target="https://www.act.gov.au/wellbeing"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3.wmf"/><Relationship Id="rId28" Type="http://schemas.openxmlformats.org/officeDocument/2006/relationships/hyperlink" Target="https://www.communityservices.act.gov.au/commissioning/sectors-in-progress/sexually-transmissible-infections-and-blood-borne-viruses" TargetMode="External"/><Relationship Id="rId36" Type="http://schemas.openxmlformats.org/officeDocument/2006/relationships/hyperlink" Target="https://www.pbs.gov.au/info/browse/section-100/s100-highly-specialised-drugs" TargetMode="External"/><Relationship Id="rId49" Type="http://schemas.openxmlformats.org/officeDocument/2006/relationships/header" Target="header6.xm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hyperlink" Target="https://www.health.gov.au/resources/publications/sixth-national-hepatitis-c-strategy-2023-2030?language=en" TargetMode="External"/><Relationship Id="rId44" Type="http://schemas.openxmlformats.org/officeDocument/2006/relationships/hyperlink" Target="https://www.tenders.act.gov.au/welcom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27" Type="http://schemas.openxmlformats.org/officeDocument/2006/relationships/hyperlink" Target="https://www.communityservices.act.gov.au/commissioning/sectors-in-progress/sexually-transmissible-infections-and-blood-borne-viruses" TargetMode="External"/><Relationship Id="rId30" Type="http://schemas.openxmlformats.org/officeDocument/2006/relationships/hyperlink" Target="https://www.health.gov.au/resources/publications/fourth-national-hepatitis-b-strategy-2023-2030?language=en" TargetMode="External"/><Relationship Id="rId35" Type="http://schemas.openxmlformats.org/officeDocument/2006/relationships/hyperlink" Target="http://www8.austlii.edu.au/cgi-bin/viewdb/au/legis/cth/consol_act/nha1953147/" TargetMode="External"/><Relationship Id="rId43" Type="http://schemas.openxmlformats.org/officeDocument/2006/relationships/hyperlink" Target="https://www.act.gov.au/grants/applying-for-receiving-grant" TargetMode="External"/><Relationship Id="rId48"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hyperlink" Target="https://www.communityservices.act.gov.au/commissioning/resources/commissioning-journey" TargetMode="External"/><Relationship Id="rId33" Type="http://schemas.openxmlformats.org/officeDocument/2006/relationships/hyperlink" Target="https://www.health.gov.au/resources/publications/fifth-national-aboriginal-and-torres-strait-islander-bloodborne-viruses-and-sexually-transmissible-infections-strategy-2018-2022?language=en" TargetMode="External"/><Relationship Id="rId38" Type="http://schemas.openxmlformats.org/officeDocument/2006/relationships/hyperlink" Target="https://www.communityservices.act.gov.au/__data/assets/pdf_file/0009/2276505/Needs-Analysis-Commissioning-in-the-STIBBV-Subsector.pdf" TargetMode="External"/><Relationship Id="rId46" Type="http://schemas.openxmlformats.org/officeDocument/2006/relationships/header" Target="header4.xml"/><Relationship Id="rId20" Type="http://schemas.openxmlformats.org/officeDocument/2006/relationships/header" Target="header3.xml"/><Relationship Id="rId41" Type="http://schemas.openxmlformats.org/officeDocument/2006/relationships/hyperlink" Target="https://www.procurement.act.gov.au/__data/assets/pdf_file/0011/1766549/Probity-in-Procurement-Guide-February-2022-v.1.2.pdf"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au/resources/publications/sixth-national-hepatitis-c-strategy-2023-2030?language=en" TargetMode="External"/><Relationship Id="rId3" Type="http://schemas.openxmlformats.org/officeDocument/2006/relationships/hyperlink" Target="https://www.who.int/news-room/fact-sheets/detail/hepatitis-c" TargetMode="External"/><Relationship Id="rId7" Type="http://schemas.openxmlformats.org/officeDocument/2006/relationships/hyperlink" Target="https://www.health.gov.au/resources/publications/fourth-national-hepatitis-b-strategy-2023-2030?language=en" TargetMode="External"/><Relationship Id="rId12" Type="http://schemas.openxmlformats.org/officeDocument/2006/relationships/hyperlink" Target="https://www.mibss.org/publications" TargetMode="External"/><Relationship Id="rId2" Type="http://schemas.openxmlformats.org/officeDocument/2006/relationships/hyperlink" Target="https://ashm.org.au/about/news/making-viral-hepatitis-elimination-a-reality-what-does-it-mean-and-how-do-we-get-there/" TargetMode="External"/><Relationship Id="rId1" Type="http://schemas.openxmlformats.org/officeDocument/2006/relationships/hyperlink" Target="https://www.health.gov.au/topics/immunisation/immunisation-data/human-papillomavirus-hpv-immunisation-data" TargetMode="External"/><Relationship Id="rId6" Type="http://schemas.openxmlformats.org/officeDocument/2006/relationships/hyperlink" Target="https://www.health.gov.au/resources/publications/fourth-national-hepatitis-b-strategy-2023-2030?language=en" TargetMode="External"/><Relationship Id="rId11" Type="http://schemas.openxmlformats.org/officeDocument/2006/relationships/hyperlink" Target="https://napwha.org.au/files/factsheet_0311_immigration.pdf" TargetMode="External"/><Relationship Id="rId5" Type="http://schemas.openxmlformats.org/officeDocument/2006/relationships/hyperlink" Target="https://www.health.gov.au/resources/publications/sixth-national-hepatitis-c-strategy-2023-2030?language=en" TargetMode="External"/><Relationship Id="rId10" Type="http://schemas.openxmlformats.org/officeDocument/2006/relationships/hyperlink" Target="https://www.kirby.unsw.edu.au/research/reports/asr2022" TargetMode="External"/><Relationship Id="rId4" Type="http://schemas.openxmlformats.org/officeDocument/2006/relationships/hyperlink" Target="https://www.ncbi.nlm.nih.gov/pmc/articles/PMC8445464/" TargetMode="External"/><Relationship Id="rId9" Type="http://schemas.openxmlformats.org/officeDocument/2006/relationships/hyperlink" Target="https://www.health.gov.au/resources/publications/sixth-national-hepatitis-c-strategy-2023-2030?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1D6943F41DEEA40BD8A667B2E64C4FD" ma:contentTypeVersion="19" ma:contentTypeDescription="Create a new document." ma:contentTypeScope="" ma:versionID="334775190037626c01ac6cd2411995e7">
  <xsd:schema xmlns:xsd="http://www.w3.org/2001/XMLSchema" xmlns:xs="http://www.w3.org/2001/XMLSchema" xmlns:p="http://schemas.microsoft.com/office/2006/metadata/properties" xmlns:ns2="e8f589c0-e3a9-4e53-aa8a-69a7a25df939" xmlns:ns3="626634ba-b3e7-477b-a3c5-34b9672cc021" targetNamespace="http://schemas.microsoft.com/office/2006/metadata/properties" ma:root="true" ma:fieldsID="dc61cdb99b6ba2a4449b39c104dd3cef" ns2:_="" ns3:_="">
    <xsd:import namespace="e8f589c0-e3a9-4e53-aa8a-69a7a25df939"/>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Hyperlink"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589c0-e3a9-4e53-aa8a-69a7a25df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Hyperlink" ma:index="1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718c45-22e5-4921-ae7e-be1aa27c8f6b">
      <Terms xmlns="http://schemas.microsoft.com/office/infopath/2007/PartnerControls"/>
    </lcf76f155ced4ddcb4097134ff3c332f>
    <TaxCatchAll xmlns="3b48874a-41a7-4fee-af64-042dec7e0552" xsi:nil="true"/>
    <Checked xmlns="e1718c45-22e5-4921-ae7e-be1aa27c8f6b">false</Check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7B676232E102C47992DD33B8097C150" ma:contentTypeVersion="22" ma:contentTypeDescription="Create a new document." ma:contentTypeScope="" ma:versionID="28ff0d6256d529d976b169bab4996b60">
  <xsd:schema xmlns:xsd="http://www.w3.org/2001/XMLSchema" xmlns:xs="http://www.w3.org/2001/XMLSchema" xmlns:p="http://schemas.microsoft.com/office/2006/metadata/properties" xmlns:ns2="e1718c45-22e5-4921-ae7e-be1aa27c8f6b" xmlns:ns3="3b48874a-41a7-4fee-af64-042dec7e0552" targetNamespace="http://schemas.microsoft.com/office/2006/metadata/properties" ma:root="true" ma:fieldsID="71024715ca8496ee09ef72a7d8d9fbfc" ns2:_="" ns3:_="">
    <xsd:import namespace="e1718c45-22e5-4921-ae7e-be1aa27c8f6b"/>
    <xsd:import namespace="3b48874a-41a7-4fee-af64-042dec7e05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Check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18c45-22e5-4921-ae7e-be1aa27c8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20bf50-4be5-4410-bd15-f72edde6acef" ma:termSetId="09814cd3-568e-fe90-9814-8d621ff8fb84" ma:anchorId="fba54fb3-c3e1-fe81-a776-ca4b69148c4d" ma:open="true" ma:isKeyword="false">
      <xsd:complexType>
        <xsd:sequence>
          <xsd:element ref="pc:Terms" minOccurs="0" maxOccurs="1"/>
        </xsd:sequence>
      </xsd:complexType>
    </xsd:element>
    <xsd:element name="Checked" ma:index="24" nillable="true" ma:displayName="Checked" ma:default="0" ma:format="Dropdown" ma:internalName="Check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8874a-41a7-4fee-af64-042dec7e05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ffe7ef-ab84-4f51-a12d-fcd08c02eaa3}" ma:internalName="TaxCatchAll" ma:showField="CatchAllData" ma:web="3b48874a-41a7-4fee-af64-042dec7e0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yperlink xmlns="e8f589c0-e3a9-4e53-aa8a-69a7a25df939">
      <Url xsi:nil="true"/>
      <Description xsi:nil="true"/>
    </Hyperlink>
    <lcf76f155ced4ddcb4097134ff3c332f xmlns="e8f589c0-e3a9-4e53-aa8a-69a7a25df939">
      <Terms xmlns="http://schemas.microsoft.com/office/infopath/2007/PartnerControls"/>
    </lcf76f155ced4ddcb4097134ff3c332f>
    <TaxCatchAll xmlns="626634ba-b3e7-477b-a3c5-34b9672cc021" xsi:nil="true"/>
  </documentManagement>
</p:properties>
</file>

<file path=customXml/item7.xml><?xml version="1.0" encoding="utf-8"?>
<metadata xmlns="http://www.objective.com/ecm/document/metadata/4FEB93B0D38B3BDFE05400144FFB2061" version="1.0.0">
  <systemFields>
    <field name="Objective-Id">
      <value order="0">A44178229</value>
    </field>
    <field name="Objective-Title">
      <value order="0">Attachment A - Strategic Investment Plan (FINAL) copy</value>
    </field>
    <field name="Objective-Description">
      <value order="0"/>
    </field>
    <field name="Objective-CreationStamp">
      <value order="0">2023-10-26T13:53:40Z</value>
    </field>
    <field name="Objective-IsApproved">
      <value order="0">false</value>
    </field>
    <field name="Objective-IsPublished">
      <value order="0">false</value>
    </field>
    <field name="Objective-DatePublished">
      <value order="0"/>
    </field>
    <field name="Objective-ModificationStamp">
      <value order="0">2023-10-31T02:09:52Z</value>
    </field>
    <field name="Objective-Owner">
      <value order="0">Megan Arnold</value>
    </field>
    <field name="Objective-Path">
      <value order="0">Whole of ACT Government:ACTHD - ACT Health:GROUP: Population Health GROUP (PH):05. Policy and Legislation:13. Sexually Transmissible Infections and Blood Borne Virus (STIBBV) Policy:2. STIBBV Strategy, Policy and Projects:2. Commissioning:Phase 3 - Invest Phase:Grant package</value>
    </field>
    <field name="Objective-Parent">
      <value order="0">Grant package</value>
    </field>
    <field name="Objective-State">
      <value order="0">Being Drafted</value>
    </field>
    <field name="Objective-VersionId">
      <value order="0">vA55232584</value>
    </field>
    <field name="Objective-Version">
      <value order="0">0.6</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D71D4-E4DA-409D-98DE-F2C5F857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61F3B-1EE7-4564-A09B-CBD021708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589c0-e3a9-4e53-aa8a-69a7a25df939"/>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e1718c45-22e5-4921-ae7e-be1aa27c8f6b"/>
    <ds:schemaRef ds:uri="3b48874a-41a7-4fee-af64-042dec7e0552"/>
  </ds:schemaRefs>
</ds:datastoreItem>
</file>

<file path=customXml/itemProps4.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5.xml><?xml version="1.0" encoding="utf-8"?>
<ds:datastoreItem xmlns:ds="http://schemas.openxmlformats.org/officeDocument/2006/customXml" ds:itemID="{75D50C8C-178F-44CD-AFD0-2A9250CF1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18c45-22e5-4921-ae7e-be1aa27c8f6b"/>
    <ds:schemaRef ds:uri="3b48874a-41a7-4fee-af64-042dec7e0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827641-E810-437D-B96A-C466FA48EE8D}">
  <ds:schemaRefs>
    <ds:schemaRef ds:uri="http://schemas.microsoft.com/office/2006/metadata/properties"/>
    <ds:schemaRef ds:uri="http://schemas.microsoft.com/office/infopath/2007/PartnerControls"/>
    <ds:schemaRef ds:uri="e8f589c0-e3a9-4e53-aa8a-69a7a25df939"/>
    <ds:schemaRef ds:uri="626634ba-b3e7-477b-a3c5-34b9672cc021"/>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8.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9.xml><?xml version="1.0" encoding="utf-8"?>
<ds:datastoreItem xmlns:ds="http://schemas.openxmlformats.org/officeDocument/2006/customXml" ds:itemID="{9DD21231-851E-40E3-8F3F-A15D593CA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7861</Words>
  <Characters>44808</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52564</CharactersWithSpaces>
  <SharedDoc>false</SharedDoc>
  <HLinks>
    <vt:vector size="204" baseType="variant">
      <vt:variant>
        <vt:i4>4587528</vt:i4>
      </vt:variant>
      <vt:variant>
        <vt:i4>141</vt:i4>
      </vt:variant>
      <vt:variant>
        <vt:i4>0</vt:i4>
      </vt:variant>
      <vt:variant>
        <vt:i4>5</vt:i4>
      </vt:variant>
      <vt:variant>
        <vt:lpwstr>https://www.act.gov.au/wellbeing</vt:lpwstr>
      </vt:variant>
      <vt:variant>
        <vt:lpwstr/>
      </vt:variant>
      <vt:variant>
        <vt:i4>8192109</vt:i4>
      </vt:variant>
      <vt:variant>
        <vt:i4>138</vt:i4>
      </vt:variant>
      <vt:variant>
        <vt:i4>0</vt:i4>
      </vt:variant>
      <vt:variant>
        <vt:i4>5</vt:i4>
      </vt:variant>
      <vt:variant>
        <vt:lpwstr>https://www.tenders.act.gov.au/welcome</vt:lpwstr>
      </vt:variant>
      <vt:variant>
        <vt:lpwstr/>
      </vt:variant>
      <vt:variant>
        <vt:i4>7208997</vt:i4>
      </vt:variant>
      <vt:variant>
        <vt:i4>135</vt:i4>
      </vt:variant>
      <vt:variant>
        <vt:i4>0</vt:i4>
      </vt:variant>
      <vt:variant>
        <vt:i4>5</vt:i4>
      </vt:variant>
      <vt:variant>
        <vt:lpwstr>https://www.act.gov.au/grants/applying-for-receiving-grant</vt:lpwstr>
      </vt:variant>
      <vt:variant>
        <vt:lpwstr/>
      </vt:variant>
      <vt:variant>
        <vt:i4>1048690</vt:i4>
      </vt:variant>
      <vt:variant>
        <vt:i4>132</vt:i4>
      </vt:variant>
      <vt:variant>
        <vt:i4>0</vt:i4>
      </vt:variant>
      <vt:variant>
        <vt:i4>5</vt:i4>
      </vt:variant>
      <vt:variant>
        <vt:lpwstr>https://www.treasury.act.gov.au/__data/assets/pdf_file/0010/1499905/Guidelines-for-Unsolicited-Proposals-Edition-3.1.pdf</vt:lpwstr>
      </vt:variant>
      <vt:variant>
        <vt:lpwstr/>
      </vt:variant>
      <vt:variant>
        <vt:i4>1114234</vt:i4>
      </vt:variant>
      <vt:variant>
        <vt:i4>129</vt:i4>
      </vt:variant>
      <vt:variant>
        <vt:i4>0</vt:i4>
      </vt:variant>
      <vt:variant>
        <vt:i4>5</vt:i4>
      </vt:variant>
      <vt:variant>
        <vt:lpwstr>https://www.procurement.act.gov.au/__data/assets/pdf_file/0011/1766549/Probity-in-Procurement-Guide-February-2022-v.1.2.pdf</vt:lpwstr>
      </vt:variant>
      <vt:variant>
        <vt:lpwstr/>
      </vt:variant>
      <vt:variant>
        <vt:i4>983050</vt:i4>
      </vt:variant>
      <vt:variant>
        <vt:i4>126</vt:i4>
      </vt:variant>
      <vt:variant>
        <vt:i4>0</vt:i4>
      </vt:variant>
      <vt:variant>
        <vt:i4>5</vt:i4>
      </vt:variant>
      <vt:variant>
        <vt:lpwstr>https://www.procurement.act.gov.au/secure-local-jobs</vt:lpwstr>
      </vt:variant>
      <vt:variant>
        <vt:lpwstr/>
      </vt:variant>
      <vt:variant>
        <vt:i4>1441801</vt:i4>
      </vt:variant>
      <vt:variant>
        <vt:i4>123</vt:i4>
      </vt:variant>
      <vt:variant>
        <vt:i4>0</vt:i4>
      </vt:variant>
      <vt:variant>
        <vt:i4>5</vt:i4>
      </vt:variant>
      <vt:variant>
        <vt:lpwstr>https://www.pbs.gov.au/info/browse/section-100/s100-highly-specialised-drugs</vt:lpwstr>
      </vt:variant>
      <vt:variant>
        <vt:lpwstr/>
      </vt:variant>
      <vt:variant>
        <vt:i4>4128797</vt:i4>
      </vt:variant>
      <vt:variant>
        <vt:i4>120</vt:i4>
      </vt:variant>
      <vt:variant>
        <vt:i4>0</vt:i4>
      </vt:variant>
      <vt:variant>
        <vt:i4>5</vt:i4>
      </vt:variant>
      <vt:variant>
        <vt:lpwstr>http://www8.austlii.edu.au/cgi-bin/viewdb/au/legis/cth/consol_act/nha1953147/</vt:lpwstr>
      </vt:variant>
      <vt:variant>
        <vt:lpwstr/>
      </vt:variant>
      <vt:variant>
        <vt:i4>65543</vt:i4>
      </vt:variant>
      <vt:variant>
        <vt:i4>117</vt:i4>
      </vt:variant>
      <vt:variant>
        <vt:i4>0</vt:i4>
      </vt:variant>
      <vt:variant>
        <vt:i4>5</vt:i4>
      </vt:variant>
      <vt:variant>
        <vt:lpwstr>https://www.health.gov.au/resources/publications/fifth-national-aboriginal-and-torres-strait-islander-bloodborne-viruses-and-sexually-transmissible-infections-strategy-2018-2022?language=en</vt:lpwstr>
      </vt:variant>
      <vt:variant>
        <vt:lpwstr/>
      </vt:variant>
      <vt:variant>
        <vt:i4>7733357</vt:i4>
      </vt:variant>
      <vt:variant>
        <vt:i4>114</vt:i4>
      </vt:variant>
      <vt:variant>
        <vt:i4>0</vt:i4>
      </vt:variant>
      <vt:variant>
        <vt:i4>5</vt:i4>
      </vt:variant>
      <vt:variant>
        <vt:lpwstr>https://www.health.gov.au/resources/publications/eighth-national-hiv-strategy-2018-2022?language=en</vt:lpwstr>
      </vt:variant>
      <vt:variant>
        <vt:lpwstr/>
      </vt:variant>
      <vt:variant>
        <vt:i4>7274534</vt:i4>
      </vt:variant>
      <vt:variant>
        <vt:i4>111</vt:i4>
      </vt:variant>
      <vt:variant>
        <vt:i4>0</vt:i4>
      </vt:variant>
      <vt:variant>
        <vt:i4>5</vt:i4>
      </vt:variant>
      <vt:variant>
        <vt:lpwstr>https://www.health.gov.au/resources/publications/sixth-national-hepatitis-c-strategy-2023-2030?language=en</vt:lpwstr>
      </vt:variant>
      <vt:variant>
        <vt:lpwstr/>
      </vt:variant>
      <vt:variant>
        <vt:i4>7995440</vt:i4>
      </vt:variant>
      <vt:variant>
        <vt:i4>108</vt:i4>
      </vt:variant>
      <vt:variant>
        <vt:i4>0</vt:i4>
      </vt:variant>
      <vt:variant>
        <vt:i4>5</vt:i4>
      </vt:variant>
      <vt:variant>
        <vt:lpwstr>https://www.health.gov.au/resources/publications/fourth-national-hepatitis-b-strategy-2023-2030?language=en</vt:lpwstr>
      </vt:variant>
      <vt:variant>
        <vt:lpwstr/>
      </vt:variant>
      <vt:variant>
        <vt:i4>720961</vt:i4>
      </vt:variant>
      <vt:variant>
        <vt:i4>105</vt:i4>
      </vt:variant>
      <vt:variant>
        <vt:i4>0</vt:i4>
      </vt:variant>
      <vt:variant>
        <vt:i4>5</vt:i4>
      </vt:variant>
      <vt:variant>
        <vt:lpwstr>https://www.health.gov.au/resources/collections/national-strategies-for-bloodborne-viruses-and-sexually-transmissible-infections</vt:lpwstr>
      </vt:variant>
      <vt:variant>
        <vt:lpwstr/>
      </vt:variant>
      <vt:variant>
        <vt:i4>4915268</vt:i4>
      </vt:variant>
      <vt:variant>
        <vt:i4>102</vt:i4>
      </vt:variant>
      <vt:variant>
        <vt:i4>0</vt:i4>
      </vt:variant>
      <vt:variant>
        <vt:i4>5</vt:i4>
      </vt:variant>
      <vt:variant>
        <vt:lpwstr>https://www.communityservices.act.gov.au/commissioning/sectors-in-progress/sexually-transmissible-infections-and-blood-borne-viruses</vt:lpwstr>
      </vt:variant>
      <vt:variant>
        <vt:lpwstr/>
      </vt:variant>
      <vt:variant>
        <vt:i4>4915268</vt:i4>
      </vt:variant>
      <vt:variant>
        <vt:i4>99</vt:i4>
      </vt:variant>
      <vt:variant>
        <vt:i4>0</vt:i4>
      </vt:variant>
      <vt:variant>
        <vt:i4>5</vt:i4>
      </vt:variant>
      <vt:variant>
        <vt:lpwstr>https://www.communityservices.act.gov.au/commissioning/sectors-in-progress/sexually-transmissible-infections-and-blood-borne-viruses</vt:lpwstr>
      </vt:variant>
      <vt:variant>
        <vt:lpwstr/>
      </vt:variant>
      <vt:variant>
        <vt:i4>6684714</vt:i4>
      </vt:variant>
      <vt:variant>
        <vt:i4>96</vt:i4>
      </vt:variant>
      <vt:variant>
        <vt:i4>0</vt:i4>
      </vt:variant>
      <vt:variant>
        <vt:i4>5</vt:i4>
      </vt:variant>
      <vt:variant>
        <vt:lpwstr>https://www.communityservices.act.gov.au/commissioning/resources/commissioning-journey</vt:lpwstr>
      </vt:variant>
      <vt:variant>
        <vt:lpwstr/>
      </vt:variant>
      <vt:variant>
        <vt:i4>6684756</vt:i4>
      </vt:variant>
      <vt:variant>
        <vt:i4>93</vt:i4>
      </vt:variant>
      <vt:variant>
        <vt:i4>0</vt:i4>
      </vt:variant>
      <vt:variant>
        <vt:i4>5</vt:i4>
      </vt:variant>
      <vt:variant>
        <vt:lpwstr>https://www.communityservices.act.gov.au/__data/assets/pdf_file/0015/2122413/Commissioning-Roadmap-Introduction-2024.pdf</vt:lpwstr>
      </vt:variant>
      <vt:variant>
        <vt:lpwstr/>
      </vt:variant>
      <vt:variant>
        <vt:i4>1769535</vt:i4>
      </vt:variant>
      <vt:variant>
        <vt:i4>86</vt:i4>
      </vt:variant>
      <vt:variant>
        <vt:i4>0</vt:i4>
      </vt:variant>
      <vt:variant>
        <vt:i4>5</vt:i4>
      </vt:variant>
      <vt:variant>
        <vt:lpwstr/>
      </vt:variant>
      <vt:variant>
        <vt:lpwstr>_Toc144494386</vt:lpwstr>
      </vt:variant>
      <vt:variant>
        <vt:i4>1769535</vt:i4>
      </vt:variant>
      <vt:variant>
        <vt:i4>80</vt:i4>
      </vt:variant>
      <vt:variant>
        <vt:i4>0</vt:i4>
      </vt:variant>
      <vt:variant>
        <vt:i4>5</vt:i4>
      </vt:variant>
      <vt:variant>
        <vt:lpwstr/>
      </vt:variant>
      <vt:variant>
        <vt:lpwstr>_Toc144494385</vt:lpwstr>
      </vt:variant>
      <vt:variant>
        <vt:i4>1769535</vt:i4>
      </vt:variant>
      <vt:variant>
        <vt:i4>74</vt:i4>
      </vt:variant>
      <vt:variant>
        <vt:i4>0</vt:i4>
      </vt:variant>
      <vt:variant>
        <vt:i4>5</vt:i4>
      </vt:variant>
      <vt:variant>
        <vt:lpwstr/>
      </vt:variant>
      <vt:variant>
        <vt:lpwstr>_Toc144494384</vt:lpwstr>
      </vt:variant>
      <vt:variant>
        <vt:i4>1769535</vt:i4>
      </vt:variant>
      <vt:variant>
        <vt:i4>68</vt:i4>
      </vt:variant>
      <vt:variant>
        <vt:i4>0</vt:i4>
      </vt:variant>
      <vt:variant>
        <vt:i4>5</vt:i4>
      </vt:variant>
      <vt:variant>
        <vt:lpwstr/>
      </vt:variant>
      <vt:variant>
        <vt:lpwstr>_Toc144494383</vt:lpwstr>
      </vt:variant>
      <vt:variant>
        <vt:i4>1769535</vt:i4>
      </vt:variant>
      <vt:variant>
        <vt:i4>62</vt:i4>
      </vt:variant>
      <vt:variant>
        <vt:i4>0</vt:i4>
      </vt:variant>
      <vt:variant>
        <vt:i4>5</vt:i4>
      </vt:variant>
      <vt:variant>
        <vt:lpwstr/>
      </vt:variant>
      <vt:variant>
        <vt:lpwstr>_Toc144494382</vt:lpwstr>
      </vt:variant>
      <vt:variant>
        <vt:i4>1769535</vt:i4>
      </vt:variant>
      <vt:variant>
        <vt:i4>56</vt:i4>
      </vt:variant>
      <vt:variant>
        <vt:i4>0</vt:i4>
      </vt:variant>
      <vt:variant>
        <vt:i4>5</vt:i4>
      </vt:variant>
      <vt:variant>
        <vt:lpwstr/>
      </vt:variant>
      <vt:variant>
        <vt:lpwstr>_Toc144494381</vt:lpwstr>
      </vt:variant>
      <vt:variant>
        <vt:i4>1769535</vt:i4>
      </vt:variant>
      <vt:variant>
        <vt:i4>50</vt:i4>
      </vt:variant>
      <vt:variant>
        <vt:i4>0</vt:i4>
      </vt:variant>
      <vt:variant>
        <vt:i4>5</vt:i4>
      </vt:variant>
      <vt:variant>
        <vt:lpwstr/>
      </vt:variant>
      <vt:variant>
        <vt:lpwstr>_Toc144494380</vt:lpwstr>
      </vt:variant>
      <vt:variant>
        <vt:i4>1310783</vt:i4>
      </vt:variant>
      <vt:variant>
        <vt:i4>44</vt:i4>
      </vt:variant>
      <vt:variant>
        <vt:i4>0</vt:i4>
      </vt:variant>
      <vt:variant>
        <vt:i4>5</vt:i4>
      </vt:variant>
      <vt:variant>
        <vt:lpwstr/>
      </vt:variant>
      <vt:variant>
        <vt:lpwstr>_Toc144494379</vt:lpwstr>
      </vt:variant>
      <vt:variant>
        <vt:i4>1310783</vt:i4>
      </vt:variant>
      <vt:variant>
        <vt:i4>38</vt:i4>
      </vt:variant>
      <vt:variant>
        <vt:i4>0</vt:i4>
      </vt:variant>
      <vt:variant>
        <vt:i4>5</vt:i4>
      </vt:variant>
      <vt:variant>
        <vt:lpwstr/>
      </vt:variant>
      <vt:variant>
        <vt:lpwstr>_Toc144494378</vt:lpwstr>
      </vt:variant>
      <vt:variant>
        <vt:i4>1310783</vt:i4>
      </vt:variant>
      <vt:variant>
        <vt:i4>32</vt:i4>
      </vt:variant>
      <vt:variant>
        <vt:i4>0</vt:i4>
      </vt:variant>
      <vt:variant>
        <vt:i4>5</vt:i4>
      </vt:variant>
      <vt:variant>
        <vt:lpwstr/>
      </vt:variant>
      <vt:variant>
        <vt:lpwstr>_Toc144494377</vt:lpwstr>
      </vt:variant>
      <vt:variant>
        <vt:i4>1310783</vt:i4>
      </vt:variant>
      <vt:variant>
        <vt:i4>26</vt:i4>
      </vt:variant>
      <vt:variant>
        <vt:i4>0</vt:i4>
      </vt:variant>
      <vt:variant>
        <vt:i4>5</vt:i4>
      </vt:variant>
      <vt:variant>
        <vt:lpwstr/>
      </vt:variant>
      <vt:variant>
        <vt:lpwstr>_Toc144494376</vt:lpwstr>
      </vt:variant>
      <vt:variant>
        <vt:i4>1310783</vt:i4>
      </vt:variant>
      <vt:variant>
        <vt:i4>20</vt:i4>
      </vt:variant>
      <vt:variant>
        <vt:i4>0</vt:i4>
      </vt:variant>
      <vt:variant>
        <vt:i4>5</vt:i4>
      </vt:variant>
      <vt:variant>
        <vt:lpwstr/>
      </vt:variant>
      <vt:variant>
        <vt:lpwstr>_Toc144494375</vt:lpwstr>
      </vt:variant>
      <vt:variant>
        <vt:i4>1310783</vt:i4>
      </vt:variant>
      <vt:variant>
        <vt:i4>14</vt:i4>
      </vt:variant>
      <vt:variant>
        <vt:i4>0</vt:i4>
      </vt:variant>
      <vt:variant>
        <vt:i4>5</vt:i4>
      </vt:variant>
      <vt:variant>
        <vt:lpwstr/>
      </vt:variant>
      <vt:variant>
        <vt:lpwstr>_Toc144494374</vt:lpwstr>
      </vt:variant>
      <vt:variant>
        <vt:i4>1310783</vt:i4>
      </vt:variant>
      <vt:variant>
        <vt:i4>8</vt:i4>
      </vt:variant>
      <vt:variant>
        <vt:i4>0</vt:i4>
      </vt:variant>
      <vt:variant>
        <vt:i4>5</vt:i4>
      </vt:variant>
      <vt:variant>
        <vt:lpwstr/>
      </vt:variant>
      <vt:variant>
        <vt:lpwstr>_Toc144494373</vt:lpwstr>
      </vt:variant>
      <vt:variant>
        <vt:i4>1310783</vt:i4>
      </vt:variant>
      <vt:variant>
        <vt:i4>2</vt:i4>
      </vt:variant>
      <vt:variant>
        <vt:i4>0</vt:i4>
      </vt:variant>
      <vt:variant>
        <vt:i4>5</vt:i4>
      </vt:variant>
      <vt:variant>
        <vt:lpwstr/>
      </vt:variant>
      <vt:variant>
        <vt:lpwstr>_Toc144494372</vt:lpwstr>
      </vt:variant>
      <vt:variant>
        <vt:i4>3342377</vt:i4>
      </vt:variant>
      <vt:variant>
        <vt:i4>0</vt:i4>
      </vt:variant>
      <vt:variant>
        <vt:i4>0</vt:i4>
      </vt:variant>
      <vt:variant>
        <vt:i4>5</vt:i4>
      </vt:variant>
      <vt:variant>
        <vt:lpwstr>https://www.mibss.org/publications</vt:lpwstr>
      </vt:variant>
      <vt:variant>
        <vt:lpwstr/>
      </vt:variant>
      <vt:variant>
        <vt:i4>2031731</vt:i4>
      </vt:variant>
      <vt:variant>
        <vt:i4>0</vt:i4>
      </vt:variant>
      <vt:variant>
        <vt:i4>0</vt:i4>
      </vt:variant>
      <vt:variant>
        <vt:i4>5</vt:i4>
      </vt:variant>
      <vt:variant>
        <vt:lpwstr>mailto:SHBBVpolicy@act.gov.au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2023-11-01T01:53:00Z</dcterms:created>
  <dcterms:modified xsi:type="dcterms:W3CDTF">2023-11-01T01:53:00Z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Objective-Document Created On">
    <vt:lpwstr/>
  </property>
  <property fmtid="{D5CDD505-2E9C-101B-9397-08002B2CF9AE}" pid="4" name="Objective-VersionNumber">
    <vt:r8>6</vt:r8>
  </property>
  <property fmtid="{D5CDD505-2E9C-101B-9397-08002B2CF9AE}" pid="5" name="Objective-Path">
    <vt:lpwstr>Whole of ACT Government:ACTHD - ACT Health:GROUP: Population Health GROUP (PH):05. Policy and Legislation:13. Sexually Transmissible Infections and Blood Borne Virus (STIBBV) Policy:2. STIBBV Strategy, Policy and Projects:2. Commissioning:Phase 3 - Invest Phase:Grant package</vt:lpwstr>
  </property>
  <property fmtid="{D5CDD505-2E9C-101B-9397-08002B2CF9AE}" pid="6" name="Objective-Places">
    <vt:lpwstr/>
  </property>
  <property fmtid="{D5CDD505-2E9C-101B-9397-08002B2CF9AE}" pid="7" name="Objective-Caveats">
    <vt:lpwstr/>
  </property>
  <property fmtid="{D5CDD505-2E9C-101B-9397-08002B2CF9AE}" pid="8" name="Objective-State">
    <vt:lpwstr>Being Drafted</vt:lpwstr>
  </property>
  <property fmtid="{D5CDD505-2E9C-101B-9397-08002B2CF9AE}" pid="9" name="MediaServiceImageTags">
    <vt:lpwstr/>
  </property>
  <property fmtid="{D5CDD505-2E9C-101B-9397-08002B2CF9AE}" pid="10" name="MSIP_Label_69af8531-eb46-4968-8cb3-105d2f5ea87e_ActionId">
    <vt:lpwstr>fc30cf60-cc8e-4fde-87ed-fd93859bb71d</vt:lpwstr>
  </property>
  <property fmtid="{D5CDD505-2E9C-101B-9397-08002B2CF9AE}" pid="11" name="ContentTypeId">
    <vt:lpwstr>0x010100B1D6943F41DEEA40BD8A667B2E64C4FD</vt:lpwstr>
  </property>
  <property fmtid="{D5CDD505-2E9C-101B-9397-08002B2CF9AE}" pid="12" name="MSIP_Label_69af8531-eb46-4968-8cb3-105d2f5ea87e_SetDate">
    <vt:lpwstr>2021-06-17T05:19:54Z</vt:lpwstr>
  </property>
  <property fmtid="{D5CDD505-2E9C-101B-9397-08002B2CF9AE}" pid="13" name="MSIP_Label_69af8531-eb46-4968-8cb3-105d2f5ea87e_SiteId">
    <vt:lpwstr>b46c1908-0334-4236-b978-585ee88e4199</vt:lpwstr>
  </property>
  <property fmtid="{D5CDD505-2E9C-101B-9397-08002B2CF9AE}" pid="14" name="Objective-Parent">
    <vt:lpwstr>Grant package</vt:lpwstr>
  </property>
  <property fmtid="{D5CDD505-2E9C-101B-9397-08002B2CF9AE}" pid="15" name="MSIP_Label_69af8531-eb46-4968-8cb3-105d2f5ea87e_Method">
    <vt:lpwstr>Privileged</vt:lpwstr>
  </property>
  <property fmtid="{D5CDD505-2E9C-101B-9397-08002B2CF9AE}" pid="16" name="Objective-Transaction Reference">
    <vt:lpwstr/>
  </property>
  <property fmtid="{D5CDD505-2E9C-101B-9397-08002B2CF9AE}" pid="17" name="Objective-Description">
    <vt:lpwstr/>
  </property>
  <property fmtid="{D5CDD505-2E9C-101B-9397-08002B2CF9AE}" pid="18" name="Objective-FileNumber">
    <vt:lpwstr/>
  </property>
  <property fmtid="{D5CDD505-2E9C-101B-9397-08002B2CF9AE}" pid="19" name="Objective-Version">
    <vt:lpwstr>0.6</vt:lpwstr>
  </property>
  <property fmtid="{D5CDD505-2E9C-101B-9397-08002B2CF9AE}" pid="20" name="Objective-ModificationStamp">
    <vt:filetime>2023-10-31T02:09:52Z</vt:filetime>
  </property>
  <property fmtid="{D5CDD505-2E9C-101B-9397-08002B2CF9AE}" pid="21" name="Objective-VersionComment">
    <vt:lpwstr/>
  </property>
  <property fmtid="{D5CDD505-2E9C-101B-9397-08002B2CF9AE}" pid="22" name="Objective-Covers Period To">
    <vt:lpwstr/>
  </property>
  <property fmtid="{D5CDD505-2E9C-101B-9397-08002B2CF9AE}" pid="23" name="Objective-Comment">
    <vt:lpwstr/>
  </property>
  <property fmtid="{D5CDD505-2E9C-101B-9397-08002B2CF9AE}" pid="24" name="Objective-IsApproved">
    <vt:bool>false</vt:bool>
  </property>
  <property fmtid="{D5CDD505-2E9C-101B-9397-08002B2CF9AE}" pid="25" name="MSIP_Label_69af8531-eb46-4968-8cb3-105d2f5ea87e_Name">
    <vt:lpwstr>Official - No Marking</vt:lpwstr>
  </property>
  <property fmtid="{D5CDD505-2E9C-101B-9397-08002B2CF9AE}" pid="26" name="Objective-IsPublished">
    <vt:bool>false</vt:bool>
  </property>
  <property fmtid="{D5CDD505-2E9C-101B-9397-08002B2CF9AE}" pid="27" name="Objective-Jurisdiction">
    <vt:lpwstr>ACT</vt:lpwstr>
  </property>
  <property fmtid="{D5CDD505-2E9C-101B-9397-08002B2CF9AE}" pid="28" name="Objective-Covers Period From">
    <vt:lpwstr/>
  </property>
  <property fmtid="{D5CDD505-2E9C-101B-9397-08002B2CF9AE}" pid="29" name="Objective-Document Created By">
    <vt:lpwstr/>
  </property>
  <property fmtid="{D5CDD505-2E9C-101B-9397-08002B2CF9AE}" pid="30" name="MSIP_Label_69af8531-eb46-4968-8cb3-105d2f5ea87e_ContentBits">
    <vt:lpwstr>0</vt:lpwstr>
  </property>
  <property fmtid="{D5CDD505-2E9C-101B-9397-08002B2CF9AE}" pid="31" name="Objective-Classification">
    <vt:lpwstr/>
  </property>
  <property fmtid="{D5CDD505-2E9C-101B-9397-08002B2CF9AE}" pid="32" name="Objective-Owner Agency">
    <vt:lpwstr>ACTHD - ACT Health Directorate</vt:lpwstr>
  </property>
  <property fmtid="{D5CDD505-2E9C-101B-9397-08002B2CF9AE}" pid="33" name="Objective-CreationStamp">
    <vt:filetime>2023-10-26T13:53:40Z</vt:filetime>
  </property>
  <property fmtid="{D5CDD505-2E9C-101B-9397-08002B2CF9AE}" pid="34" name="Objective-Owner">
    <vt:lpwstr>Megan Arnold</vt:lpwstr>
  </property>
  <property fmtid="{D5CDD505-2E9C-101B-9397-08002B2CF9AE}" pid="35" name="Objective-Customers">
    <vt:lpwstr/>
  </property>
  <property fmtid="{D5CDD505-2E9C-101B-9397-08002B2CF9AE}" pid="36" name="Objective-Language">
    <vt:lpwstr>English (en)</vt:lpwstr>
  </property>
  <property fmtid="{D5CDD505-2E9C-101B-9397-08002B2CF9AE}" pid="37" name="GrammarlyDocumentId">
    <vt:lpwstr>11699f8e4c7912e391913bad95e8fe034ab8c887dc0b937dda7f4906d42df393</vt:lpwstr>
  </property>
  <property fmtid="{D5CDD505-2E9C-101B-9397-08002B2CF9AE}" pid="38" name="Objective-VersionId">
    <vt:lpwstr>vA55232584</vt:lpwstr>
  </property>
  <property fmtid="{D5CDD505-2E9C-101B-9397-08002B2CF9AE}" pid="39" name="Objective-DatePublished">
    <vt:lpwstr/>
  </property>
  <property fmtid="{D5CDD505-2E9C-101B-9397-08002B2CF9AE}" pid="40" name="Objective-Document Type">
    <vt:lpwstr>0-Document</vt:lpwstr>
  </property>
  <property fmtid="{D5CDD505-2E9C-101B-9397-08002B2CF9AE}" pid="41" name="Objective-Id">
    <vt:lpwstr>A44178229</vt:lpwstr>
  </property>
  <property fmtid="{D5CDD505-2E9C-101B-9397-08002B2CF9AE}" pid="42" name="Objective-Title">
    <vt:lpwstr>Attachment A - Strategic Investment Plan (FINAL) copy</vt:lpwstr>
  </property>
</Properties>
</file>