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84D9" w14:textId="03281A5A" w:rsidR="00125E2B" w:rsidRDefault="002E57F2">
      <w:pPr>
        <w:rPr>
          <w:rFonts w:ascii="Montserrat" w:hAnsi="Montserrat"/>
          <w:color w:val="808080" w:themeColor="background1" w:themeShade="80"/>
        </w:rPr>
      </w:pPr>
      <w:r>
        <w:rPr>
          <w:rFonts w:ascii="Montserrat" w:hAnsi="Montserrat"/>
          <w:noProof/>
          <w:color w:val="FFFFFF" w:themeColor="background1"/>
        </w:rPr>
        <w:drawing>
          <wp:inline distT="0" distB="0" distL="0" distR="0" wp14:anchorId="49F6AE99" wp14:editId="53A4554D">
            <wp:extent cx="1497600" cy="76469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096" cy="79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12DEC" w14:textId="6F0EE433" w:rsidR="00A9596D" w:rsidRPr="0047358F" w:rsidRDefault="00A00653" w:rsidP="002E57F2">
      <w:pPr>
        <w:pStyle w:val="Heading1"/>
        <w:rPr>
          <w:rFonts w:ascii="Montserrat" w:hAnsi="Montserrat"/>
          <w:b/>
          <w:bCs/>
          <w:color w:val="auto"/>
        </w:rPr>
      </w:pPr>
      <w:r>
        <w:rPr>
          <w:rFonts w:ascii="Montserrat" w:hAnsi="Montserrat"/>
          <w:b/>
          <w:bCs/>
          <w:color w:val="auto"/>
        </w:rPr>
        <w:t>ASSESSMENT TOOL</w:t>
      </w:r>
    </w:p>
    <w:p w14:paraId="4330D4F7" w14:textId="0E360B10" w:rsidR="002E57F2" w:rsidRPr="002E57F2" w:rsidRDefault="00A00653" w:rsidP="002E57F2">
      <w:pPr>
        <w:pStyle w:val="Heading1"/>
        <w:rPr>
          <w:rFonts w:ascii="Montserrat" w:hAnsi="Montserrat"/>
          <w:b/>
          <w:bCs/>
          <w:color w:val="7030A0"/>
          <w14:textFill>
            <w14:solidFill>
              <w14:srgbClr w14:val="7030A0">
                <w14:lumMod w14:val="50000"/>
              </w14:srgbClr>
            </w14:solidFill>
          </w14:textFill>
        </w:rPr>
      </w:pPr>
      <w:r>
        <w:rPr>
          <w:rFonts w:ascii="Montserrat" w:hAnsi="Montserrat"/>
          <w:b/>
          <w:bCs/>
          <w:color w:val="7030A0"/>
        </w:rPr>
        <w:t xml:space="preserve">LESSONS LEARNT  </w:t>
      </w:r>
    </w:p>
    <w:p w14:paraId="55418876" w14:textId="77777777" w:rsidR="00055A1B" w:rsidRPr="00DA0A36" w:rsidRDefault="00055A1B" w:rsidP="00DA0A36">
      <w:pPr>
        <w:spacing w:after="0"/>
        <w:rPr>
          <w:rFonts w:ascii="Montserrat" w:hAnsi="Montserrat"/>
          <w:b/>
          <w:bCs/>
          <w:sz w:val="16"/>
          <w:szCs w:val="16"/>
        </w:rPr>
      </w:pPr>
    </w:p>
    <w:p w14:paraId="38172511" w14:textId="77777777" w:rsidR="00152AC8" w:rsidRPr="00152AC8" w:rsidRDefault="00152AC8" w:rsidP="00152AC8">
      <w:pPr>
        <w:rPr>
          <w:rFonts w:ascii="Montserrat" w:hAnsi="Montserrat"/>
          <w:b/>
          <w:bCs/>
        </w:rPr>
      </w:pPr>
      <w:r w:rsidRPr="00152AC8">
        <w:rPr>
          <w:rFonts w:ascii="Montserrat" w:hAnsi="Montserrat"/>
          <w:b/>
          <w:bCs/>
        </w:rPr>
        <w:t>As the Commissioner, you are the driver of the commissioning cycle.</w:t>
      </w:r>
    </w:p>
    <w:p w14:paraId="3161E2CE" w14:textId="77777777" w:rsidR="00152AC8" w:rsidRDefault="00152AC8" w:rsidP="00152AC8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This assessment tool supports continuous improvement. </w:t>
      </w:r>
    </w:p>
    <w:p w14:paraId="40F9C72E" w14:textId="4C987D2D" w:rsidR="00152AC8" w:rsidRDefault="00152AC8" w:rsidP="00152AC8">
      <w:pPr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This tool can help you and your team reflect on the practice and experience of commissioning. </w:t>
      </w:r>
    </w:p>
    <w:p w14:paraId="1E667E84" w14:textId="5E5D4DDB" w:rsidR="00152AC8" w:rsidRDefault="00152AC8" w:rsidP="00B472A9">
      <w:pPr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When we started our commissioning journey, exploring how we would strengthen our partnerships, we committed to implement a try, test, learn approach to commissioning. </w:t>
      </w:r>
    </w:p>
    <w:p w14:paraId="3C80BBB3" w14:textId="52F1AF79" w:rsidR="00152AC8" w:rsidRDefault="00152AC8" w:rsidP="00B472A9">
      <w:pPr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This enables us to continually improve the practice, the experience, and the outcomes we deliver through commissioning. </w:t>
      </w:r>
    </w:p>
    <w:p w14:paraId="7BA4E1F3" w14:textId="5B94C3A5" w:rsidR="00152AC8" w:rsidRDefault="00152AC8" w:rsidP="00B472A9">
      <w:pPr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Commissioning doesn’t end, it repeats.</w:t>
      </w:r>
      <w:r w:rsidR="006D07F4">
        <w:rPr>
          <w:rFonts w:ascii="Montserrat Light" w:hAnsi="Montserrat Light"/>
          <w:sz w:val="20"/>
          <w:szCs w:val="20"/>
        </w:rPr>
        <w:t xml:space="preserve"> </w:t>
      </w:r>
    </w:p>
    <w:p w14:paraId="44A974D1" w14:textId="6E7D0ADE" w:rsidR="006D07F4" w:rsidRDefault="00152AC8" w:rsidP="00B472A9">
      <w:pPr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The principles of commissioning are</w:t>
      </w:r>
      <w:r w:rsidR="006D07F4">
        <w:rPr>
          <w:rFonts w:ascii="Montserrat Light" w:hAnsi="Montserrat Light"/>
          <w:sz w:val="20"/>
          <w:szCs w:val="20"/>
        </w:rPr>
        <w:t xml:space="preserve"> also</w:t>
      </w:r>
      <w:r>
        <w:rPr>
          <w:rFonts w:ascii="Montserrat Light" w:hAnsi="Montserrat Light"/>
          <w:sz w:val="20"/>
          <w:szCs w:val="20"/>
        </w:rPr>
        <w:t xml:space="preserve"> a constant throughout the cycle and our partnership agreements. </w:t>
      </w:r>
    </w:p>
    <w:p w14:paraId="1A13CF2F" w14:textId="05001046" w:rsidR="006D07F4" w:rsidRDefault="006D07F4" w:rsidP="00B472A9">
      <w:pPr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The opportunity to continuously improve exists.</w:t>
      </w:r>
    </w:p>
    <w:p w14:paraId="7FF5834A" w14:textId="5F528E90" w:rsidR="00152AC8" w:rsidRDefault="00152AC8" w:rsidP="00B472A9">
      <w:pPr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By taking the time to reflect here, you can identify ways to continuously improve the</w:t>
      </w:r>
      <w:r w:rsidR="006D07F4">
        <w:rPr>
          <w:rFonts w:ascii="Montserrat Light" w:hAnsi="Montserrat Light"/>
          <w:sz w:val="20"/>
          <w:szCs w:val="20"/>
        </w:rPr>
        <w:t xml:space="preserve"> </w:t>
      </w:r>
      <w:r>
        <w:rPr>
          <w:rFonts w:ascii="Montserrat Light" w:hAnsi="Montserrat Light"/>
          <w:sz w:val="20"/>
          <w:szCs w:val="20"/>
        </w:rPr>
        <w:t xml:space="preserve">practice of commissioning and the experience of commissioning. </w:t>
      </w:r>
    </w:p>
    <w:p w14:paraId="48F7D30F" w14:textId="4F4A5C02" w:rsidR="006D07F4" w:rsidRDefault="006D07F4" w:rsidP="00B472A9">
      <w:pPr>
        <w:rPr>
          <w:rFonts w:ascii="Montserrat Light" w:hAnsi="Montserrat Light"/>
          <w:sz w:val="20"/>
          <w:szCs w:val="20"/>
        </w:rPr>
      </w:pPr>
    </w:p>
    <w:p w14:paraId="72B889CC" w14:textId="2C8B457B" w:rsidR="006D07F4" w:rsidRDefault="006D07F4" w:rsidP="00B472A9">
      <w:pPr>
        <w:rPr>
          <w:rFonts w:ascii="Montserrat Light" w:hAnsi="Montserrat Light"/>
          <w:sz w:val="20"/>
          <w:szCs w:val="20"/>
        </w:rPr>
      </w:pPr>
    </w:p>
    <w:p w14:paraId="75F54896" w14:textId="5DEE9894" w:rsidR="006D07F4" w:rsidRDefault="006D07F4" w:rsidP="00B472A9">
      <w:pPr>
        <w:rPr>
          <w:rFonts w:ascii="Montserrat Light" w:hAnsi="Montserrat Light"/>
          <w:sz w:val="20"/>
          <w:szCs w:val="20"/>
        </w:rPr>
      </w:pPr>
    </w:p>
    <w:p w14:paraId="256049CC" w14:textId="77777777" w:rsidR="006D07F4" w:rsidRDefault="006D07F4" w:rsidP="00B472A9">
      <w:pPr>
        <w:rPr>
          <w:rFonts w:ascii="Montserrat Light" w:hAnsi="Montserrat Light"/>
          <w:sz w:val="20"/>
          <w:szCs w:val="20"/>
        </w:rPr>
      </w:pPr>
    </w:p>
    <w:p w14:paraId="62DC0F2C" w14:textId="227B7C31" w:rsidR="006D07F4" w:rsidRPr="00530586" w:rsidRDefault="006D07F4" w:rsidP="006D07F4">
      <w:pPr>
        <w:pStyle w:val="Heading1"/>
        <w:spacing w:before="0"/>
        <w:ind w:firstLine="142"/>
        <w:rPr>
          <w:rFonts w:ascii="Montserrat Medium" w:hAnsi="Montserrat Medium"/>
          <w:color w:val="7030A0"/>
          <w:sz w:val="24"/>
          <w:szCs w:val="24"/>
        </w:rPr>
      </w:pPr>
      <w:r>
        <w:rPr>
          <w:rFonts w:ascii="Montserrat Medium" w:hAnsi="Montserrat Medium"/>
          <w:color w:val="7030A0"/>
          <w:sz w:val="24"/>
          <w:szCs w:val="24"/>
        </w:rPr>
        <w:t xml:space="preserve">Commissioning practice </w:t>
      </w:r>
    </w:p>
    <w:tbl>
      <w:tblPr>
        <w:tblStyle w:val="PlainTable4"/>
        <w:tblW w:w="6456" w:type="dxa"/>
        <w:jc w:val="center"/>
        <w:tblLook w:val="04A0" w:firstRow="1" w:lastRow="0" w:firstColumn="1" w:lastColumn="0" w:noHBand="0" w:noVBand="1"/>
      </w:tblPr>
      <w:tblGrid>
        <w:gridCol w:w="3955"/>
        <w:gridCol w:w="773"/>
        <w:gridCol w:w="1098"/>
        <w:gridCol w:w="630"/>
      </w:tblGrid>
      <w:tr w:rsidR="006D07F4" w14:paraId="6C93CB9E" w14:textId="77777777" w:rsidTr="006E0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2F3EEF51" w14:textId="77777777" w:rsidR="006D07F4" w:rsidRDefault="006D07F4" w:rsidP="006E0C44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3" w:type="dxa"/>
          </w:tcPr>
          <w:p w14:paraId="1C6FB239" w14:textId="77777777" w:rsidR="006D07F4" w:rsidRPr="00530586" w:rsidRDefault="006D07F4" w:rsidP="006E0C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0414E63D" w14:textId="77777777" w:rsidR="006D07F4" w:rsidRPr="00530586" w:rsidRDefault="006D07F4" w:rsidP="006E0C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630" w:type="dxa"/>
          </w:tcPr>
          <w:p w14:paraId="30D1681C" w14:textId="77777777" w:rsidR="006D07F4" w:rsidRPr="00530586" w:rsidRDefault="006D07F4" w:rsidP="006E0C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6D07F4" w14:paraId="1715348F" w14:textId="77777777" w:rsidTr="006E0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7CF7573E" w14:textId="43B89C2C" w:rsidR="006D07F4" w:rsidRPr="00530586" w:rsidRDefault="006D07F4" w:rsidP="006E0C4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Did we have the right skills to undertake commissioning?</w:t>
            </w: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DAE6A0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CE60C3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631478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6D07F4" w14:paraId="1A3F7845" w14:textId="77777777" w:rsidTr="006E0C4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238E1A42" w14:textId="0C72FDFF" w:rsidR="006D07F4" w:rsidRPr="00530586" w:rsidRDefault="006D07F4" w:rsidP="006E0C4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Did we have the right resources to undertake commissioning?</w:t>
            </w: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21452" w14:textId="77777777" w:rsidR="006D07F4" w:rsidRDefault="006D07F4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224610" w14:textId="77777777" w:rsidR="006D07F4" w:rsidRDefault="006D07F4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E6971A" w14:textId="77777777" w:rsidR="006D07F4" w:rsidRDefault="006D07F4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6D07F4" w14:paraId="60CEBF10" w14:textId="77777777" w:rsidTr="006E0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0FF5AEE9" w14:textId="784665AF" w:rsidR="006D07F4" w:rsidRPr="00530586" w:rsidRDefault="006D07F4" w:rsidP="006E0C4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Did we have enough time to undertake commissioning?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43CAD4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C90AF8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B6B1C6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6D07F4" w14:paraId="2201D8C6" w14:textId="77777777" w:rsidTr="006E0C44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7684A33F" w14:textId="6CD340A5" w:rsidR="006D07F4" w:rsidRPr="00530586" w:rsidRDefault="006D07F4" w:rsidP="006E0C4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Did we plan effectively at the start of the commissioning cycle?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77B14E" w14:textId="77777777" w:rsidR="006D07F4" w:rsidRDefault="006D07F4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D9DC45" w14:textId="77777777" w:rsidR="006D07F4" w:rsidRDefault="006D07F4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E4223A" w14:textId="77777777" w:rsidR="006D07F4" w:rsidRDefault="006D07F4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6D07F4" w14:paraId="3201123C" w14:textId="77777777" w:rsidTr="006E0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right w:val="single" w:sz="4" w:space="0" w:color="BFBFBF" w:themeColor="background1" w:themeShade="BF"/>
            </w:tcBorders>
          </w:tcPr>
          <w:p w14:paraId="6FE4D7AA" w14:textId="6F83C54E" w:rsidR="006D07F4" w:rsidRDefault="006D07F4" w:rsidP="006E0C4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Did we seek support or assistance from the Directorate strategic commissioning team?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327B1C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A9BFCE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302B7C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779DFF5E" w14:textId="77777777" w:rsidR="006D07F4" w:rsidRDefault="006D07F4" w:rsidP="006D07F4">
      <w:pPr>
        <w:pStyle w:val="Heading1"/>
        <w:spacing w:before="0"/>
        <w:ind w:firstLine="142"/>
        <w:rPr>
          <w:rFonts w:ascii="Montserrat Medium" w:hAnsi="Montserrat Medium"/>
          <w:color w:val="7030A0"/>
          <w:sz w:val="24"/>
          <w:szCs w:val="24"/>
        </w:rPr>
      </w:pPr>
    </w:p>
    <w:p w14:paraId="0F6279B6" w14:textId="2BF96D09" w:rsidR="006D07F4" w:rsidRPr="006D07F4" w:rsidRDefault="006D07F4" w:rsidP="006D07F4">
      <w:pPr>
        <w:pStyle w:val="Heading1"/>
        <w:spacing w:before="0"/>
        <w:ind w:firstLine="142"/>
        <w:rPr>
          <w:rFonts w:ascii="Montserrat Medium" w:hAnsi="Montserrat Medium"/>
          <w:color w:val="000000" w:themeColor="text1"/>
          <w:sz w:val="24"/>
          <w:szCs w:val="24"/>
        </w:rPr>
      </w:pPr>
      <w:r w:rsidRPr="006D07F4">
        <w:rPr>
          <w:rFonts w:ascii="Montserrat Medium" w:hAnsi="Montserrat Medium"/>
          <w:color w:val="000000" w:themeColor="text1"/>
          <w:sz w:val="24"/>
          <w:szCs w:val="24"/>
        </w:rPr>
        <w:t xml:space="preserve">What worked well? </w:t>
      </w:r>
    </w:p>
    <w:tbl>
      <w:tblPr>
        <w:tblStyle w:val="TableGridLight"/>
        <w:tblW w:w="6523" w:type="dxa"/>
        <w:tblLook w:val="04A0" w:firstRow="1" w:lastRow="0" w:firstColumn="1" w:lastColumn="0" w:noHBand="0" w:noVBand="1"/>
      </w:tblPr>
      <w:tblGrid>
        <w:gridCol w:w="6523"/>
      </w:tblGrid>
      <w:tr w:rsidR="006D07F4" w14:paraId="478E0055" w14:textId="77777777" w:rsidTr="006D07F4">
        <w:trPr>
          <w:trHeight w:val="4810"/>
        </w:trPr>
        <w:tc>
          <w:tcPr>
            <w:tcW w:w="6523" w:type="dxa"/>
          </w:tcPr>
          <w:p w14:paraId="2DE1B949" w14:textId="77777777" w:rsidR="006D07F4" w:rsidRDefault="006D07F4" w:rsidP="00B472A9">
            <w:pPr>
              <w:rPr>
                <w:rFonts w:ascii="Montserrat Light" w:hAnsi="Montserrat Light"/>
                <w:sz w:val="20"/>
                <w:szCs w:val="20"/>
              </w:rPr>
            </w:pPr>
          </w:p>
        </w:tc>
      </w:tr>
    </w:tbl>
    <w:p w14:paraId="7CDF3145" w14:textId="6FF938F4" w:rsidR="006D07F4" w:rsidRDefault="006D07F4" w:rsidP="00B472A9">
      <w:pPr>
        <w:rPr>
          <w:rFonts w:ascii="Montserrat Light" w:hAnsi="Montserrat Light"/>
          <w:sz w:val="20"/>
          <w:szCs w:val="20"/>
        </w:rPr>
      </w:pPr>
    </w:p>
    <w:p w14:paraId="09512FAF" w14:textId="03BBDD1D" w:rsidR="006D07F4" w:rsidRPr="006D07F4" w:rsidRDefault="006D07F4" w:rsidP="006D07F4">
      <w:pPr>
        <w:pStyle w:val="Heading1"/>
        <w:spacing w:before="0"/>
        <w:ind w:firstLine="142"/>
        <w:rPr>
          <w:rFonts w:ascii="Montserrat Medium" w:hAnsi="Montserrat Medium"/>
          <w:color w:val="000000" w:themeColor="text1"/>
          <w:sz w:val="24"/>
          <w:szCs w:val="24"/>
        </w:rPr>
      </w:pPr>
      <w:r w:rsidRPr="006D07F4">
        <w:rPr>
          <w:rFonts w:ascii="Montserrat Medium" w:hAnsi="Montserrat Medium"/>
          <w:color w:val="000000" w:themeColor="text1"/>
          <w:sz w:val="24"/>
          <w:szCs w:val="24"/>
        </w:rPr>
        <w:t xml:space="preserve">What did not go well? </w:t>
      </w:r>
    </w:p>
    <w:tbl>
      <w:tblPr>
        <w:tblStyle w:val="TableGridLight"/>
        <w:tblW w:w="6523" w:type="dxa"/>
        <w:tblLook w:val="04A0" w:firstRow="1" w:lastRow="0" w:firstColumn="1" w:lastColumn="0" w:noHBand="0" w:noVBand="1"/>
      </w:tblPr>
      <w:tblGrid>
        <w:gridCol w:w="6523"/>
      </w:tblGrid>
      <w:tr w:rsidR="006D07F4" w14:paraId="11479F18" w14:textId="77777777" w:rsidTr="006D07F4">
        <w:trPr>
          <w:trHeight w:val="3926"/>
        </w:trPr>
        <w:tc>
          <w:tcPr>
            <w:tcW w:w="6523" w:type="dxa"/>
          </w:tcPr>
          <w:p w14:paraId="0A9F0320" w14:textId="77777777" w:rsidR="006D07F4" w:rsidRDefault="006D07F4" w:rsidP="006E0C44">
            <w:pPr>
              <w:rPr>
                <w:rFonts w:ascii="Montserrat Light" w:hAnsi="Montserrat Light"/>
                <w:sz w:val="20"/>
                <w:szCs w:val="20"/>
              </w:rPr>
            </w:pPr>
          </w:p>
        </w:tc>
      </w:tr>
    </w:tbl>
    <w:p w14:paraId="470AEDCA" w14:textId="77777777" w:rsidR="006D07F4" w:rsidRDefault="006D07F4" w:rsidP="00B472A9">
      <w:pPr>
        <w:rPr>
          <w:rFonts w:ascii="Montserrat Light" w:hAnsi="Montserrat Light"/>
          <w:sz w:val="20"/>
          <w:szCs w:val="20"/>
        </w:rPr>
      </w:pPr>
    </w:p>
    <w:p w14:paraId="4E692DB4" w14:textId="5E0A1F58" w:rsidR="006D07F4" w:rsidRDefault="006D07F4" w:rsidP="006D07F4">
      <w:pPr>
        <w:pStyle w:val="Heading1"/>
        <w:spacing w:before="0"/>
        <w:ind w:firstLine="142"/>
        <w:rPr>
          <w:rFonts w:ascii="Montserrat Medium" w:hAnsi="Montserrat Medium"/>
          <w:color w:val="7030A0"/>
          <w:sz w:val="24"/>
          <w:szCs w:val="24"/>
        </w:rPr>
      </w:pPr>
    </w:p>
    <w:p w14:paraId="24038CBF" w14:textId="77777777" w:rsidR="006D07F4" w:rsidRDefault="006D07F4" w:rsidP="006D07F4">
      <w:pPr>
        <w:sectPr w:rsidR="006D07F4" w:rsidSect="004129C1">
          <w:pgSz w:w="11906" w:h="16838"/>
          <w:pgMar w:top="426" w:right="424" w:bottom="142" w:left="720" w:header="708" w:footer="708" w:gutter="0"/>
          <w:cols w:num="2" w:space="1700" w:equalWidth="0">
            <w:col w:w="3016" w:space="708"/>
            <w:col w:w="6740"/>
          </w:cols>
          <w:docGrid w:linePitch="360"/>
        </w:sectPr>
      </w:pPr>
    </w:p>
    <w:p w14:paraId="456154FA" w14:textId="4205C4C6" w:rsidR="006D07F4" w:rsidRDefault="006D07F4" w:rsidP="006D07F4"/>
    <w:p w14:paraId="591E42F4" w14:textId="6A690308" w:rsidR="006D07F4" w:rsidRPr="006D07F4" w:rsidRDefault="006D07F4" w:rsidP="006D07F4">
      <w:pPr>
        <w:pStyle w:val="Heading1"/>
        <w:spacing w:before="0"/>
        <w:ind w:firstLine="142"/>
        <w:rPr>
          <w:rFonts w:ascii="Montserrat Medium" w:hAnsi="Montserrat Medium"/>
          <w:color w:val="000000" w:themeColor="text1"/>
          <w:sz w:val="24"/>
          <w:szCs w:val="24"/>
        </w:rPr>
      </w:pPr>
      <w:r w:rsidRPr="006D07F4">
        <w:rPr>
          <w:rFonts w:ascii="Montserrat Medium" w:hAnsi="Montserrat Medium"/>
          <w:color w:val="000000" w:themeColor="text1"/>
          <w:sz w:val="24"/>
          <w:szCs w:val="24"/>
        </w:rPr>
        <w:t>What would you do differently next cycle?</w:t>
      </w:r>
    </w:p>
    <w:p w14:paraId="42C12B38" w14:textId="77777777" w:rsidR="006D07F4" w:rsidRDefault="006D07F4" w:rsidP="006E0C44">
      <w:pPr>
        <w:rPr>
          <w:rFonts w:ascii="Montserrat Light" w:hAnsi="Montserrat Light"/>
          <w:sz w:val="20"/>
          <w:szCs w:val="20"/>
        </w:rPr>
        <w:sectPr w:rsidR="006D07F4" w:rsidSect="006D07F4">
          <w:pgSz w:w="11906" w:h="16838"/>
          <w:pgMar w:top="426" w:right="424" w:bottom="142" w:left="720" w:header="708" w:footer="708" w:gutter="0"/>
          <w:cols w:space="708"/>
          <w:docGrid w:linePitch="360"/>
        </w:sect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D07F4" w14:paraId="5F5BD394" w14:textId="77777777" w:rsidTr="006D07F4">
        <w:trPr>
          <w:trHeight w:val="3148"/>
        </w:trPr>
        <w:tc>
          <w:tcPr>
            <w:tcW w:w="10060" w:type="dxa"/>
          </w:tcPr>
          <w:p w14:paraId="78FB64ED" w14:textId="77777777" w:rsidR="006D07F4" w:rsidRDefault="006D07F4" w:rsidP="006E0C44">
            <w:pPr>
              <w:rPr>
                <w:rFonts w:ascii="Montserrat Light" w:hAnsi="Montserrat Light"/>
                <w:sz w:val="20"/>
                <w:szCs w:val="20"/>
              </w:rPr>
            </w:pPr>
          </w:p>
        </w:tc>
      </w:tr>
    </w:tbl>
    <w:p w14:paraId="2F02D3A0" w14:textId="1A7D7C51" w:rsidR="006D07F4" w:rsidRDefault="006D07F4" w:rsidP="00B472A9">
      <w:pPr>
        <w:rPr>
          <w:rFonts w:ascii="Montserrat Light" w:hAnsi="Montserrat Light"/>
          <w:sz w:val="20"/>
          <w:szCs w:val="20"/>
        </w:rPr>
      </w:pPr>
    </w:p>
    <w:p w14:paraId="185EE5D8" w14:textId="310073FB" w:rsidR="006D07F4" w:rsidRPr="00530586" w:rsidRDefault="006D07F4" w:rsidP="006D07F4">
      <w:pPr>
        <w:pStyle w:val="Heading1"/>
        <w:spacing w:before="0"/>
        <w:ind w:firstLine="142"/>
        <w:rPr>
          <w:rFonts w:ascii="Montserrat Medium" w:hAnsi="Montserrat Medium"/>
          <w:color w:val="7030A0"/>
          <w:sz w:val="24"/>
          <w:szCs w:val="24"/>
        </w:rPr>
      </w:pPr>
      <w:r>
        <w:rPr>
          <w:rFonts w:ascii="Montserrat Medium" w:hAnsi="Montserrat Medium"/>
          <w:color w:val="7030A0"/>
          <w:sz w:val="24"/>
          <w:szCs w:val="24"/>
        </w:rPr>
        <w:t xml:space="preserve">Commissioning </w:t>
      </w:r>
      <w:r>
        <w:rPr>
          <w:rFonts w:ascii="Montserrat Medium" w:hAnsi="Montserrat Medium"/>
          <w:color w:val="7030A0"/>
          <w:sz w:val="24"/>
          <w:szCs w:val="24"/>
        </w:rPr>
        <w:t xml:space="preserve">experience </w:t>
      </w:r>
    </w:p>
    <w:tbl>
      <w:tblPr>
        <w:tblStyle w:val="PlainTable4"/>
        <w:tblW w:w="10491" w:type="dxa"/>
        <w:jc w:val="center"/>
        <w:tblLook w:val="04A0" w:firstRow="1" w:lastRow="0" w:firstColumn="1" w:lastColumn="0" w:noHBand="0" w:noVBand="1"/>
      </w:tblPr>
      <w:tblGrid>
        <w:gridCol w:w="7783"/>
        <w:gridCol w:w="773"/>
        <w:gridCol w:w="1098"/>
        <w:gridCol w:w="837"/>
      </w:tblGrid>
      <w:tr w:rsidR="006D07F4" w14:paraId="10C7A55D" w14:textId="77777777" w:rsidTr="00CE7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3" w:type="dxa"/>
          </w:tcPr>
          <w:p w14:paraId="0BA43E14" w14:textId="77777777" w:rsidR="006D07F4" w:rsidRDefault="006D07F4" w:rsidP="006E0C44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3" w:type="dxa"/>
          </w:tcPr>
          <w:p w14:paraId="36EE37FE" w14:textId="77777777" w:rsidR="006D07F4" w:rsidRPr="00530586" w:rsidRDefault="006D07F4" w:rsidP="006E0C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6BE6E3FC" w14:textId="77777777" w:rsidR="006D07F4" w:rsidRPr="00530586" w:rsidRDefault="006D07F4" w:rsidP="006E0C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837" w:type="dxa"/>
          </w:tcPr>
          <w:p w14:paraId="13C53D26" w14:textId="77777777" w:rsidR="006D07F4" w:rsidRPr="00530586" w:rsidRDefault="006D07F4" w:rsidP="006E0C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6D07F4" w14:paraId="0A900CD9" w14:textId="77777777" w:rsidTr="00CE7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3" w:type="dxa"/>
            <w:tcBorders>
              <w:right w:val="single" w:sz="4" w:space="0" w:color="BFBFBF" w:themeColor="background1" w:themeShade="BF"/>
            </w:tcBorders>
          </w:tcPr>
          <w:p w14:paraId="561F89FF" w14:textId="53DA80F9" w:rsidR="006D07F4" w:rsidRPr="00530586" w:rsidRDefault="00CE7AEA" w:rsidP="006E0C4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Did we use the post-activity survey results to understand the participant experience?</w:t>
            </w:r>
            <w:r w:rsidR="006D07F4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FDD1BB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63C176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018D21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6D07F4" w14:paraId="47121442" w14:textId="77777777" w:rsidTr="00CE7AEA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3" w:type="dxa"/>
            <w:tcBorders>
              <w:right w:val="single" w:sz="4" w:space="0" w:color="BFBFBF" w:themeColor="background1" w:themeShade="BF"/>
            </w:tcBorders>
          </w:tcPr>
          <w:p w14:paraId="53499CD9" w14:textId="14052104" w:rsidR="006D07F4" w:rsidRPr="00530586" w:rsidRDefault="00CE7AEA" w:rsidP="006E0C4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Did we have regular one on one discussions with key participants to understand what was working and what could be improved?</w:t>
            </w:r>
            <w:r w:rsidR="006D07F4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131DA1" w14:textId="77777777" w:rsidR="006D07F4" w:rsidRDefault="006D07F4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64796F" w14:textId="77777777" w:rsidR="006D07F4" w:rsidRDefault="006D07F4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939042" w14:textId="77777777" w:rsidR="006D07F4" w:rsidRDefault="006D07F4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6D07F4" w14:paraId="32A0B573" w14:textId="77777777" w:rsidTr="00CE7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3" w:type="dxa"/>
            <w:tcBorders>
              <w:right w:val="single" w:sz="4" w:space="0" w:color="BFBFBF" w:themeColor="background1" w:themeShade="BF"/>
            </w:tcBorders>
          </w:tcPr>
          <w:p w14:paraId="1BA0117A" w14:textId="3C24BC48" w:rsidR="006D07F4" w:rsidRPr="00530586" w:rsidRDefault="00CE7AEA" w:rsidP="006E0C4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Did we improve the process as we went by adjusting the delivery of commissioning activities or information based on participant feedback?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CB4591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38BA1F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49070F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6D07F4" w14:paraId="6C803F16" w14:textId="77777777" w:rsidTr="00CE7AEA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3" w:type="dxa"/>
            <w:tcBorders>
              <w:right w:val="single" w:sz="4" w:space="0" w:color="BFBFBF" w:themeColor="background1" w:themeShade="BF"/>
            </w:tcBorders>
          </w:tcPr>
          <w:p w14:paraId="5A5DBEF0" w14:textId="4561449D" w:rsidR="006D07F4" w:rsidRPr="00530586" w:rsidRDefault="00CE7AEA" w:rsidP="006E0C4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Did we reflect regularly within our team on what was working or what could be improved?</w:t>
            </w:r>
            <w:r w:rsidR="006D07F4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72E5F0" w14:textId="77777777" w:rsidR="006D07F4" w:rsidRDefault="006D07F4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EBFF7B" w14:textId="77777777" w:rsidR="006D07F4" w:rsidRDefault="006D07F4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B4DC9D" w14:textId="77777777" w:rsidR="006D07F4" w:rsidRDefault="006D07F4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6D07F4" w14:paraId="25F02A01" w14:textId="77777777" w:rsidTr="00CE7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3" w:type="dxa"/>
            <w:tcBorders>
              <w:right w:val="single" w:sz="4" w:space="0" w:color="BFBFBF" w:themeColor="background1" w:themeShade="BF"/>
            </w:tcBorders>
          </w:tcPr>
          <w:p w14:paraId="0F0116D9" w14:textId="5BB0FC5A" w:rsidR="006D07F4" w:rsidRPr="00530586" w:rsidRDefault="00CE7AEA" w:rsidP="006E0C4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Have we set up partnership agreements that enable us all to continuously improve? </w:t>
            </w:r>
            <w:r w:rsidR="006D07F4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D62D04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89D669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F33975" w14:textId="77777777" w:rsidR="006D07F4" w:rsidRDefault="006D07F4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6D07F4" w14:paraId="6F0D452D" w14:textId="77777777" w:rsidTr="00CE7AEA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3" w:type="dxa"/>
          </w:tcPr>
          <w:p w14:paraId="09881C71" w14:textId="77777777" w:rsidR="006D07F4" w:rsidRDefault="006D07F4" w:rsidP="006E0C44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3" w:type="dxa"/>
          </w:tcPr>
          <w:p w14:paraId="45B7D7BE" w14:textId="77777777" w:rsidR="006D07F4" w:rsidRDefault="006D07F4" w:rsidP="006E0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8DC72CF" w14:textId="77777777" w:rsidR="006D07F4" w:rsidRDefault="006D07F4" w:rsidP="006E0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37" w:type="dxa"/>
          </w:tcPr>
          <w:p w14:paraId="7C2D406B" w14:textId="77777777" w:rsidR="006D07F4" w:rsidRDefault="006D07F4" w:rsidP="006E0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C3A079E" w14:textId="77777777" w:rsidR="00CE7AEA" w:rsidRPr="006D07F4" w:rsidRDefault="00CE7AEA" w:rsidP="00CE7AEA">
      <w:pPr>
        <w:pStyle w:val="Heading1"/>
        <w:spacing w:before="0"/>
        <w:ind w:firstLine="142"/>
        <w:rPr>
          <w:rFonts w:ascii="Montserrat Medium" w:hAnsi="Montserrat Medium"/>
          <w:color w:val="000000" w:themeColor="text1"/>
          <w:sz w:val="24"/>
          <w:szCs w:val="24"/>
        </w:rPr>
      </w:pPr>
      <w:r w:rsidRPr="006D07F4">
        <w:rPr>
          <w:rFonts w:ascii="Montserrat Medium" w:hAnsi="Montserrat Medium"/>
          <w:color w:val="000000" w:themeColor="text1"/>
          <w:sz w:val="24"/>
          <w:szCs w:val="24"/>
        </w:rPr>
        <w:t xml:space="preserve">What worked well? </w:t>
      </w:r>
    </w:p>
    <w:tbl>
      <w:tblPr>
        <w:tblStyle w:val="TableGridLight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CE7AEA" w14:paraId="1837585A" w14:textId="77777777" w:rsidTr="00CE7AEA">
        <w:trPr>
          <w:trHeight w:val="3168"/>
        </w:trPr>
        <w:tc>
          <w:tcPr>
            <w:tcW w:w="10343" w:type="dxa"/>
          </w:tcPr>
          <w:p w14:paraId="7942F17E" w14:textId="77777777" w:rsidR="00CE7AEA" w:rsidRDefault="00CE7AEA" w:rsidP="006E0C44">
            <w:pPr>
              <w:rPr>
                <w:rFonts w:ascii="Montserrat Light" w:hAnsi="Montserrat Light"/>
                <w:sz w:val="20"/>
                <w:szCs w:val="20"/>
              </w:rPr>
            </w:pPr>
          </w:p>
        </w:tc>
      </w:tr>
    </w:tbl>
    <w:p w14:paraId="4A1513BF" w14:textId="7D3D73E3" w:rsidR="00CE7AEA" w:rsidRPr="006D07F4" w:rsidRDefault="00CE7AEA" w:rsidP="00CE7AEA">
      <w:pPr>
        <w:pStyle w:val="Heading1"/>
        <w:spacing w:before="0"/>
        <w:ind w:firstLine="142"/>
        <w:rPr>
          <w:rFonts w:ascii="Montserrat Medium" w:hAnsi="Montserrat Medium"/>
          <w:color w:val="000000" w:themeColor="text1"/>
          <w:sz w:val="24"/>
          <w:szCs w:val="24"/>
        </w:rPr>
      </w:pPr>
      <w:r w:rsidRPr="006D07F4">
        <w:rPr>
          <w:rFonts w:ascii="Montserrat Medium" w:hAnsi="Montserrat Medium"/>
          <w:color w:val="000000" w:themeColor="text1"/>
          <w:sz w:val="24"/>
          <w:szCs w:val="24"/>
        </w:rPr>
        <w:t xml:space="preserve">What </w:t>
      </w:r>
      <w:r>
        <w:rPr>
          <w:rFonts w:ascii="Montserrat Medium" w:hAnsi="Montserrat Medium"/>
          <w:color w:val="000000" w:themeColor="text1"/>
          <w:sz w:val="24"/>
          <w:szCs w:val="24"/>
        </w:rPr>
        <w:t>did not go well?</w:t>
      </w:r>
      <w:r w:rsidRPr="006D07F4">
        <w:rPr>
          <w:rFonts w:ascii="Montserrat Medium" w:hAnsi="Montserrat Medium"/>
          <w:color w:val="000000" w:themeColor="text1"/>
          <w:sz w:val="24"/>
          <w:szCs w:val="24"/>
        </w:rPr>
        <w:t xml:space="preserve"> </w:t>
      </w:r>
    </w:p>
    <w:tbl>
      <w:tblPr>
        <w:tblStyle w:val="TableGridLight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CE7AEA" w14:paraId="078CE44C" w14:textId="77777777" w:rsidTr="006E0C44">
        <w:trPr>
          <w:trHeight w:val="3168"/>
        </w:trPr>
        <w:tc>
          <w:tcPr>
            <w:tcW w:w="10343" w:type="dxa"/>
          </w:tcPr>
          <w:p w14:paraId="25A35F54" w14:textId="77777777" w:rsidR="00CE7AEA" w:rsidRDefault="00CE7AEA" w:rsidP="006E0C44">
            <w:pPr>
              <w:rPr>
                <w:rFonts w:ascii="Montserrat Light" w:hAnsi="Montserrat Light"/>
                <w:sz w:val="20"/>
                <w:szCs w:val="20"/>
              </w:rPr>
            </w:pPr>
          </w:p>
        </w:tc>
      </w:tr>
    </w:tbl>
    <w:p w14:paraId="799AF8D2" w14:textId="41A6F947" w:rsidR="00A00653" w:rsidRPr="00A00653" w:rsidRDefault="00A00653" w:rsidP="00B472A9">
      <w:pPr>
        <w:rPr>
          <w:rFonts w:ascii="Montserrat Light" w:hAnsi="Montserrat Light"/>
          <w:sz w:val="20"/>
          <w:szCs w:val="20"/>
        </w:rPr>
        <w:sectPr w:rsidR="00A00653" w:rsidRPr="00A00653" w:rsidSect="006D07F4">
          <w:type w:val="continuous"/>
          <w:pgSz w:w="11906" w:h="16838"/>
          <w:pgMar w:top="426" w:right="424" w:bottom="142" w:left="720" w:header="708" w:footer="708" w:gutter="0"/>
          <w:cols w:space="708"/>
          <w:docGrid w:linePitch="360"/>
        </w:sectPr>
      </w:pPr>
    </w:p>
    <w:p w14:paraId="53E2B201" w14:textId="77777777" w:rsidR="00CE7AEA" w:rsidRDefault="00CE7AEA" w:rsidP="00CE7AEA">
      <w:pPr>
        <w:rPr>
          <w:rFonts w:ascii="Montserrat Light" w:hAnsi="Montserrat Light"/>
          <w:sz w:val="20"/>
          <w:szCs w:val="20"/>
        </w:rPr>
      </w:pPr>
    </w:p>
    <w:p w14:paraId="60DC7A91" w14:textId="2419F4AB" w:rsidR="00CE7AEA" w:rsidRPr="00CE7AEA" w:rsidRDefault="00D95436" w:rsidP="00CE7AEA">
      <w:pPr>
        <w:pStyle w:val="Heading1"/>
        <w:ind w:right="-355"/>
        <w:rPr>
          <w:rFonts w:ascii="Montserrat Medium" w:hAnsi="Montserrat Medium"/>
          <w:color w:val="7030A0"/>
          <w:sz w:val="24"/>
          <w:szCs w:val="24"/>
        </w:rPr>
      </w:pPr>
      <w:r>
        <w:rPr>
          <w:rFonts w:ascii="Montserrat Medium" w:hAnsi="Montserrat Medium"/>
          <w:color w:val="7030A0"/>
          <w:sz w:val="24"/>
          <w:szCs w:val="24"/>
        </w:rPr>
        <w:t>Commissioning p</w:t>
      </w:r>
      <w:r w:rsidR="00CE7AEA">
        <w:rPr>
          <w:rFonts w:ascii="Montserrat Medium" w:hAnsi="Montserrat Medium"/>
          <w:color w:val="7030A0"/>
          <w:sz w:val="24"/>
          <w:szCs w:val="24"/>
        </w:rPr>
        <w:t>articipant</w:t>
      </w:r>
      <w:r>
        <w:rPr>
          <w:rFonts w:ascii="Montserrat Medium" w:hAnsi="Montserrat Medium"/>
          <w:color w:val="7030A0"/>
          <w:sz w:val="24"/>
          <w:szCs w:val="24"/>
        </w:rPr>
        <w:t>s</w:t>
      </w:r>
      <w:r w:rsidR="00CE7AEA">
        <w:rPr>
          <w:rFonts w:ascii="Montserrat Medium" w:hAnsi="Montserrat Medium"/>
          <w:color w:val="7030A0"/>
          <w:sz w:val="24"/>
          <w:szCs w:val="24"/>
        </w:rPr>
        <w:t xml:space="preserve"> </w:t>
      </w:r>
    </w:p>
    <w:tbl>
      <w:tblPr>
        <w:tblStyle w:val="PlainTable4"/>
        <w:tblW w:w="10851" w:type="dxa"/>
        <w:jc w:val="center"/>
        <w:tblLook w:val="04A0" w:firstRow="1" w:lastRow="0" w:firstColumn="1" w:lastColumn="0" w:noHBand="0" w:noVBand="1"/>
      </w:tblPr>
      <w:tblGrid>
        <w:gridCol w:w="8350"/>
        <w:gridCol w:w="773"/>
        <w:gridCol w:w="1098"/>
        <w:gridCol w:w="630"/>
      </w:tblGrid>
      <w:tr w:rsidR="00CE7AEA" w14:paraId="22359A7B" w14:textId="77777777" w:rsidTr="006E0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</w:tcPr>
          <w:p w14:paraId="0557070A" w14:textId="77777777" w:rsidR="00CE7AEA" w:rsidRDefault="00CE7AEA" w:rsidP="006E0C44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3" w:type="dxa"/>
          </w:tcPr>
          <w:p w14:paraId="76B5AF7F" w14:textId="77777777" w:rsidR="00CE7AEA" w:rsidRPr="00530586" w:rsidRDefault="00CE7AEA" w:rsidP="006E0C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331A8310" w14:textId="77777777" w:rsidR="00CE7AEA" w:rsidRPr="00530586" w:rsidRDefault="00CE7AEA" w:rsidP="006E0C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630" w:type="dxa"/>
          </w:tcPr>
          <w:p w14:paraId="1B22D442" w14:textId="77777777" w:rsidR="00CE7AEA" w:rsidRPr="00530586" w:rsidRDefault="00CE7AEA" w:rsidP="006E0C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CE7AEA" w14:paraId="56CF897B" w14:textId="77777777" w:rsidTr="006E0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7D74247E" w14:textId="77777777" w:rsidR="00CE7AEA" w:rsidRPr="005C4F67" w:rsidRDefault="00CE7AEA" w:rsidP="006E0C4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We have used the commissioning with lived experience checklist and resource to ensure our commissioning cycle is informed by people with lived experience </w:t>
            </w: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  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A8DE5F" w14:textId="77777777" w:rsidR="00CE7AEA" w:rsidRPr="005C4F67" w:rsidRDefault="00CE7AEA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67D23B" w14:textId="77777777" w:rsidR="00CE7AEA" w:rsidRPr="005C4F67" w:rsidRDefault="00CE7AEA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F8F4AE" w14:textId="77777777" w:rsidR="00CE7AEA" w:rsidRPr="005C4F67" w:rsidRDefault="00CE7AEA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CE7AEA" w14:paraId="143213E1" w14:textId="77777777" w:rsidTr="006E0C4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7D88647C" w14:textId="4EA9DB6D" w:rsidR="00CE7AEA" w:rsidRPr="00CE7AEA" w:rsidRDefault="00CE7AEA" w:rsidP="006E0C4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We had a representative mix of participants in collaboration activities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83F2E9" w14:textId="77777777" w:rsidR="00CE7AEA" w:rsidRPr="005C4F67" w:rsidRDefault="00CE7AEA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0ADD3E" w14:textId="77777777" w:rsidR="00CE7AEA" w:rsidRPr="005C4F67" w:rsidRDefault="00CE7AEA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D64C19" w14:textId="77777777" w:rsidR="00CE7AEA" w:rsidRPr="005C4F67" w:rsidRDefault="00CE7AEA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CE7AEA" w14:paraId="24D39CDD" w14:textId="77777777" w:rsidTr="006E0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1AF301E7" w14:textId="585CB1B6" w:rsidR="00CE7AEA" w:rsidRPr="00CE7AEA" w:rsidRDefault="00CE7AEA" w:rsidP="006E0C4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All participants could see and understand our commissioning process </w:t>
            </w:r>
            <w:r w:rsidRPr="00CE7AEA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9CAEEA" w14:textId="77777777" w:rsidR="00CE7AEA" w:rsidRPr="005C4F67" w:rsidRDefault="00CE7AEA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EF4975" w14:textId="77777777" w:rsidR="00CE7AEA" w:rsidRPr="005C4F67" w:rsidRDefault="00CE7AEA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E1F07D" w14:textId="77777777" w:rsidR="00CE7AEA" w:rsidRPr="005C4F67" w:rsidRDefault="00CE7AEA" w:rsidP="006E0C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D95436" w14:paraId="3D82450A" w14:textId="77777777" w:rsidTr="006E0C4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34FA87B7" w14:textId="3518A63A" w:rsidR="00D95436" w:rsidRDefault="00D95436" w:rsidP="006E0C4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Did we provide regular listening reports for participants to reflect what was being heard, </w:t>
            </w:r>
            <w:proofErr w:type="gramStart"/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understood</w:t>
            </w:r>
            <w:proofErr w:type="gramEnd"/>
            <w:r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or learnt through the cycle?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35525F" w14:textId="77777777" w:rsidR="00D95436" w:rsidRPr="005C4F67" w:rsidRDefault="00D95436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A5C6A7" w14:textId="77777777" w:rsidR="00D95436" w:rsidRPr="005C4F67" w:rsidRDefault="00D95436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C2BABB" w14:textId="77777777" w:rsidR="00D95436" w:rsidRPr="005C4F67" w:rsidRDefault="00D95436" w:rsidP="006E0C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34E56EE8" w14:textId="77777777" w:rsidR="00CE7AEA" w:rsidRDefault="00CE7AEA" w:rsidP="00A35CDA">
      <w:pPr>
        <w:pStyle w:val="Heading1"/>
        <w:ind w:right="-355"/>
        <w:rPr>
          <w:rFonts w:ascii="Montserrat Medium" w:hAnsi="Montserrat Medium"/>
          <w:color w:val="7030A0"/>
          <w:sz w:val="24"/>
          <w:szCs w:val="24"/>
        </w:rPr>
      </w:pPr>
    </w:p>
    <w:p w14:paraId="742036E6" w14:textId="5DE4FDB2" w:rsidR="00CE7AEA" w:rsidRDefault="00CE7AEA" w:rsidP="00A35CDA">
      <w:pPr>
        <w:pStyle w:val="Heading1"/>
        <w:ind w:right="-355"/>
        <w:rPr>
          <w:rFonts w:ascii="Montserrat Medium" w:hAnsi="Montserrat Medium"/>
          <w:color w:val="7030A0"/>
          <w:sz w:val="24"/>
          <w:szCs w:val="24"/>
        </w:rPr>
      </w:pPr>
      <w:r>
        <w:rPr>
          <w:rFonts w:ascii="Montserrat Medium" w:hAnsi="Montserrat Medium"/>
          <w:color w:val="7030A0"/>
          <w:sz w:val="24"/>
          <w:szCs w:val="24"/>
        </w:rPr>
        <w:t xml:space="preserve">Commissioning principles </w:t>
      </w:r>
    </w:p>
    <w:p w14:paraId="1007667A" w14:textId="2AEB4BB0" w:rsidR="00A35CDA" w:rsidRPr="00CE7AEA" w:rsidRDefault="006E06DD" w:rsidP="00A35CDA">
      <w:pPr>
        <w:pStyle w:val="Heading1"/>
        <w:ind w:right="-355"/>
        <w:rPr>
          <w:rFonts w:ascii="Montserrat Medium" w:hAnsi="Montserrat Medium"/>
          <w:color w:val="000000" w:themeColor="text1"/>
          <w:sz w:val="22"/>
          <w:szCs w:val="22"/>
        </w:rPr>
      </w:pPr>
      <w:r w:rsidRPr="00CE7AEA">
        <w:rPr>
          <w:rFonts w:ascii="Montserrat Medium" w:hAnsi="Montserrat Medium"/>
          <w:color w:val="000000" w:themeColor="text1"/>
          <w:sz w:val="22"/>
          <w:szCs w:val="22"/>
        </w:rPr>
        <w:t xml:space="preserve">How well are we delivering commissioning against the shared principles? </w:t>
      </w:r>
    </w:p>
    <w:tbl>
      <w:tblPr>
        <w:tblStyle w:val="PlainTable4"/>
        <w:tblW w:w="10851" w:type="dxa"/>
        <w:jc w:val="center"/>
        <w:tblLook w:val="04A0" w:firstRow="1" w:lastRow="0" w:firstColumn="1" w:lastColumn="0" w:noHBand="0" w:noVBand="1"/>
      </w:tblPr>
      <w:tblGrid>
        <w:gridCol w:w="8350"/>
        <w:gridCol w:w="773"/>
        <w:gridCol w:w="1098"/>
        <w:gridCol w:w="630"/>
      </w:tblGrid>
      <w:tr w:rsidR="00A35CDA" w14:paraId="7BC70145" w14:textId="77777777" w:rsidTr="008D1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</w:tcPr>
          <w:p w14:paraId="06F3145D" w14:textId="77777777" w:rsidR="00A35CDA" w:rsidRDefault="00A35CDA" w:rsidP="008D1594">
            <w:pPr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73" w:type="dxa"/>
          </w:tcPr>
          <w:p w14:paraId="3660F68C" w14:textId="77777777" w:rsidR="00A35CDA" w:rsidRPr="00530586" w:rsidRDefault="00A35CDA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YES</w:t>
            </w:r>
          </w:p>
        </w:tc>
        <w:tc>
          <w:tcPr>
            <w:tcW w:w="1098" w:type="dxa"/>
          </w:tcPr>
          <w:p w14:paraId="40DF2CA1" w14:textId="77777777" w:rsidR="00A35CDA" w:rsidRPr="00530586" w:rsidRDefault="00A35CDA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PARTIALLY</w:t>
            </w:r>
          </w:p>
        </w:tc>
        <w:tc>
          <w:tcPr>
            <w:tcW w:w="630" w:type="dxa"/>
          </w:tcPr>
          <w:p w14:paraId="4CBFF92D" w14:textId="77777777" w:rsidR="00A35CDA" w:rsidRPr="00530586" w:rsidRDefault="00A35CDA" w:rsidP="008D15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</w:pPr>
            <w:r w:rsidRPr="00530586">
              <w:rPr>
                <w:rFonts w:ascii="Montserrat Light" w:hAnsi="Montserrat Light" w:cstheme="minorHAnsi"/>
                <w:color w:val="808080" w:themeColor="background1" w:themeShade="80"/>
                <w:sz w:val="16"/>
                <w:szCs w:val="16"/>
              </w:rPr>
              <w:t>NO</w:t>
            </w:r>
          </w:p>
        </w:tc>
      </w:tr>
      <w:tr w:rsidR="00A35CDA" w14:paraId="54BB2C85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7562BF53" w14:textId="77777777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Purpose driven </w:t>
            </w:r>
          </w:p>
          <w:p w14:paraId="1C88B0AD" w14:textId="6852D1EB" w:rsidR="00A35CDA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>We are guided by shared outcomes, with a focus on problem solving and solutions, ensuring this work provides value to all stakeholders.</w:t>
            </w:r>
            <w:r w:rsidR="00A35CDA"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  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EE9305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8B0D2B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85091B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A35CDA" w14:paraId="76C4E158" w14:textId="77777777" w:rsidTr="008D159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050858CC" w14:textId="77777777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Relationship focused </w:t>
            </w:r>
          </w:p>
          <w:p w14:paraId="2BA7D0BF" w14:textId="04D19D90" w:rsidR="00A35CDA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 xml:space="preserve">We have </w:t>
            </w:r>
            <w:r w:rsidRPr="005C4F67">
              <w:rPr>
                <w:rFonts w:ascii="Montserrat Light" w:hAnsi="Montserrat Light"/>
                <w:b w:val="0"/>
                <w:bCs w:val="0"/>
                <w:i/>
                <w:iCs/>
                <w:color w:val="44546A" w:themeColor="text2"/>
                <w:sz w:val="18"/>
                <w:szCs w:val="18"/>
              </w:rPr>
              <w:t>just</w:t>
            </w: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 xml:space="preserve"> relationships which are based on commitments to respect, trust, care, concern, and dignity.</w:t>
            </w:r>
            <w:r w:rsidR="00A35CDA"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    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FFEE7A" w14:textId="77777777" w:rsidR="00A35CDA" w:rsidRPr="005C4F67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6C95E9" w14:textId="77777777" w:rsidR="00A35CDA" w:rsidRPr="005C4F67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BFF271" w14:textId="77777777" w:rsidR="00A35CDA" w:rsidRPr="005C4F67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A35CDA" w14:paraId="0FAA9D8B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67DC6326" w14:textId="77777777" w:rsidR="00A35CDA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Recognise complexity </w:t>
            </w:r>
          </w:p>
          <w:p w14:paraId="7A05D664" w14:textId="658B73BD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>We develop understanding and solutions that respond to the dynamic and interconnected nature of complex problems and systems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FEAA0C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CE619A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834994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A35CDA" w14:paraId="7423056E" w14:textId="77777777" w:rsidTr="008D159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5030AF34" w14:textId="77777777" w:rsidR="00A35CDA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Inclusive collaboration </w:t>
            </w:r>
          </w:p>
          <w:p w14:paraId="1F6A8AC1" w14:textId="6EA1C79B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>We effectively engage diverse participants in genuinely inclusive processes.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59DCDD" w14:textId="77777777" w:rsidR="00A35CDA" w:rsidRPr="005C4F67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7AE073" w14:textId="77777777" w:rsidR="00A35CDA" w:rsidRPr="005C4F67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0197A2" w14:textId="77777777" w:rsidR="00A35CDA" w:rsidRPr="005C4F67" w:rsidRDefault="00A35CDA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A35CDA" w14:paraId="48175799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1B64E7A9" w14:textId="77777777" w:rsidR="00A35CDA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Communicative and transparent </w:t>
            </w:r>
          </w:p>
          <w:p w14:paraId="7E943628" w14:textId="3923019E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>We engage in real dialogue. Our communication is grounded in genuinely listening and responding to the voices of all stakeholders.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EE9DA3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22287E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783F0B" w14:textId="77777777" w:rsidR="00A35CDA" w:rsidRPr="005C4F67" w:rsidRDefault="00A35CDA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6E06DD" w14:paraId="0C138EB5" w14:textId="77777777" w:rsidTr="008D159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02B6D672" w14:textId="77777777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Deliberative </w:t>
            </w:r>
          </w:p>
          <w:p w14:paraId="7D51EC8B" w14:textId="3678FBA9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>We move away from traditional power imbalances toward shared decision-making processes informed by evidence, as well as other Territory strategies and plans.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EC8FCD" w14:textId="77777777" w:rsidR="006E06DD" w:rsidRPr="005C4F67" w:rsidRDefault="006E06DD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557653" w14:textId="77777777" w:rsidR="006E06DD" w:rsidRPr="005C4F67" w:rsidRDefault="006E06DD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A9399A" w14:textId="77777777" w:rsidR="006E06DD" w:rsidRPr="005C4F67" w:rsidRDefault="006E06DD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6E06DD" w14:paraId="08A5196A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7567A8DB" w14:textId="72D7FC19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Contextual and flexible </w:t>
            </w:r>
          </w:p>
          <w:p w14:paraId="59A53A29" w14:textId="4703A846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>There is no single way to go about commissioning. Each interaction will respond to complexity, cultural practices, safety, context, and the breadth of issues at hand.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B5147B" w14:textId="77777777" w:rsidR="006E06DD" w:rsidRPr="005C4F67" w:rsidRDefault="006E06DD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DF8780" w14:textId="77777777" w:rsidR="006E06DD" w:rsidRPr="005C4F67" w:rsidRDefault="006E06DD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5E2B05" w14:textId="77777777" w:rsidR="006E06DD" w:rsidRPr="005C4F67" w:rsidRDefault="006E06DD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6E06DD" w14:paraId="6C9EAC75" w14:textId="77777777" w:rsidTr="008D1594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4FA1DC9A" w14:textId="77777777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>Value time and resources</w:t>
            </w:r>
          </w:p>
          <w:p w14:paraId="6F89CC8C" w14:textId="06B2AF83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>We are respectful of competing priorities and the need to use time and resources wisely.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79103F" w14:textId="77777777" w:rsidR="006E06DD" w:rsidRPr="005C4F67" w:rsidRDefault="006E06DD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70FE42" w14:textId="77777777" w:rsidR="006E06DD" w:rsidRPr="005C4F67" w:rsidRDefault="006E06DD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D6D463" w14:textId="77777777" w:rsidR="006E06DD" w:rsidRPr="005C4F67" w:rsidRDefault="006E06DD" w:rsidP="008D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6E06DD" w14:paraId="2A9429AC" w14:textId="77777777" w:rsidTr="008D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0" w:type="dxa"/>
            <w:tcBorders>
              <w:right w:val="single" w:sz="4" w:space="0" w:color="BFBFBF" w:themeColor="background1" w:themeShade="BF"/>
            </w:tcBorders>
          </w:tcPr>
          <w:p w14:paraId="5D635478" w14:textId="77777777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  <w:t xml:space="preserve">Shared commitment </w:t>
            </w:r>
          </w:p>
          <w:p w14:paraId="453215E2" w14:textId="46AC59F5" w:rsidR="006E06DD" w:rsidRPr="005C4F67" w:rsidRDefault="006E06DD" w:rsidP="008D1594">
            <w:pPr>
              <w:spacing w:before="120" w:after="120"/>
              <w:rPr>
                <w:rFonts w:ascii="Montserrat Light" w:hAnsi="Montserrat Light" w:cstheme="minorHAnsi"/>
                <w:b w:val="0"/>
                <w:bCs w:val="0"/>
                <w:sz w:val="20"/>
                <w:szCs w:val="20"/>
              </w:rPr>
            </w:pPr>
            <w:r w:rsidRPr="005C4F67">
              <w:rPr>
                <w:rFonts w:ascii="Montserrat Light" w:hAnsi="Montserrat Light"/>
                <w:b w:val="0"/>
                <w:bCs w:val="0"/>
                <w:color w:val="44546A" w:themeColor="text2"/>
                <w:sz w:val="18"/>
                <w:szCs w:val="18"/>
              </w:rPr>
              <w:t>We commit to meaningful change and learning through experience.</w:t>
            </w:r>
          </w:p>
        </w:tc>
        <w:tc>
          <w:tcPr>
            <w:tcW w:w="77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7E683A" w14:textId="77777777" w:rsidR="006E06DD" w:rsidRPr="005C4F67" w:rsidRDefault="006E06DD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714CD7" w14:textId="77777777" w:rsidR="006E06DD" w:rsidRPr="005C4F67" w:rsidRDefault="006E06DD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9DB0CB" w14:textId="77777777" w:rsidR="006E06DD" w:rsidRPr="005C4F67" w:rsidRDefault="006E06DD" w:rsidP="008D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Light" w:hAnsi="Montserrat Light" w:cstheme="minorHAns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23D5BC71" w14:textId="1A458FD2" w:rsidR="00A63B87" w:rsidRDefault="00A63B87" w:rsidP="00562706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</w:p>
    <w:p w14:paraId="1FC371E3" w14:textId="77777777" w:rsidR="00D95436" w:rsidRPr="002A3123" w:rsidRDefault="00D95436" w:rsidP="00D95436">
      <w:pPr>
        <w:jc w:val="right"/>
        <w:rPr>
          <w:rFonts w:ascii="Montserrat Light" w:hAnsi="Montserrat Light" w:cstheme="minorHAnsi"/>
          <w:i/>
          <w:iCs/>
          <w:color w:val="808080" w:themeColor="background1" w:themeShade="80"/>
          <w:sz w:val="16"/>
          <w:szCs w:val="16"/>
        </w:rPr>
      </w:pPr>
      <w:r w:rsidRPr="002A3123">
        <w:rPr>
          <w:rFonts w:ascii="Montserrat Light" w:hAnsi="Montserrat Light" w:cstheme="minorHAnsi"/>
          <w:i/>
          <w:iCs/>
          <w:color w:val="808080" w:themeColor="background1" w:themeShade="80"/>
          <w:sz w:val="16"/>
          <w:szCs w:val="16"/>
        </w:rPr>
        <w:t>Version 2022/01</w:t>
      </w:r>
    </w:p>
    <w:p w14:paraId="79AB3072" w14:textId="77777777" w:rsidR="00465729" w:rsidRPr="005305EC" w:rsidRDefault="00465729" w:rsidP="00562706">
      <w:pPr>
        <w:rPr>
          <w:rFonts w:ascii="Montserrat Light" w:hAnsi="Montserrat Light" w:cstheme="minorHAnsi"/>
          <w:color w:val="808080" w:themeColor="background1" w:themeShade="80"/>
          <w:sz w:val="20"/>
          <w:szCs w:val="20"/>
        </w:rPr>
      </w:pPr>
    </w:p>
    <w:sectPr w:rsidR="00465729" w:rsidRPr="005305EC" w:rsidSect="006D07F4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4E93" w14:textId="77777777" w:rsidR="005735A2" w:rsidRDefault="005735A2" w:rsidP="005735A2">
      <w:pPr>
        <w:spacing w:after="0" w:line="240" w:lineRule="auto"/>
      </w:pPr>
      <w:r>
        <w:separator/>
      </w:r>
    </w:p>
  </w:endnote>
  <w:endnote w:type="continuationSeparator" w:id="0">
    <w:p w14:paraId="2FE2C7F6" w14:textId="77777777" w:rsidR="005735A2" w:rsidRDefault="005735A2" w:rsidP="0057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742E" w14:textId="77777777" w:rsidR="005735A2" w:rsidRDefault="005735A2" w:rsidP="005735A2">
      <w:pPr>
        <w:spacing w:after="0" w:line="240" w:lineRule="auto"/>
      </w:pPr>
      <w:r>
        <w:separator/>
      </w:r>
    </w:p>
  </w:footnote>
  <w:footnote w:type="continuationSeparator" w:id="0">
    <w:p w14:paraId="12F0D51D" w14:textId="77777777" w:rsidR="005735A2" w:rsidRDefault="005735A2" w:rsidP="00573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423"/>
    <w:multiLevelType w:val="hybridMultilevel"/>
    <w:tmpl w:val="F17CE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84345"/>
    <w:multiLevelType w:val="hybridMultilevel"/>
    <w:tmpl w:val="CEC882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E14DE"/>
    <w:multiLevelType w:val="hybridMultilevel"/>
    <w:tmpl w:val="6BDE7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693"/>
    <w:multiLevelType w:val="multilevel"/>
    <w:tmpl w:val="D31A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F76CC3"/>
    <w:multiLevelType w:val="hybridMultilevel"/>
    <w:tmpl w:val="6CD808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1C1D62"/>
    <w:multiLevelType w:val="hybridMultilevel"/>
    <w:tmpl w:val="E3665832"/>
    <w:lvl w:ilvl="0" w:tplc="BD2A7B7E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1E55AD"/>
    <w:multiLevelType w:val="hybridMultilevel"/>
    <w:tmpl w:val="295E64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7301B7"/>
    <w:multiLevelType w:val="hybridMultilevel"/>
    <w:tmpl w:val="E38E7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E72"/>
    <w:multiLevelType w:val="hybridMultilevel"/>
    <w:tmpl w:val="83EA09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7D4889"/>
    <w:multiLevelType w:val="hybridMultilevel"/>
    <w:tmpl w:val="74DE0398"/>
    <w:lvl w:ilvl="0" w:tplc="49E8E1F0">
      <w:numFmt w:val="bullet"/>
      <w:lvlText w:val="•"/>
      <w:lvlJc w:val="left"/>
      <w:pPr>
        <w:ind w:left="1080" w:hanging="720"/>
      </w:pPr>
      <w:rPr>
        <w:rFonts w:ascii="Montserrat Light" w:eastAsiaTheme="minorHAnsi" w:hAnsi="Montserrat Light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71AC0"/>
    <w:multiLevelType w:val="hybridMultilevel"/>
    <w:tmpl w:val="54DA80A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06D3ED9"/>
    <w:multiLevelType w:val="hybridMultilevel"/>
    <w:tmpl w:val="8996E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10AC3"/>
    <w:multiLevelType w:val="hybridMultilevel"/>
    <w:tmpl w:val="54DA80AE"/>
    <w:lvl w:ilvl="0" w:tplc="F1002C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33B4666"/>
    <w:multiLevelType w:val="hybridMultilevel"/>
    <w:tmpl w:val="EDDC9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E4887"/>
    <w:multiLevelType w:val="hybridMultilevel"/>
    <w:tmpl w:val="608E97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2A69E0"/>
    <w:multiLevelType w:val="hybridMultilevel"/>
    <w:tmpl w:val="E0BC0C02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CD514D"/>
    <w:multiLevelType w:val="hybridMultilevel"/>
    <w:tmpl w:val="6A6876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1A5D82"/>
    <w:multiLevelType w:val="hybridMultilevel"/>
    <w:tmpl w:val="946ECCE4"/>
    <w:lvl w:ilvl="0" w:tplc="39C225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FB79FF"/>
    <w:multiLevelType w:val="hybridMultilevel"/>
    <w:tmpl w:val="69E84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E094C"/>
    <w:multiLevelType w:val="hybridMultilevel"/>
    <w:tmpl w:val="D59699C6"/>
    <w:lvl w:ilvl="0" w:tplc="49E8E1F0">
      <w:numFmt w:val="bullet"/>
      <w:lvlText w:val="•"/>
      <w:lvlJc w:val="left"/>
      <w:pPr>
        <w:ind w:left="1440" w:hanging="720"/>
      </w:pPr>
      <w:rPr>
        <w:rFonts w:ascii="Montserrat Light" w:eastAsiaTheme="minorHAnsi" w:hAnsi="Montserrat Light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5A3D98"/>
    <w:multiLevelType w:val="hybridMultilevel"/>
    <w:tmpl w:val="564070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B0394F"/>
    <w:multiLevelType w:val="hybridMultilevel"/>
    <w:tmpl w:val="BC688F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F77AF9"/>
    <w:multiLevelType w:val="hybridMultilevel"/>
    <w:tmpl w:val="034E4AB8"/>
    <w:lvl w:ilvl="0" w:tplc="49E8E1F0">
      <w:numFmt w:val="bullet"/>
      <w:lvlText w:val="•"/>
      <w:lvlJc w:val="left"/>
      <w:pPr>
        <w:ind w:left="1080" w:hanging="720"/>
      </w:pPr>
      <w:rPr>
        <w:rFonts w:ascii="Montserrat Light" w:eastAsiaTheme="minorHAnsi" w:hAnsi="Montserrat Light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B1224"/>
    <w:multiLevelType w:val="hybridMultilevel"/>
    <w:tmpl w:val="52E236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712E9D"/>
    <w:multiLevelType w:val="hybridMultilevel"/>
    <w:tmpl w:val="0B82E1D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9334393">
    <w:abstractNumId w:val="11"/>
  </w:num>
  <w:num w:numId="2" w16cid:durableId="432825637">
    <w:abstractNumId w:val="14"/>
  </w:num>
  <w:num w:numId="3" w16cid:durableId="479154256">
    <w:abstractNumId w:val="17"/>
  </w:num>
  <w:num w:numId="4" w16cid:durableId="768426983">
    <w:abstractNumId w:val="7"/>
  </w:num>
  <w:num w:numId="5" w16cid:durableId="68578532">
    <w:abstractNumId w:val="21"/>
  </w:num>
  <w:num w:numId="6" w16cid:durableId="64231526">
    <w:abstractNumId w:val="8"/>
  </w:num>
  <w:num w:numId="7" w16cid:durableId="1752658870">
    <w:abstractNumId w:val="5"/>
  </w:num>
  <w:num w:numId="8" w16cid:durableId="1977833503">
    <w:abstractNumId w:val="20"/>
  </w:num>
  <w:num w:numId="9" w16cid:durableId="1751192246">
    <w:abstractNumId w:val="0"/>
  </w:num>
  <w:num w:numId="10" w16cid:durableId="1709183859">
    <w:abstractNumId w:val="3"/>
  </w:num>
  <w:num w:numId="11" w16cid:durableId="520751922">
    <w:abstractNumId w:val="2"/>
  </w:num>
  <w:num w:numId="12" w16cid:durableId="1284768172">
    <w:abstractNumId w:val="13"/>
  </w:num>
  <w:num w:numId="13" w16cid:durableId="2121603013">
    <w:abstractNumId w:val="9"/>
  </w:num>
  <w:num w:numId="14" w16cid:durableId="1012144932">
    <w:abstractNumId w:val="22"/>
  </w:num>
  <w:num w:numId="15" w16cid:durableId="663440086">
    <w:abstractNumId w:val="23"/>
  </w:num>
  <w:num w:numId="16" w16cid:durableId="1357275104">
    <w:abstractNumId w:val="19"/>
  </w:num>
  <w:num w:numId="17" w16cid:durableId="1431855064">
    <w:abstractNumId w:val="24"/>
  </w:num>
  <w:num w:numId="18" w16cid:durableId="63912957">
    <w:abstractNumId w:val="6"/>
  </w:num>
  <w:num w:numId="19" w16cid:durableId="994836856">
    <w:abstractNumId w:val="1"/>
  </w:num>
  <w:num w:numId="20" w16cid:durableId="734475575">
    <w:abstractNumId w:val="18"/>
  </w:num>
  <w:num w:numId="21" w16cid:durableId="1014529646">
    <w:abstractNumId w:val="15"/>
  </w:num>
  <w:num w:numId="22" w16cid:durableId="361127419">
    <w:abstractNumId w:val="4"/>
  </w:num>
  <w:num w:numId="23" w16cid:durableId="1683314319">
    <w:abstractNumId w:val="16"/>
  </w:num>
  <w:num w:numId="24" w16cid:durableId="1980727220">
    <w:abstractNumId w:val="12"/>
  </w:num>
  <w:num w:numId="25" w16cid:durableId="1538421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E7"/>
    <w:rsid w:val="00001FB9"/>
    <w:rsid w:val="000103FD"/>
    <w:rsid w:val="0004127F"/>
    <w:rsid w:val="00042D5C"/>
    <w:rsid w:val="00055A1B"/>
    <w:rsid w:val="00055E41"/>
    <w:rsid w:val="000563C9"/>
    <w:rsid w:val="000578F3"/>
    <w:rsid w:val="00074996"/>
    <w:rsid w:val="00080AFA"/>
    <w:rsid w:val="000D75A4"/>
    <w:rsid w:val="00125E2B"/>
    <w:rsid w:val="00152AC8"/>
    <w:rsid w:val="002034E5"/>
    <w:rsid w:val="002107F4"/>
    <w:rsid w:val="00220029"/>
    <w:rsid w:val="00256F2D"/>
    <w:rsid w:val="0026345A"/>
    <w:rsid w:val="00275A05"/>
    <w:rsid w:val="00287465"/>
    <w:rsid w:val="002D1826"/>
    <w:rsid w:val="002E57F2"/>
    <w:rsid w:val="00301DEA"/>
    <w:rsid w:val="00396450"/>
    <w:rsid w:val="003A0E9D"/>
    <w:rsid w:val="003B164A"/>
    <w:rsid w:val="003B2376"/>
    <w:rsid w:val="004129C1"/>
    <w:rsid w:val="00465729"/>
    <w:rsid w:val="0047358F"/>
    <w:rsid w:val="00490623"/>
    <w:rsid w:val="004A5396"/>
    <w:rsid w:val="004D1759"/>
    <w:rsid w:val="00530586"/>
    <w:rsid w:val="005305EC"/>
    <w:rsid w:val="00531482"/>
    <w:rsid w:val="00562706"/>
    <w:rsid w:val="005735A2"/>
    <w:rsid w:val="005C4F67"/>
    <w:rsid w:val="006255E7"/>
    <w:rsid w:val="0065345A"/>
    <w:rsid w:val="00667783"/>
    <w:rsid w:val="00670E4E"/>
    <w:rsid w:val="00675079"/>
    <w:rsid w:val="00694BD8"/>
    <w:rsid w:val="006950B9"/>
    <w:rsid w:val="006D07F4"/>
    <w:rsid w:val="006E06DD"/>
    <w:rsid w:val="006E1257"/>
    <w:rsid w:val="006E183A"/>
    <w:rsid w:val="0073299D"/>
    <w:rsid w:val="007615EB"/>
    <w:rsid w:val="00762ED0"/>
    <w:rsid w:val="007A5E7A"/>
    <w:rsid w:val="007B5F50"/>
    <w:rsid w:val="007D78CC"/>
    <w:rsid w:val="00867912"/>
    <w:rsid w:val="008B40D4"/>
    <w:rsid w:val="008C16FF"/>
    <w:rsid w:val="00945C8F"/>
    <w:rsid w:val="00A00653"/>
    <w:rsid w:val="00A025CE"/>
    <w:rsid w:val="00A17690"/>
    <w:rsid w:val="00A30C68"/>
    <w:rsid w:val="00A34A3E"/>
    <w:rsid w:val="00A35CDA"/>
    <w:rsid w:val="00A45D4E"/>
    <w:rsid w:val="00A47084"/>
    <w:rsid w:val="00A63B87"/>
    <w:rsid w:val="00A74FEA"/>
    <w:rsid w:val="00A902A4"/>
    <w:rsid w:val="00A9596D"/>
    <w:rsid w:val="00AB4B8A"/>
    <w:rsid w:val="00B04C37"/>
    <w:rsid w:val="00B472A9"/>
    <w:rsid w:val="00B71B5F"/>
    <w:rsid w:val="00BA0540"/>
    <w:rsid w:val="00BE4BBF"/>
    <w:rsid w:val="00C01C21"/>
    <w:rsid w:val="00C1511E"/>
    <w:rsid w:val="00C2627A"/>
    <w:rsid w:val="00C42E93"/>
    <w:rsid w:val="00C57755"/>
    <w:rsid w:val="00C715CD"/>
    <w:rsid w:val="00C83ED9"/>
    <w:rsid w:val="00C9763E"/>
    <w:rsid w:val="00CA19A7"/>
    <w:rsid w:val="00CE7AEA"/>
    <w:rsid w:val="00CF55D6"/>
    <w:rsid w:val="00D74FD9"/>
    <w:rsid w:val="00D95436"/>
    <w:rsid w:val="00DA0A36"/>
    <w:rsid w:val="00E37168"/>
    <w:rsid w:val="00E446C2"/>
    <w:rsid w:val="00E51D50"/>
    <w:rsid w:val="00E538EB"/>
    <w:rsid w:val="00E93677"/>
    <w:rsid w:val="00E9503D"/>
    <w:rsid w:val="00ED649A"/>
    <w:rsid w:val="00F0299B"/>
    <w:rsid w:val="00F05E70"/>
    <w:rsid w:val="00F23F20"/>
    <w:rsid w:val="00F95301"/>
    <w:rsid w:val="00FA4614"/>
    <w:rsid w:val="00FB52B7"/>
    <w:rsid w:val="00FE0B24"/>
    <w:rsid w:val="00F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46F1"/>
  <w15:chartTrackingRefBased/>
  <w15:docId w15:val="{255DD7E0-B742-4CE8-BCC2-82D29241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5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715CD"/>
    <w:pPr>
      <w:ind w:left="720"/>
      <w:contextualSpacing/>
    </w:pPr>
  </w:style>
  <w:style w:type="table" w:styleId="TableGrid">
    <w:name w:val="Table Grid"/>
    <w:basedOn w:val="TableNormal"/>
    <w:uiPriority w:val="39"/>
    <w:rsid w:val="00CF5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F55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94B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BD8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A959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51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D5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35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5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5A2"/>
    <w:rPr>
      <w:vertAlign w:val="superscript"/>
    </w:rPr>
  </w:style>
  <w:style w:type="paragraph" w:styleId="Revision">
    <w:name w:val="Revision"/>
    <w:hidden/>
    <w:uiPriority w:val="99"/>
    <w:semiHidden/>
    <w:rsid w:val="00A30C68"/>
    <w:pPr>
      <w:spacing w:after="0" w:line="240" w:lineRule="auto"/>
    </w:pPr>
  </w:style>
  <w:style w:type="table" w:styleId="PlainTable4">
    <w:name w:val="Plain Table 4"/>
    <w:basedOn w:val="TableNormal"/>
    <w:uiPriority w:val="44"/>
    <w:rsid w:val="005305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A63B8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3B8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B49EB-6CE7-4F11-898D-20051003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Catherine</dc:creator>
  <cp:keywords/>
  <dc:description/>
  <cp:lastModifiedBy>Russell, Catherine</cp:lastModifiedBy>
  <cp:revision>4</cp:revision>
  <cp:lastPrinted>2022-08-26T01:00:00Z</cp:lastPrinted>
  <dcterms:created xsi:type="dcterms:W3CDTF">2022-12-07T06:57:00Z</dcterms:created>
  <dcterms:modified xsi:type="dcterms:W3CDTF">2022-12-08T00:28:00Z</dcterms:modified>
</cp:coreProperties>
</file>