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4D9" w14:textId="03281A5A" w:rsidR="00125E2B" w:rsidRDefault="002E57F2">
      <w:pPr>
        <w:rPr>
          <w:rFonts w:ascii="Montserrat" w:hAnsi="Montserrat"/>
          <w:color w:val="808080" w:themeColor="background1" w:themeShade="80"/>
        </w:rPr>
      </w:pPr>
      <w:r>
        <w:rPr>
          <w:rFonts w:ascii="Montserrat" w:hAnsi="Montserrat"/>
          <w:noProof/>
          <w:color w:val="FFFFFF" w:themeColor="background1"/>
        </w:rPr>
        <w:drawing>
          <wp:inline distT="0" distB="0" distL="0" distR="0" wp14:anchorId="49F6AE99" wp14:editId="53A4554D">
            <wp:extent cx="1497600" cy="7646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96" cy="79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12DEC" w14:textId="609B7EE0" w:rsidR="00A9596D" w:rsidRPr="0047358F" w:rsidRDefault="00530586" w:rsidP="002E57F2">
      <w:pPr>
        <w:pStyle w:val="Heading1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b/>
          <w:bCs/>
          <w:color w:val="auto"/>
        </w:rPr>
        <w:t xml:space="preserve">CHECKLIST </w:t>
      </w:r>
    </w:p>
    <w:p w14:paraId="4330D4F7" w14:textId="57464A64" w:rsidR="002E57F2" w:rsidRPr="002E57F2" w:rsidRDefault="000563C9" w:rsidP="002E57F2">
      <w:pPr>
        <w:pStyle w:val="Heading1"/>
        <w:rPr>
          <w:rFonts w:ascii="Montserrat" w:hAnsi="Montserrat"/>
          <w:b/>
          <w:bCs/>
          <w:color w:val="7030A0"/>
          <w14:textFill>
            <w14:solidFill>
              <w14:srgbClr w14:val="7030A0">
                <w14:lumMod w14:val="50000"/>
              </w14:srgbClr>
            </w14:solidFill>
          </w14:textFill>
        </w:rPr>
      </w:pPr>
      <w:r>
        <w:rPr>
          <w:rFonts w:ascii="Montserrat" w:hAnsi="Montserrat"/>
          <w:b/>
          <w:bCs/>
          <w:color w:val="7030A0"/>
        </w:rPr>
        <w:t>COMMISSIONING</w:t>
      </w:r>
    </w:p>
    <w:p w14:paraId="55418876" w14:textId="77777777" w:rsidR="00055A1B" w:rsidRPr="00DA0A36" w:rsidRDefault="00055A1B" w:rsidP="00DA0A36">
      <w:pPr>
        <w:spacing w:after="0"/>
        <w:rPr>
          <w:rFonts w:ascii="Montserrat" w:hAnsi="Montserrat"/>
          <w:b/>
          <w:bCs/>
          <w:sz w:val="16"/>
          <w:szCs w:val="16"/>
        </w:rPr>
      </w:pPr>
    </w:p>
    <w:p w14:paraId="04BA1821" w14:textId="77777777" w:rsidR="000563C9" w:rsidRDefault="000563C9">
      <w:pPr>
        <w:rPr>
          <w:rFonts w:ascii="Montserrat" w:hAnsi="Montserrat"/>
          <w:b/>
          <w:bCs/>
        </w:rPr>
      </w:pPr>
      <w:bookmarkStart w:id="0" w:name="_Hlk121389920"/>
      <w:r>
        <w:rPr>
          <w:rFonts w:ascii="Montserrat" w:hAnsi="Montserrat"/>
          <w:b/>
          <w:bCs/>
        </w:rPr>
        <w:t>As the Commissioner, you are the driver of the commissioning cycle.</w:t>
      </w:r>
    </w:p>
    <w:p w14:paraId="3FA6D0DD" w14:textId="0DFB8215" w:rsidR="008B40D4" w:rsidRPr="00E538EB" w:rsidRDefault="00530586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This checklist can guide you </w:t>
      </w:r>
      <w:r w:rsidR="000563C9">
        <w:rPr>
          <w:rFonts w:ascii="Montserrat" w:hAnsi="Montserrat"/>
          <w:b/>
          <w:bCs/>
        </w:rPr>
        <w:t>the different phases of the commissioning cycle.</w:t>
      </w:r>
    </w:p>
    <w:bookmarkEnd w:id="0"/>
    <w:p w14:paraId="4472C254" w14:textId="3913476D" w:rsidR="00530586" w:rsidRDefault="000563C9" w:rsidP="003B2376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We approach commissioning as an opportunity to: </w:t>
      </w:r>
    </w:p>
    <w:p w14:paraId="33A7F4AB" w14:textId="61FF79AB" w:rsidR="000563C9" w:rsidRPr="000563C9" w:rsidRDefault="000563C9" w:rsidP="000563C9">
      <w:pPr>
        <w:pStyle w:val="ListParagraph"/>
        <w:numPr>
          <w:ilvl w:val="0"/>
          <w:numId w:val="23"/>
        </w:numPr>
        <w:rPr>
          <w:rFonts w:ascii="Montserrat Light" w:hAnsi="Montserrat Light"/>
          <w:sz w:val="20"/>
          <w:szCs w:val="20"/>
        </w:rPr>
      </w:pPr>
      <w:r w:rsidRPr="000563C9">
        <w:rPr>
          <w:rFonts w:ascii="Montserrat Light" w:hAnsi="Montserrat Light"/>
          <w:sz w:val="20"/>
          <w:szCs w:val="20"/>
        </w:rPr>
        <w:t xml:space="preserve">Do things better. </w:t>
      </w:r>
    </w:p>
    <w:p w14:paraId="20EB922E" w14:textId="15489CD9" w:rsidR="000563C9" w:rsidRPr="000563C9" w:rsidRDefault="000563C9" w:rsidP="000563C9">
      <w:pPr>
        <w:pStyle w:val="ListParagraph"/>
        <w:numPr>
          <w:ilvl w:val="0"/>
          <w:numId w:val="23"/>
        </w:numPr>
        <w:rPr>
          <w:rFonts w:ascii="Montserrat Light" w:hAnsi="Montserrat Light"/>
          <w:sz w:val="20"/>
          <w:szCs w:val="20"/>
        </w:rPr>
      </w:pPr>
      <w:r w:rsidRPr="000563C9">
        <w:rPr>
          <w:rFonts w:ascii="Montserrat Light" w:hAnsi="Montserrat Light"/>
          <w:sz w:val="20"/>
          <w:szCs w:val="20"/>
        </w:rPr>
        <w:t xml:space="preserve">Foster greater flexibility, creativity, innovation, and early support in our human service system. </w:t>
      </w:r>
    </w:p>
    <w:p w14:paraId="39F3492C" w14:textId="2E296BAA" w:rsidR="000563C9" w:rsidRDefault="000563C9" w:rsidP="003B2376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Every commissioning cycle is helping to reform our human service system to be:</w:t>
      </w:r>
    </w:p>
    <w:p w14:paraId="0614220B" w14:textId="3E9CADE5" w:rsidR="000563C9" w:rsidRPr="000563C9" w:rsidRDefault="000563C9" w:rsidP="000563C9">
      <w:pPr>
        <w:pStyle w:val="ListParagraph"/>
        <w:numPr>
          <w:ilvl w:val="0"/>
          <w:numId w:val="22"/>
        </w:numPr>
        <w:rPr>
          <w:rFonts w:ascii="Montserrat Light" w:hAnsi="Montserrat Light"/>
          <w:sz w:val="20"/>
          <w:szCs w:val="20"/>
        </w:rPr>
      </w:pPr>
      <w:r w:rsidRPr="000563C9">
        <w:rPr>
          <w:rFonts w:ascii="Montserrat Light" w:hAnsi="Montserrat Light"/>
          <w:sz w:val="20"/>
          <w:szCs w:val="20"/>
        </w:rPr>
        <w:t xml:space="preserve">More responsive to need. </w:t>
      </w:r>
    </w:p>
    <w:p w14:paraId="1BC809BA" w14:textId="775AD14F" w:rsidR="000563C9" w:rsidRPr="000563C9" w:rsidRDefault="000563C9" w:rsidP="000563C9">
      <w:pPr>
        <w:pStyle w:val="ListParagraph"/>
        <w:numPr>
          <w:ilvl w:val="0"/>
          <w:numId w:val="22"/>
        </w:numPr>
        <w:rPr>
          <w:rFonts w:ascii="Montserrat Light" w:hAnsi="Montserrat Light"/>
          <w:sz w:val="20"/>
          <w:szCs w:val="20"/>
        </w:rPr>
      </w:pPr>
      <w:r w:rsidRPr="000563C9">
        <w:rPr>
          <w:rFonts w:ascii="Montserrat Light" w:hAnsi="Montserrat Light"/>
          <w:sz w:val="20"/>
          <w:szCs w:val="20"/>
        </w:rPr>
        <w:t>Strongly linked between services.</w:t>
      </w:r>
    </w:p>
    <w:p w14:paraId="52D99A95" w14:textId="77777777" w:rsidR="000563C9" w:rsidRPr="000563C9" w:rsidRDefault="000563C9" w:rsidP="000563C9">
      <w:pPr>
        <w:pStyle w:val="ListParagraph"/>
        <w:numPr>
          <w:ilvl w:val="0"/>
          <w:numId w:val="22"/>
        </w:numPr>
        <w:rPr>
          <w:rFonts w:ascii="Montserrat Light" w:hAnsi="Montserrat Light"/>
          <w:sz w:val="20"/>
          <w:szCs w:val="20"/>
        </w:rPr>
      </w:pPr>
      <w:r w:rsidRPr="000563C9">
        <w:rPr>
          <w:rFonts w:ascii="Montserrat Light" w:hAnsi="Montserrat Light"/>
          <w:sz w:val="20"/>
          <w:szCs w:val="20"/>
        </w:rPr>
        <w:t>Reducing pressure on hospitals and crisis services.</w:t>
      </w:r>
    </w:p>
    <w:p w14:paraId="6B2416DC" w14:textId="65B6DFDC" w:rsidR="000563C9" w:rsidRPr="000563C9" w:rsidRDefault="000563C9" w:rsidP="000563C9">
      <w:pPr>
        <w:pStyle w:val="ListParagraph"/>
        <w:numPr>
          <w:ilvl w:val="0"/>
          <w:numId w:val="22"/>
        </w:numPr>
        <w:rPr>
          <w:rFonts w:ascii="Montserrat Light" w:hAnsi="Montserrat Light"/>
          <w:sz w:val="20"/>
          <w:szCs w:val="20"/>
        </w:rPr>
      </w:pPr>
      <w:r w:rsidRPr="000563C9">
        <w:rPr>
          <w:rFonts w:ascii="Montserrat Light" w:hAnsi="Montserrat Light"/>
          <w:sz w:val="20"/>
          <w:szCs w:val="20"/>
        </w:rPr>
        <w:t xml:space="preserve">Delivering better health and wellbeing outcomes for priority populations. </w:t>
      </w:r>
    </w:p>
    <w:p w14:paraId="29D96A21" w14:textId="77777777" w:rsidR="000563C9" w:rsidRDefault="000563C9" w:rsidP="000563C9">
      <w:pPr>
        <w:pStyle w:val="ListParagraph"/>
        <w:numPr>
          <w:ilvl w:val="0"/>
          <w:numId w:val="22"/>
        </w:numPr>
        <w:rPr>
          <w:rFonts w:ascii="Montserrat Light" w:hAnsi="Montserrat Light"/>
          <w:sz w:val="20"/>
          <w:szCs w:val="20"/>
        </w:rPr>
      </w:pPr>
      <w:r w:rsidRPr="000563C9">
        <w:rPr>
          <w:rFonts w:ascii="Montserrat Light" w:hAnsi="Montserrat Light"/>
          <w:sz w:val="20"/>
          <w:szCs w:val="20"/>
        </w:rPr>
        <w:t xml:space="preserve">Supporting sector sustainability. </w:t>
      </w:r>
    </w:p>
    <w:p w14:paraId="55328E75" w14:textId="77777777" w:rsidR="000563C9" w:rsidRPr="000563C9" w:rsidRDefault="000563C9" w:rsidP="000563C9">
      <w:pPr>
        <w:rPr>
          <w:rFonts w:ascii="Montserrat Light" w:hAnsi="Montserrat Light"/>
          <w:sz w:val="20"/>
          <w:szCs w:val="20"/>
        </w:rPr>
      </w:pPr>
      <w:r w:rsidRPr="000563C9">
        <w:rPr>
          <w:rFonts w:ascii="Montserrat Light" w:hAnsi="Montserrat Light"/>
          <w:sz w:val="20"/>
          <w:szCs w:val="20"/>
        </w:rPr>
        <w:t xml:space="preserve">Each commissioning cycle is guided by shared principles – which are useful to assess how your cycle is going. </w:t>
      </w:r>
    </w:p>
    <w:p w14:paraId="173E4BD3" w14:textId="564691BB" w:rsidR="000563C9" w:rsidRDefault="000563C9" w:rsidP="000563C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Each commissioning phase provides a guide to key activities. </w:t>
      </w:r>
    </w:p>
    <w:p w14:paraId="6C519FCD" w14:textId="436C7E6F" w:rsidR="000563C9" w:rsidRDefault="000563C9" w:rsidP="000563C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Importantly, commissioning is adaptable. </w:t>
      </w:r>
    </w:p>
    <w:p w14:paraId="343B4490" w14:textId="2B714B46" w:rsidR="000563C9" w:rsidRDefault="000563C9" w:rsidP="000563C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This checklist can help ensure you are delivering an effective commissioning cycle</w:t>
      </w:r>
      <w:r w:rsidR="00C2627A">
        <w:rPr>
          <w:rFonts w:ascii="Montserrat Light" w:hAnsi="Montserrat Light"/>
          <w:sz w:val="20"/>
          <w:szCs w:val="20"/>
        </w:rPr>
        <w:t xml:space="preserve"> that can help us reform our human service system. </w:t>
      </w:r>
    </w:p>
    <w:p w14:paraId="3073A1D4" w14:textId="0B6B5B74" w:rsidR="000563C9" w:rsidRDefault="000563C9" w:rsidP="00A63B87">
      <w:pPr>
        <w:pStyle w:val="Heading1"/>
        <w:rPr>
          <w:rFonts w:ascii="Montserrat Medium" w:hAnsi="Montserrat Medium"/>
          <w:color w:val="7030A0"/>
          <w:sz w:val="24"/>
          <w:szCs w:val="24"/>
        </w:rPr>
      </w:pPr>
    </w:p>
    <w:p w14:paraId="37E57F40" w14:textId="670D1D68" w:rsidR="00530586" w:rsidRPr="00530586" w:rsidRDefault="00C2627A" w:rsidP="00A35CDA">
      <w:pPr>
        <w:pStyle w:val="Heading1"/>
        <w:spacing w:before="0"/>
        <w:ind w:firstLine="142"/>
        <w:rPr>
          <w:rFonts w:ascii="Montserrat Medium" w:hAnsi="Montserrat Medium"/>
          <w:color w:val="7030A0"/>
          <w:sz w:val="24"/>
          <w:szCs w:val="24"/>
        </w:rPr>
      </w:pPr>
      <w:bookmarkStart w:id="1" w:name="_Hlk121390015"/>
      <w:r>
        <w:rPr>
          <w:rFonts w:ascii="Montserrat Medium" w:hAnsi="Montserrat Medium"/>
          <w:color w:val="7030A0"/>
          <w:sz w:val="24"/>
          <w:szCs w:val="24"/>
        </w:rPr>
        <w:t xml:space="preserve">Commissioning understanding </w:t>
      </w:r>
    </w:p>
    <w:tbl>
      <w:tblPr>
        <w:tblStyle w:val="PlainTable4"/>
        <w:tblW w:w="6456" w:type="dxa"/>
        <w:jc w:val="center"/>
        <w:tblLook w:val="04A0" w:firstRow="1" w:lastRow="0" w:firstColumn="1" w:lastColumn="0" w:noHBand="0" w:noVBand="1"/>
      </w:tblPr>
      <w:tblGrid>
        <w:gridCol w:w="3955"/>
        <w:gridCol w:w="773"/>
        <w:gridCol w:w="1098"/>
        <w:gridCol w:w="630"/>
      </w:tblGrid>
      <w:tr w:rsidR="00562706" w14:paraId="02BE5A25" w14:textId="77777777" w:rsidTr="00562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6DEF2058" w14:textId="77777777" w:rsidR="00530586" w:rsidRDefault="00530586" w:rsidP="00B472A9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09B8C802" w14:textId="1D428AF2" w:rsidR="00530586" w:rsidRPr="00530586" w:rsidRDefault="00530586" w:rsidP="00B47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10DDA7E8" w14:textId="460574F1" w:rsidR="00530586" w:rsidRPr="00530586" w:rsidRDefault="00530586" w:rsidP="00B47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227F2515" w14:textId="4EAF2F29" w:rsidR="00530586" w:rsidRPr="00530586" w:rsidRDefault="00530586" w:rsidP="00B47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530586" w14:paraId="233C2E49" w14:textId="77777777" w:rsidTr="00562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5B94E3CE" w14:textId="7C052C56" w:rsidR="00530586" w:rsidRPr="00530586" w:rsidRDefault="00A35CDA" w:rsidP="00530586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have w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atch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ed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‘What is commissioning?’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42FAD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D5E886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462D14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2DDCD7C6" w14:textId="77777777" w:rsidTr="00562706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56C86E13" w14:textId="248C6D34" w:rsidR="00530586" w:rsidRPr="00530586" w:rsidRDefault="00A35CDA" w:rsidP="00530586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have w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atch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ed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‘How to we commission?’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33BAA6" w14:textId="77777777" w:rsidR="00530586" w:rsidRDefault="00530586" w:rsidP="00530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C53C9" w14:textId="77777777" w:rsidR="00530586" w:rsidRDefault="00530586" w:rsidP="00530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772BED" w14:textId="77777777" w:rsidR="00530586" w:rsidRDefault="00530586" w:rsidP="00530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30586" w14:paraId="31B0BD99" w14:textId="77777777" w:rsidTr="00562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0C4E9502" w14:textId="485A3772" w:rsidR="00530586" w:rsidRPr="00530586" w:rsidRDefault="00A35CDA" w:rsidP="00530586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have r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eview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ed the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commissioning approach online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B72B8B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E47B7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E2179D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3B62663A" w14:textId="77777777" w:rsidTr="00562706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64666F12" w14:textId="2CE8144B" w:rsidR="00530586" w:rsidRPr="00530586" w:rsidRDefault="00A35CDA" w:rsidP="00530586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have a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ssess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ed our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team skills to undertake commissioning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BFF33C" w14:textId="77777777" w:rsidR="00530586" w:rsidRDefault="00530586" w:rsidP="00530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E31BA4" w14:textId="77777777" w:rsidR="00530586" w:rsidRDefault="00530586" w:rsidP="00530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A82A0F" w14:textId="77777777" w:rsidR="00530586" w:rsidRDefault="00530586" w:rsidP="00530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30586" w14:paraId="6698CF42" w14:textId="77777777" w:rsidTr="00562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0F54D473" w14:textId="20F95E03" w:rsidR="00530586" w:rsidRPr="00530586" w:rsidRDefault="00A35CDA" w:rsidP="00530586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have j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oin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ed the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Commissioning Community of Practice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7034A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F5FA9C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9C0C82" w14:textId="77777777" w:rsidR="00530586" w:rsidRDefault="00530586" w:rsidP="00530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30586" w14:paraId="58D5B04E" w14:textId="77777777" w:rsidTr="00530586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ADC33C4" w14:textId="77777777" w:rsidR="00530586" w:rsidRDefault="00530586" w:rsidP="00B472A9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6CBADE9C" w14:textId="77777777" w:rsidR="00530586" w:rsidRDefault="00530586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7FB02FA" w14:textId="77777777" w:rsidR="00530586" w:rsidRDefault="00530586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AE17D9" w14:textId="77777777" w:rsidR="00530586" w:rsidRDefault="00530586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bookmarkEnd w:id="1"/>
    <w:p w14:paraId="48D8F215" w14:textId="1A607DD5" w:rsidR="00C2627A" w:rsidRPr="00530586" w:rsidRDefault="00C2627A" w:rsidP="00465729">
      <w:pPr>
        <w:pStyle w:val="Heading1"/>
        <w:spacing w:before="0"/>
        <w:ind w:left="142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>Evaluate</w:t>
      </w:r>
    </w:p>
    <w:tbl>
      <w:tblPr>
        <w:tblStyle w:val="PlainTable4"/>
        <w:tblW w:w="6456" w:type="dxa"/>
        <w:jc w:val="center"/>
        <w:tblLook w:val="04A0" w:firstRow="1" w:lastRow="0" w:firstColumn="1" w:lastColumn="0" w:noHBand="0" w:noVBand="1"/>
      </w:tblPr>
      <w:tblGrid>
        <w:gridCol w:w="3955"/>
        <w:gridCol w:w="773"/>
        <w:gridCol w:w="1098"/>
        <w:gridCol w:w="630"/>
      </w:tblGrid>
      <w:tr w:rsidR="00C2627A" w14:paraId="29875A0D" w14:textId="77777777" w:rsidTr="008D1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45CBE4AC" w14:textId="77777777" w:rsidR="00C2627A" w:rsidRDefault="00C2627A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3A107A8B" w14:textId="77777777" w:rsidR="00C2627A" w:rsidRPr="00530586" w:rsidRDefault="00C2627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2539FB18" w14:textId="77777777" w:rsidR="00C2627A" w:rsidRPr="00530586" w:rsidRDefault="00C2627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3C627DF8" w14:textId="77777777" w:rsidR="00C2627A" w:rsidRPr="00530586" w:rsidRDefault="00C2627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C2627A" w14:paraId="388375D8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48967F16" w14:textId="158B271D" w:rsidR="00C2627A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u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se the post-activity survey for feedback on the commissioning experience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64B14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CB212C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C465D4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C2627A" w14:paraId="6F33E70E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264CB4D0" w14:textId="6E5A79DA" w:rsidR="00C2627A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u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ndertake one on one conversations with key participating providers and stakeholders to assess their experience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C16521" w14:textId="77777777" w:rsidR="00C2627A" w:rsidRDefault="00C2627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518D77" w14:textId="77777777" w:rsidR="00C2627A" w:rsidRDefault="00C2627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ACC5FA" w14:textId="77777777" w:rsidR="00C2627A" w:rsidRDefault="00C2627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C2627A" w14:paraId="4BD416F8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3533E442" w14:textId="4DFFC80B" w:rsidR="00C2627A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r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egularly assess commissioning delivery against the shared principles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883E2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7828A8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C674E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54359AB" w14:textId="157254C5" w:rsidR="00562706" w:rsidRPr="00530586" w:rsidRDefault="00C2627A" w:rsidP="00C2627A">
      <w:pPr>
        <w:pStyle w:val="Heading1"/>
        <w:numPr>
          <w:ilvl w:val="0"/>
          <w:numId w:val="24"/>
        </w:numPr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 xml:space="preserve">Discover </w:t>
      </w:r>
    </w:p>
    <w:tbl>
      <w:tblPr>
        <w:tblStyle w:val="PlainTable4"/>
        <w:tblW w:w="6456" w:type="dxa"/>
        <w:jc w:val="center"/>
        <w:tblLook w:val="04A0" w:firstRow="1" w:lastRow="0" w:firstColumn="1" w:lastColumn="0" w:noHBand="0" w:noVBand="1"/>
      </w:tblPr>
      <w:tblGrid>
        <w:gridCol w:w="3955"/>
        <w:gridCol w:w="773"/>
        <w:gridCol w:w="1098"/>
        <w:gridCol w:w="630"/>
      </w:tblGrid>
      <w:tr w:rsidR="00562706" w14:paraId="6492C564" w14:textId="77777777" w:rsidTr="008D1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13D3CA78" w14:textId="77777777" w:rsidR="00562706" w:rsidRDefault="00562706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3F0B0CCD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25F6D896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09DFAA3E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26345A" w14:paraId="0BCE2573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1E36DB55" w14:textId="32BA4728" w:rsidR="0026345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u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se commissioning intentions from the previous commissioning cycle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89013B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00F47F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B09197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0940F02A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6DAB885C" w14:textId="57A25CDC" w:rsidR="00562706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u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ndertake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and document</w:t>
            </w:r>
            <w:r w:rsidR="00C2627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a discovery to find what we already know and what questions we need to explore </w:t>
            </w:r>
            <w:r w:rsidR="00465729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in the Discovery Discussion Paper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9B1500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818A47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A28123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3A94C034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1B4A2392" w14:textId="73E28000" w:rsidR="00562706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i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dentify who could be involved in the commissioning cycle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43673E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DC68C6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C570F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193CC3A4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779E57FD" w14:textId="267AD6E2" w:rsidR="00562706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p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lan the timings of the commissioning cycle through to delivery </w:t>
            </w:r>
            <w:r w:rsidR="00465729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– including people with lived experience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A28198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526149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6B08C9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5597C32A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4B2A1C08" w14:textId="11E0790C" w:rsidR="00562706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p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lan engagement and collaboration activities and timings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823440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1B50D2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84C66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015506F6" w14:textId="77777777" w:rsidTr="008D1594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3A27187F" w14:textId="6BC9874D" w:rsidR="00562706" w:rsidRPr="00562706" w:rsidRDefault="00A35CDA" w:rsidP="008D1594">
            <w:pPr>
              <w:spacing w:before="120" w:after="120"/>
              <w:rPr>
                <w:rFonts w:ascii="Montserrat Light" w:hAnsi="Montserrat Light" w:cstheme="minorHAnsi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p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lan or validate engagement and collaboration activities and timings with key stakeholders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E38BBE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74B611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796CF0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C2627A" w14:paraId="4DB9CCC7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43B5FA83" w14:textId="4807B0E6" w:rsidR="00C2627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e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stablish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ed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a commissioning webpage to keep participants informed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585E70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2BC946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5736C" w14:textId="77777777" w:rsidR="00C2627A" w:rsidRDefault="00C2627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99AF8D2" w14:textId="06B96ED4" w:rsidR="00562706" w:rsidRPr="00530586" w:rsidRDefault="00562706" w:rsidP="00B472A9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sectPr w:rsidR="00562706" w:rsidRPr="00530586" w:rsidSect="004129C1">
          <w:pgSz w:w="11906" w:h="16838"/>
          <w:pgMar w:top="426" w:right="424" w:bottom="142" w:left="720" w:header="708" w:footer="708" w:gutter="0"/>
          <w:cols w:num="2" w:space="1700" w:equalWidth="0">
            <w:col w:w="3016" w:space="708"/>
            <w:col w:w="6740"/>
          </w:cols>
          <w:docGrid w:linePitch="360"/>
        </w:sectPr>
      </w:pPr>
    </w:p>
    <w:p w14:paraId="4923C64C" w14:textId="5C0F5A45" w:rsidR="00562706" w:rsidRPr="00530586" w:rsidRDefault="00C2627A" w:rsidP="00C2627A">
      <w:pPr>
        <w:pStyle w:val="Heading1"/>
        <w:numPr>
          <w:ilvl w:val="0"/>
          <w:numId w:val="24"/>
        </w:numPr>
        <w:ind w:right="-355"/>
        <w:rPr>
          <w:rFonts w:ascii="Montserrat Medium" w:hAnsi="Montserrat Medium"/>
          <w:color w:val="7030A0"/>
          <w:sz w:val="24"/>
          <w:szCs w:val="24"/>
        </w:rPr>
      </w:pPr>
      <w:proofErr w:type="spellStart"/>
      <w:r>
        <w:rPr>
          <w:rFonts w:ascii="Montserrat Medium" w:hAnsi="Montserrat Medium"/>
          <w:color w:val="7030A0"/>
          <w:sz w:val="24"/>
          <w:szCs w:val="24"/>
        </w:rPr>
        <w:lastRenderedPageBreak/>
        <w:t>Strategise</w:t>
      </w:r>
      <w:proofErr w:type="spellEnd"/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50"/>
        <w:gridCol w:w="773"/>
        <w:gridCol w:w="1098"/>
        <w:gridCol w:w="630"/>
      </w:tblGrid>
      <w:tr w:rsidR="00562706" w14:paraId="100F7E36" w14:textId="77777777" w:rsidTr="0004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</w:tcPr>
          <w:p w14:paraId="7C7B23E1" w14:textId="77777777" w:rsidR="00562706" w:rsidRDefault="00562706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1B1C5984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29A2CA49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6537283C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562706" w14:paraId="4C97D4BC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3D698D1F" w14:textId="32835F96" w:rsidR="00562706" w:rsidRPr="00530586" w:rsidRDefault="00A35CDA" w:rsidP="0026345A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r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eview the Discovery Discussion Paper with service providers, sector partners and stakeholders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57BE3F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2A4483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933653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26345A" w14:paraId="2B14F4D2" w14:textId="77777777" w:rsidTr="0004127F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797CFA3" w14:textId="10E01968" w:rsidR="0026345A" w:rsidRDefault="00A35CDA" w:rsidP="0026345A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i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nvite participants to </w:t>
            </w:r>
            <w:proofErr w:type="spellStart"/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strategise</w:t>
            </w:r>
            <w:proofErr w:type="spellEnd"/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activities and provide background information to ensure informed participation.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05A836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12ED2A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16462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5259F811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7C90E2E" w14:textId="4C9F6F9D" w:rsidR="00562706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v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alidate and prioritise needs – who need this service or program and what is our evidence?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31EB66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20AF73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F7B14E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76C1A054" w14:textId="77777777" w:rsidTr="0004127F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608E9265" w14:textId="4F046D90" w:rsidR="00562706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d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etermine our framing statement – what problem are we trying to solve?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930DF2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8AF447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CA08D5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26345A" w14:paraId="58AAFED3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0BDF6B66" w14:textId="1CDEF328" w:rsidR="0026345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a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ssess the market – who could provide services?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27EAE5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6B0791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0E1E3E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26345A" w14:paraId="3258DF0A" w14:textId="77777777" w:rsidTr="0004127F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24548790" w14:textId="25011390" w:rsidR="0026345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c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onsider transitioning planning – what transition scenarios should we plan for?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E15ABB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629359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BB87E3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26345A" w14:paraId="731C20AF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2A085941" w14:textId="3D34CC57" w:rsidR="0026345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i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dentify service design opportunities – what service/s could we design together to meet the needs?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54D753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D55448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0F32C9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65729" w14:paraId="646C90F9" w14:textId="77777777" w:rsidTr="0004127F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1A3ECC5A" w14:textId="6B10F11A" w:rsidR="00465729" w:rsidRDefault="00465729" w:rsidP="008D1594">
            <w:pPr>
              <w:spacing w:before="120" w:after="120"/>
              <w:rPr>
                <w:rFonts w:ascii="Montserrat Light" w:hAnsi="Montserrat Light" w:cstheme="minorHAnsi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sz w:val="20"/>
                <w:szCs w:val="20"/>
              </w:rPr>
              <w:t xml:space="preserve">We have engaged directly with people with lived experience to validate needs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26126" w14:textId="77777777" w:rsidR="00465729" w:rsidRDefault="00465729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5E173" w14:textId="77777777" w:rsidR="00465729" w:rsidRDefault="00465729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66A8F6" w14:textId="77777777" w:rsidR="00465729" w:rsidRDefault="00465729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65729" w14:paraId="72B2B7D4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19488AF9" w14:textId="581F95B7" w:rsidR="00465729" w:rsidRDefault="00465729" w:rsidP="008D1594">
            <w:pPr>
              <w:spacing w:before="120" w:after="120"/>
              <w:rPr>
                <w:rFonts w:ascii="Montserrat Light" w:hAnsi="Montserrat Light" w:cstheme="minorHAnsi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sz w:val="20"/>
                <w:szCs w:val="20"/>
              </w:rPr>
              <w:t xml:space="preserve">We have validated needs with insights from people with lived experience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084003" w14:textId="77777777" w:rsidR="00465729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8C667E" w14:textId="77777777" w:rsidR="00465729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44BA7B" w14:textId="77777777" w:rsidR="00465729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761292F" w14:textId="5B50B4C7" w:rsidR="00562706" w:rsidRPr="00530586" w:rsidRDefault="00C2627A" w:rsidP="00C2627A">
      <w:pPr>
        <w:pStyle w:val="Heading1"/>
        <w:numPr>
          <w:ilvl w:val="0"/>
          <w:numId w:val="24"/>
        </w:numPr>
        <w:ind w:right="-355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>Design</w:t>
      </w:r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50"/>
        <w:gridCol w:w="773"/>
        <w:gridCol w:w="1098"/>
        <w:gridCol w:w="630"/>
      </w:tblGrid>
      <w:tr w:rsidR="00562706" w14:paraId="230145A8" w14:textId="77777777" w:rsidTr="0004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</w:tcPr>
          <w:p w14:paraId="7575D4B3" w14:textId="77777777" w:rsidR="00562706" w:rsidRDefault="00562706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446DD50F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44936801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6609DA1C" w14:textId="77777777" w:rsidR="00562706" w:rsidRPr="00530586" w:rsidRDefault="00562706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562706" w14:paraId="744A9267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02D9FD93" w14:textId="00B9BDA7" w:rsidR="00562706" w:rsidRPr="00530586" w:rsidRDefault="00A35CDA" w:rsidP="0026345A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e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ngage and collaborate to define the service specifications that meet the community need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1A513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86BE59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410ADC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01CCD33C" w14:textId="77777777" w:rsidTr="0004127F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6BDF7C9D" w14:textId="03E42B08" w:rsidR="00562706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d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evelop outcomes for the community that the service will deliver </w:t>
            </w:r>
            <w:r w:rsidR="00562706" w:rsidRPr="00530586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BC9555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B9D94A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D1A5A7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19D261B7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29D056ED" w14:textId="7C4ED98D" w:rsidR="00562706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i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nvite participants to design activities and provide background information to ensure informed participation. </w:t>
            </w:r>
            <w:r w:rsidR="00562706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A3896F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DC2ECE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FC799D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259D111E" w14:textId="77777777" w:rsidTr="0004127F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47BA0866" w14:textId="5BD9A91F" w:rsidR="0056270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s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hare insights, background, discission notes, listening reports </w:t>
            </w:r>
            <w:r w:rsidR="00465729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from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previous phases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E0FBC2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271EFD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DC9DC3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10E134C7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2E13836F" w14:textId="46F0917E" w:rsidR="0056270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f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acilitate collaborative activities that generate discussion, </w:t>
            </w:r>
            <w:proofErr w:type="gramStart"/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ideas</w:t>
            </w:r>
            <w:proofErr w:type="gramEnd"/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and ways to deliver services to meet identified needs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60634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48D14F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92840F" w14:textId="77777777" w:rsidR="00562706" w:rsidRDefault="00562706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562706" w14:paraId="11CA5BD2" w14:textId="77777777" w:rsidTr="0004127F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2D8904F2" w14:textId="073CDAF6" w:rsidR="00562706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report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what has been heard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8F8BAE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EE9543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0F957" w14:textId="77777777" w:rsidR="00562706" w:rsidRDefault="00562706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26345A" w14:paraId="2E955B39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6F59EA5B" w14:textId="1C2CCBD9" w:rsidR="0026345A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e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valuate participant experience after each activity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0A8C8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7E715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C8F614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65729" w14:paraId="21574C49" w14:textId="77777777" w:rsidTr="0004127F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26D2DAA2" w14:textId="0D83EFE8" w:rsidR="00465729" w:rsidRDefault="00465729" w:rsidP="008D1594">
            <w:pPr>
              <w:spacing w:before="120" w:after="120"/>
              <w:rPr>
                <w:rFonts w:ascii="Montserrat Light" w:hAnsi="Montserrat Light" w:cstheme="minorHAnsi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sz w:val="20"/>
                <w:szCs w:val="20"/>
              </w:rPr>
              <w:t xml:space="preserve">We have designed the service with people with lived experience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1A486E" w14:textId="77777777" w:rsidR="00465729" w:rsidRDefault="00465729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5953B1" w14:textId="77777777" w:rsidR="00465729" w:rsidRDefault="00465729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EC7BD5" w14:textId="77777777" w:rsidR="00465729" w:rsidRDefault="00465729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65729" w14:paraId="4DF49E9C" w14:textId="77777777" w:rsidTr="0004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4BAE17A1" w14:textId="0ABB5165" w:rsidR="00465729" w:rsidRDefault="00465729" w:rsidP="008D1594">
            <w:pPr>
              <w:spacing w:before="120" w:after="120"/>
              <w:rPr>
                <w:rFonts w:ascii="Montserrat Light" w:hAnsi="Montserrat Light" w:cstheme="minorHAnsi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sz w:val="20"/>
                <w:szCs w:val="20"/>
              </w:rPr>
              <w:t xml:space="preserve">We have designed the service with insights from people with lived experience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CD6A28" w14:textId="77777777" w:rsidR="00465729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6E653D" w14:textId="77777777" w:rsidR="00465729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E8D6F" w14:textId="77777777" w:rsidR="00465729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9FE9FC2" w14:textId="77777777" w:rsidR="00465729" w:rsidRDefault="00465729">
      <w:pPr>
        <w:rPr>
          <w:rFonts w:ascii="Montserrat Medium" w:eastAsiaTheme="majorEastAsia" w:hAnsi="Montserrat Medium" w:cstheme="majorBidi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br w:type="page"/>
      </w:r>
    </w:p>
    <w:p w14:paraId="07E2F937" w14:textId="34B90B98" w:rsidR="0004127F" w:rsidRPr="00530586" w:rsidRDefault="00C2627A" w:rsidP="00C2627A">
      <w:pPr>
        <w:pStyle w:val="Heading1"/>
        <w:numPr>
          <w:ilvl w:val="0"/>
          <w:numId w:val="24"/>
        </w:numPr>
        <w:ind w:right="-355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lastRenderedPageBreak/>
        <w:t>Invest</w:t>
      </w:r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64"/>
        <w:gridCol w:w="759"/>
        <w:gridCol w:w="1098"/>
        <w:gridCol w:w="630"/>
      </w:tblGrid>
      <w:tr w:rsidR="0004127F" w14:paraId="2F9F13ED" w14:textId="77777777" w:rsidTr="005C4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97F7059" w14:textId="77777777" w:rsidR="0004127F" w:rsidRDefault="0004127F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59" w:type="dxa"/>
          </w:tcPr>
          <w:p w14:paraId="1905D71C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1019F94F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4F7DFEA6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04127F" w14:paraId="5F45428F" w14:textId="77777777" w:rsidTr="005C4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right w:val="single" w:sz="4" w:space="0" w:color="BFBFBF" w:themeColor="background1" w:themeShade="BF"/>
            </w:tcBorders>
          </w:tcPr>
          <w:p w14:paraId="04CC3AFA" w14:textId="4EE7CB68" w:rsidR="0004127F" w:rsidRPr="00530586" w:rsidRDefault="006E06DD" w:rsidP="0004127F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u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se the service specifications and outcomes framework developed during design to clarify what services need investment for which outcomes. </w:t>
            </w:r>
            <w:r w:rsidR="0004127F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7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FF2E10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96D9DB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306951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04127F" w14:paraId="47E942A2" w14:textId="77777777" w:rsidTr="005C4F67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right w:val="single" w:sz="4" w:space="0" w:color="BFBFBF" w:themeColor="background1" w:themeShade="BF"/>
            </w:tcBorders>
          </w:tcPr>
          <w:p w14:paraId="7F1744A2" w14:textId="69789C8E" w:rsidR="0004127F" w:rsidRPr="00530586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r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eassess the market – who can provide services to the specifications developed?</w:t>
            </w:r>
            <w:r w:rsidR="0004127F" w:rsidRPr="00530586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0EF24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D30E52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93C41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04127F" w14:paraId="0357BE61" w14:textId="77777777" w:rsidTr="005C4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right w:val="single" w:sz="4" w:space="0" w:color="BFBFBF" w:themeColor="background1" w:themeShade="BF"/>
            </w:tcBorders>
          </w:tcPr>
          <w:p w14:paraId="5AAE2375" w14:textId="02837ABB" w:rsidR="0004127F" w:rsidRPr="00530586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r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eassess the market – could there be service transitions that we need to plan for?</w:t>
            </w:r>
          </w:p>
        </w:tc>
        <w:tc>
          <w:tcPr>
            <w:tcW w:w="7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931AD7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79940E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31B0C7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26345A" w14:paraId="61CD4719" w14:textId="77777777" w:rsidTr="005C4F67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right w:val="single" w:sz="4" w:space="0" w:color="BFBFBF" w:themeColor="background1" w:themeShade="BF"/>
            </w:tcBorders>
          </w:tcPr>
          <w:p w14:paraId="03223158" w14:textId="70A4B225" w:rsidR="0026345A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s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elect appropriate investment method(s)</w:t>
            </w:r>
          </w:p>
        </w:tc>
        <w:tc>
          <w:tcPr>
            <w:tcW w:w="7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CBA4FB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850AE1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F0E1C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26345A" w14:paraId="34DDF757" w14:textId="77777777" w:rsidTr="005C4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right w:val="single" w:sz="4" w:space="0" w:color="BFBFBF" w:themeColor="background1" w:themeShade="BF"/>
            </w:tcBorders>
          </w:tcPr>
          <w:p w14:paraId="6C040478" w14:textId="4CBD6FD4" w:rsidR="0026345A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p</w:t>
            </w:r>
            <w:r w:rsidR="0026345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ublish approach to the market or a sounding paper that indicated investment intentions </w:t>
            </w:r>
          </w:p>
        </w:tc>
        <w:tc>
          <w:tcPr>
            <w:tcW w:w="7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2C56FE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124196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6B064F" w14:textId="77777777" w:rsidR="0026345A" w:rsidRDefault="0026345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26345A" w14:paraId="119B9254" w14:textId="77777777" w:rsidTr="005C4F67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right w:val="single" w:sz="4" w:space="0" w:color="BFBFBF" w:themeColor="background1" w:themeShade="BF"/>
            </w:tcBorders>
          </w:tcPr>
          <w:p w14:paraId="2637B4AB" w14:textId="67D900A3" w:rsidR="0026345A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n</w:t>
            </w:r>
            <w:r w:rsidR="00A35CD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egotiate procurement arrangements with preferred providers and potential partners </w:t>
            </w:r>
          </w:p>
        </w:tc>
        <w:tc>
          <w:tcPr>
            <w:tcW w:w="7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AC0BD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60EA7B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01FA9" w14:textId="77777777" w:rsidR="0026345A" w:rsidRDefault="0026345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3B5FB9F3" w14:textId="77777777" w:rsidTr="005C4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right w:val="single" w:sz="4" w:space="0" w:color="BFBFBF" w:themeColor="background1" w:themeShade="BF"/>
            </w:tcBorders>
          </w:tcPr>
          <w:p w14:paraId="73391CDC" w14:textId="6E192A03" w:rsidR="00A35CDA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f</w:t>
            </w:r>
            <w:r w:rsidR="00A35CD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inalise agreement(s)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with outcomes </w:t>
            </w:r>
          </w:p>
        </w:tc>
        <w:tc>
          <w:tcPr>
            <w:tcW w:w="7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151848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5185CE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70F38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B606CDB" w14:textId="13B27F9F" w:rsidR="0004127F" w:rsidRDefault="0004127F" w:rsidP="0056270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</w:p>
    <w:p w14:paraId="65D19ADC" w14:textId="55CCA835" w:rsidR="0004127F" w:rsidRPr="00530586" w:rsidRDefault="00C2627A" w:rsidP="00C2627A">
      <w:pPr>
        <w:pStyle w:val="Heading1"/>
        <w:numPr>
          <w:ilvl w:val="0"/>
          <w:numId w:val="24"/>
        </w:numPr>
        <w:ind w:right="-355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>Deliver</w:t>
      </w:r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50"/>
        <w:gridCol w:w="773"/>
        <w:gridCol w:w="1098"/>
        <w:gridCol w:w="630"/>
      </w:tblGrid>
      <w:tr w:rsidR="0004127F" w14:paraId="43F45ACD" w14:textId="77777777" w:rsidTr="008D1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</w:tcPr>
          <w:p w14:paraId="352EE747" w14:textId="77777777" w:rsidR="0004127F" w:rsidRDefault="0004127F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636B6436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29F04828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020CE686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04127F" w14:paraId="6A4D7A7B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104C4631" w14:textId="746B3FCC" w:rsidR="0004127F" w:rsidRPr="00530586" w:rsidRDefault="006E06DD" w:rsidP="0004127F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e</w:t>
            </w:r>
            <w:r w:rsidR="00A35CD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stablish our partnership arrangements </w:t>
            </w:r>
            <w:r w:rsidR="0004127F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D7681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280F40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DDE2AA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04127F" w14:paraId="1F39BB8F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3960C203" w14:textId="1C1C9E17" w:rsidR="0004127F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Our arrangement ensures service outcomes are met and evidenced with data </w:t>
            </w:r>
            <w:r w:rsidR="0004127F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</w:t>
            </w:r>
            <w:r w:rsidR="0004127F" w:rsidRPr="00530586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FFB432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B0CA77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540B13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04127F" w14:paraId="3DC546A6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04DD26C2" w14:textId="0F4305F5" w:rsidR="0004127F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Our arrangement ensures voices of people with lived experience continuously inform service delivery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2490BB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D12EE0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001228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0AA305B5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1D21D63F" w14:textId="30D29C51" w:rsidR="00A35CD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Our arrangement maintains dialogue that meets the needs of commissioner and service provider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4E4B0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65F773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D2C382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484975DD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02D06CA6" w14:textId="74984119" w:rsidR="00A35CD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Our arrangement promotes open, transparent conversations regarding risk, challenges, and opportunities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E4D6D4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12312D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F551A1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77D982B7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2469D8FE" w14:textId="663B7E9A" w:rsidR="00A35CD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Our arrangement enables flexible service delivery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B64053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CE5E88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0D71F5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71A64333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503983BB" w14:textId="53EC25D2" w:rsidR="00A35CD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can demonstrate impact through outcomes reporting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7F8AA1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61955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36995C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286B94EB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3071271D" w14:textId="49DD02DB" w:rsidR="00A35CD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are delivering in partnership to meet the needs of the community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F6611F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F8CE16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06E427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1D6BB06" w14:textId="73D8BBB7" w:rsidR="0004127F" w:rsidRDefault="0004127F" w:rsidP="0056270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</w:p>
    <w:p w14:paraId="720A3D7F" w14:textId="299E371C" w:rsidR="0004127F" w:rsidRPr="00530586" w:rsidRDefault="00C2627A" w:rsidP="00C2627A">
      <w:pPr>
        <w:pStyle w:val="Heading1"/>
        <w:numPr>
          <w:ilvl w:val="0"/>
          <w:numId w:val="24"/>
        </w:numPr>
        <w:ind w:right="-355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 xml:space="preserve">Integrate </w:t>
      </w:r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50"/>
        <w:gridCol w:w="773"/>
        <w:gridCol w:w="1098"/>
        <w:gridCol w:w="630"/>
      </w:tblGrid>
      <w:tr w:rsidR="0004127F" w14:paraId="016DE5A4" w14:textId="77777777" w:rsidTr="008D1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</w:tcPr>
          <w:p w14:paraId="0DE619E4" w14:textId="77777777" w:rsidR="0004127F" w:rsidRDefault="0004127F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4F7BF0E8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60D5CD25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052BEE9E" w14:textId="77777777" w:rsidR="0004127F" w:rsidRPr="00530586" w:rsidRDefault="0004127F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04127F" w14:paraId="5325921C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00F6791" w14:textId="5F20D9D4" w:rsidR="0004127F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have packaged up and socialised everything we have learnt for other commissioners and other commissioning cycles</w:t>
            </w:r>
            <w:r w:rsidR="0004127F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 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51F37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8B3175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F54359" w14:textId="77777777" w:rsidR="0004127F" w:rsidRDefault="0004127F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04127F" w14:paraId="3C9E50D2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636321C6" w14:textId="0E602677" w:rsidR="0004127F" w:rsidRPr="00530586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We have undertaken a lesson learnt assessment against the shared principles </w:t>
            </w:r>
            <w:r w:rsidR="0004127F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</w:t>
            </w:r>
            <w:r w:rsidR="0004127F" w:rsidRPr="00530586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38E75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4CFD11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9531A4" w14:textId="77777777" w:rsidR="0004127F" w:rsidRDefault="0004127F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29E9D244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30F0704" w14:textId="6493F6C7" w:rsidR="00A35CD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We have prepared a case study to share the story of how we commissioned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8D2C9A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F4C512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39150F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09A4B8BE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3E4C3CF1" w14:textId="04D4F3EA" w:rsidR="00A35CD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We connect with other related cycles and share insights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CACDCF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63306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04930" w14:textId="77777777" w:rsidR="00A35CDA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68FCF9A4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A41A394" w14:textId="4249238F" w:rsidR="00A35CDA" w:rsidRDefault="00A35CDA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We prepare for future cycles by developing the next commissioning cycle intentions document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2D657E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9B6F03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FE9091" w14:textId="77777777" w:rsidR="00A35CDA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CA6474D" w14:textId="671F513A" w:rsidR="0004127F" w:rsidRDefault="0004127F" w:rsidP="0056270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</w:p>
    <w:p w14:paraId="3F4E47BD" w14:textId="77777777" w:rsidR="006E06DD" w:rsidRDefault="006E06DD">
      <w:pPr>
        <w:rPr>
          <w:rFonts w:ascii="Montserrat Medium" w:eastAsiaTheme="majorEastAsia" w:hAnsi="Montserrat Medium" w:cstheme="majorBidi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br w:type="page"/>
      </w:r>
    </w:p>
    <w:p w14:paraId="20F3EE24" w14:textId="77777777" w:rsidR="005C4F67" w:rsidRDefault="005C4F67" w:rsidP="00A35CDA">
      <w:pPr>
        <w:pStyle w:val="Heading1"/>
        <w:ind w:right="-355"/>
        <w:rPr>
          <w:rFonts w:ascii="Montserrat Medium" w:hAnsi="Montserrat Medium"/>
          <w:color w:val="7030A0"/>
          <w:sz w:val="24"/>
          <w:szCs w:val="24"/>
        </w:rPr>
      </w:pPr>
    </w:p>
    <w:p w14:paraId="1007667A" w14:textId="6D6042EA" w:rsidR="00A35CDA" w:rsidRPr="00530586" w:rsidRDefault="006E06DD" w:rsidP="00A35CDA">
      <w:pPr>
        <w:pStyle w:val="Heading1"/>
        <w:ind w:right="-355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 xml:space="preserve">How well are we delivering commissioning against the shared principles? </w:t>
      </w:r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50"/>
        <w:gridCol w:w="773"/>
        <w:gridCol w:w="1098"/>
        <w:gridCol w:w="630"/>
      </w:tblGrid>
      <w:tr w:rsidR="00A35CDA" w14:paraId="7BC70145" w14:textId="77777777" w:rsidTr="008D1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</w:tcPr>
          <w:p w14:paraId="06F3145D" w14:textId="77777777" w:rsidR="00A35CDA" w:rsidRDefault="00A35CDA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3660F68C" w14:textId="77777777" w:rsidR="00A35CDA" w:rsidRPr="00530586" w:rsidRDefault="00A35CD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40DF2CA1" w14:textId="77777777" w:rsidR="00A35CDA" w:rsidRPr="00530586" w:rsidRDefault="00A35CD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4CBFF92D" w14:textId="77777777" w:rsidR="00A35CDA" w:rsidRPr="00530586" w:rsidRDefault="00A35CD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A35CDA" w14:paraId="54BB2C85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562BF53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Purpose driven </w:t>
            </w:r>
          </w:p>
          <w:p w14:paraId="1C88B0AD" w14:textId="6852D1EB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are guided by shared outcomes, with a focus on problem solving and solutions, ensuring this work provides value to all stakeholders.</w:t>
            </w:r>
            <w:r w:rsidR="00A35CDA"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E9305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8B0D2B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85091B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76C4E158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050858CC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Relationship focused </w:t>
            </w:r>
          </w:p>
          <w:p w14:paraId="2BA7D0BF" w14:textId="04D19D90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 xml:space="preserve">We have </w:t>
            </w:r>
            <w:r w:rsidRPr="005C4F67">
              <w:rPr>
                <w:rFonts w:ascii="Montserrat Light" w:hAnsi="Montserrat Light"/>
                <w:b w:val="0"/>
                <w:bCs w:val="0"/>
                <w:i/>
                <w:iCs/>
                <w:color w:val="44546A" w:themeColor="text2"/>
                <w:sz w:val="18"/>
                <w:szCs w:val="18"/>
              </w:rPr>
              <w:t>just</w:t>
            </w: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 xml:space="preserve"> relationships which are based on commitments to respect, trust, care, concern, and dignity.</w:t>
            </w:r>
            <w:r w:rsidR="00A35CDA"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FFEE7A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6C95E9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BFF271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0FAA9D8B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67DC6326" w14:textId="77777777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Recognise complexity </w:t>
            </w:r>
          </w:p>
          <w:p w14:paraId="7A05D664" w14:textId="658B73BD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develop understanding and solutions that respond to the dynamic and interconnected nature of complex problems and systems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FEAA0C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CE619A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834994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7423056E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5030AF34" w14:textId="77777777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Inclusive collaboration </w:t>
            </w:r>
          </w:p>
          <w:p w14:paraId="1F6A8AC1" w14:textId="6EA1C79B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effectively engage diverse participants in genuinely inclusive processes.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9DCDD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7AE073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0197A2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48175799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1B64E7A9" w14:textId="77777777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Communicative and transparent </w:t>
            </w:r>
          </w:p>
          <w:p w14:paraId="7E943628" w14:textId="3923019E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engage in real dialogue. Our communication is grounded in genuinely listening and responding to the voices of all stakeholders.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E9DA3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2287E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783F0B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E06DD" w14:paraId="0C138EB5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02B6D672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Deliberative </w:t>
            </w:r>
          </w:p>
          <w:p w14:paraId="7D51EC8B" w14:textId="3678FBA9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move away from traditional power imbalances toward shared decision-making processes informed by evidence, as well as other Territory strategies and plans.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EC8FCD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557653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9399A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E06DD" w14:paraId="08A5196A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567A8DB" w14:textId="72D7FC19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Contextual and flexible </w:t>
            </w:r>
          </w:p>
          <w:p w14:paraId="59A53A29" w14:textId="4703A846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There is no single way to go about commissioning. Each interaction will respond to complexity, cultural practices, safety, context, and the breadth of issues at hand.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B5147B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DF8780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5E2B05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E06DD" w14:paraId="6C9EAC75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4FA1DC9A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Value time and resources</w:t>
            </w:r>
          </w:p>
          <w:p w14:paraId="6F89CC8C" w14:textId="06B2AF83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are respectful of competing priorities and the need to use time and resources wisely.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79103F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0FE42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6D463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E06DD" w14:paraId="2A9429AC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5D635478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Shared commitment </w:t>
            </w:r>
          </w:p>
          <w:p w14:paraId="453215E2" w14:textId="46AC59F5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commit to meaningful change and learning through experience.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E683A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14CD7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DB0CB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3D5BC71" w14:textId="1A458FD2" w:rsidR="00A63B87" w:rsidRDefault="00A63B87" w:rsidP="0056270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</w:p>
    <w:p w14:paraId="376E785B" w14:textId="79754356" w:rsidR="00465729" w:rsidRPr="00530586" w:rsidRDefault="00465729" w:rsidP="00465729">
      <w:pPr>
        <w:pStyle w:val="Heading1"/>
        <w:ind w:right="-355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 xml:space="preserve">Lived experience </w:t>
      </w:r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50"/>
        <w:gridCol w:w="773"/>
        <w:gridCol w:w="1098"/>
        <w:gridCol w:w="630"/>
      </w:tblGrid>
      <w:tr w:rsidR="00465729" w14:paraId="46C1FC72" w14:textId="77777777" w:rsidTr="008D1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</w:tcPr>
          <w:p w14:paraId="240C071D" w14:textId="77777777" w:rsidR="00465729" w:rsidRDefault="00465729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7C79A505" w14:textId="77777777" w:rsidR="00465729" w:rsidRPr="00530586" w:rsidRDefault="00465729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61BCA793" w14:textId="77777777" w:rsidR="00465729" w:rsidRPr="00530586" w:rsidRDefault="00465729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1D75AEDC" w14:textId="77777777" w:rsidR="00465729" w:rsidRPr="00530586" w:rsidRDefault="00465729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465729" w14:paraId="0E25E2F8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31DC267E" w14:textId="34F4F2E3" w:rsidR="00465729" w:rsidRPr="005C4F67" w:rsidRDefault="00465729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We have used the commissioning with lived experience checklist and resource to ensure our commissioning cycle is informed by people with lived experience </w:t>
            </w: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BD6BCA" w14:textId="77777777" w:rsidR="00465729" w:rsidRPr="005C4F67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D112E" w14:textId="77777777" w:rsidR="00465729" w:rsidRPr="005C4F67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E8E1A8" w14:textId="77777777" w:rsidR="00465729" w:rsidRPr="005C4F67" w:rsidRDefault="00465729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9E37037" w14:textId="2A23D181" w:rsidR="002A3123" w:rsidRDefault="002A3123" w:rsidP="0056270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</w:p>
    <w:p w14:paraId="3B28F929" w14:textId="192F80D9" w:rsidR="002A3123" w:rsidRPr="002A3123" w:rsidRDefault="002A3123" w:rsidP="002A3123">
      <w:pPr>
        <w:jc w:val="right"/>
        <w:rPr>
          <w:rFonts w:ascii="Montserrat Light" w:hAnsi="Montserrat Light" w:cstheme="minorHAnsi"/>
          <w:i/>
          <w:iCs/>
          <w:color w:val="808080" w:themeColor="background1" w:themeShade="80"/>
          <w:sz w:val="16"/>
          <w:szCs w:val="16"/>
        </w:rPr>
      </w:pPr>
      <w:r w:rsidRPr="002A3123">
        <w:rPr>
          <w:rFonts w:ascii="Montserrat Light" w:hAnsi="Montserrat Light" w:cstheme="minorHAnsi"/>
          <w:i/>
          <w:iCs/>
          <w:color w:val="808080" w:themeColor="background1" w:themeShade="80"/>
          <w:sz w:val="16"/>
          <w:szCs w:val="16"/>
        </w:rPr>
        <w:t>Version 2022/01</w:t>
      </w:r>
    </w:p>
    <w:sectPr w:rsidR="002A3123" w:rsidRPr="002A3123" w:rsidSect="0004127F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4E93" w14:textId="77777777" w:rsidR="005735A2" w:rsidRDefault="005735A2" w:rsidP="005735A2">
      <w:pPr>
        <w:spacing w:after="0" w:line="240" w:lineRule="auto"/>
      </w:pPr>
      <w:r>
        <w:separator/>
      </w:r>
    </w:p>
  </w:endnote>
  <w:endnote w:type="continuationSeparator" w:id="0">
    <w:p w14:paraId="2FE2C7F6" w14:textId="77777777" w:rsidR="005735A2" w:rsidRDefault="005735A2" w:rsidP="0057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742E" w14:textId="77777777" w:rsidR="005735A2" w:rsidRDefault="005735A2" w:rsidP="005735A2">
      <w:pPr>
        <w:spacing w:after="0" w:line="240" w:lineRule="auto"/>
      </w:pPr>
      <w:r>
        <w:separator/>
      </w:r>
    </w:p>
  </w:footnote>
  <w:footnote w:type="continuationSeparator" w:id="0">
    <w:p w14:paraId="12F0D51D" w14:textId="77777777" w:rsidR="005735A2" w:rsidRDefault="005735A2" w:rsidP="0057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423"/>
    <w:multiLevelType w:val="hybridMultilevel"/>
    <w:tmpl w:val="F17CE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84345"/>
    <w:multiLevelType w:val="hybridMultilevel"/>
    <w:tmpl w:val="CEC882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E14DE"/>
    <w:multiLevelType w:val="hybridMultilevel"/>
    <w:tmpl w:val="6BDE7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693"/>
    <w:multiLevelType w:val="multilevel"/>
    <w:tmpl w:val="D31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76CC3"/>
    <w:multiLevelType w:val="hybridMultilevel"/>
    <w:tmpl w:val="6CD808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1C1D62"/>
    <w:multiLevelType w:val="hybridMultilevel"/>
    <w:tmpl w:val="E3665832"/>
    <w:lvl w:ilvl="0" w:tplc="BD2A7B7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E55AD"/>
    <w:multiLevelType w:val="hybridMultilevel"/>
    <w:tmpl w:val="295E64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7301B7"/>
    <w:multiLevelType w:val="hybridMultilevel"/>
    <w:tmpl w:val="E38E7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E72"/>
    <w:multiLevelType w:val="hybridMultilevel"/>
    <w:tmpl w:val="83EA0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D4889"/>
    <w:multiLevelType w:val="hybridMultilevel"/>
    <w:tmpl w:val="74DE0398"/>
    <w:lvl w:ilvl="0" w:tplc="49E8E1F0">
      <w:numFmt w:val="bullet"/>
      <w:lvlText w:val="•"/>
      <w:lvlJc w:val="left"/>
      <w:pPr>
        <w:ind w:left="108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AC0"/>
    <w:multiLevelType w:val="hybridMultilevel"/>
    <w:tmpl w:val="54DA80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06D3ED9"/>
    <w:multiLevelType w:val="hybridMultilevel"/>
    <w:tmpl w:val="8996E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0AC3"/>
    <w:multiLevelType w:val="hybridMultilevel"/>
    <w:tmpl w:val="54DA80AE"/>
    <w:lvl w:ilvl="0" w:tplc="F1002C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3B4666"/>
    <w:multiLevelType w:val="hybridMultilevel"/>
    <w:tmpl w:val="EDDC9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4887"/>
    <w:multiLevelType w:val="hybridMultilevel"/>
    <w:tmpl w:val="608E9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A69E0"/>
    <w:multiLevelType w:val="hybridMultilevel"/>
    <w:tmpl w:val="E0BC0C0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CD514D"/>
    <w:multiLevelType w:val="hybridMultilevel"/>
    <w:tmpl w:val="6A6876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1A5D82"/>
    <w:multiLevelType w:val="hybridMultilevel"/>
    <w:tmpl w:val="946ECCE4"/>
    <w:lvl w:ilvl="0" w:tplc="39C225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FB79FF"/>
    <w:multiLevelType w:val="hybridMultilevel"/>
    <w:tmpl w:val="69E84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E094C"/>
    <w:multiLevelType w:val="hybridMultilevel"/>
    <w:tmpl w:val="D59699C6"/>
    <w:lvl w:ilvl="0" w:tplc="49E8E1F0">
      <w:numFmt w:val="bullet"/>
      <w:lvlText w:val="•"/>
      <w:lvlJc w:val="left"/>
      <w:pPr>
        <w:ind w:left="144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5A3D98"/>
    <w:multiLevelType w:val="hybridMultilevel"/>
    <w:tmpl w:val="564070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B0394F"/>
    <w:multiLevelType w:val="hybridMultilevel"/>
    <w:tmpl w:val="BC688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F77AF9"/>
    <w:multiLevelType w:val="hybridMultilevel"/>
    <w:tmpl w:val="034E4AB8"/>
    <w:lvl w:ilvl="0" w:tplc="49E8E1F0">
      <w:numFmt w:val="bullet"/>
      <w:lvlText w:val="•"/>
      <w:lvlJc w:val="left"/>
      <w:pPr>
        <w:ind w:left="108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B1224"/>
    <w:multiLevelType w:val="hybridMultilevel"/>
    <w:tmpl w:val="52E23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12E9D"/>
    <w:multiLevelType w:val="hybridMultilevel"/>
    <w:tmpl w:val="0B82E1D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334393">
    <w:abstractNumId w:val="11"/>
  </w:num>
  <w:num w:numId="2" w16cid:durableId="432825637">
    <w:abstractNumId w:val="14"/>
  </w:num>
  <w:num w:numId="3" w16cid:durableId="479154256">
    <w:abstractNumId w:val="17"/>
  </w:num>
  <w:num w:numId="4" w16cid:durableId="768426983">
    <w:abstractNumId w:val="7"/>
  </w:num>
  <w:num w:numId="5" w16cid:durableId="68578532">
    <w:abstractNumId w:val="21"/>
  </w:num>
  <w:num w:numId="6" w16cid:durableId="64231526">
    <w:abstractNumId w:val="8"/>
  </w:num>
  <w:num w:numId="7" w16cid:durableId="1752658870">
    <w:abstractNumId w:val="5"/>
  </w:num>
  <w:num w:numId="8" w16cid:durableId="1977833503">
    <w:abstractNumId w:val="20"/>
  </w:num>
  <w:num w:numId="9" w16cid:durableId="1751192246">
    <w:abstractNumId w:val="0"/>
  </w:num>
  <w:num w:numId="10" w16cid:durableId="1709183859">
    <w:abstractNumId w:val="3"/>
  </w:num>
  <w:num w:numId="11" w16cid:durableId="520751922">
    <w:abstractNumId w:val="2"/>
  </w:num>
  <w:num w:numId="12" w16cid:durableId="1284768172">
    <w:abstractNumId w:val="13"/>
  </w:num>
  <w:num w:numId="13" w16cid:durableId="2121603013">
    <w:abstractNumId w:val="9"/>
  </w:num>
  <w:num w:numId="14" w16cid:durableId="1012144932">
    <w:abstractNumId w:val="22"/>
  </w:num>
  <w:num w:numId="15" w16cid:durableId="663440086">
    <w:abstractNumId w:val="23"/>
  </w:num>
  <w:num w:numId="16" w16cid:durableId="1357275104">
    <w:abstractNumId w:val="19"/>
  </w:num>
  <w:num w:numId="17" w16cid:durableId="1431855064">
    <w:abstractNumId w:val="24"/>
  </w:num>
  <w:num w:numId="18" w16cid:durableId="63912957">
    <w:abstractNumId w:val="6"/>
  </w:num>
  <w:num w:numId="19" w16cid:durableId="994836856">
    <w:abstractNumId w:val="1"/>
  </w:num>
  <w:num w:numId="20" w16cid:durableId="734475575">
    <w:abstractNumId w:val="18"/>
  </w:num>
  <w:num w:numId="21" w16cid:durableId="1014529646">
    <w:abstractNumId w:val="15"/>
  </w:num>
  <w:num w:numId="22" w16cid:durableId="361127419">
    <w:abstractNumId w:val="4"/>
  </w:num>
  <w:num w:numId="23" w16cid:durableId="1683314319">
    <w:abstractNumId w:val="16"/>
  </w:num>
  <w:num w:numId="24" w16cid:durableId="1980727220">
    <w:abstractNumId w:val="12"/>
  </w:num>
  <w:num w:numId="25" w16cid:durableId="1538421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7"/>
    <w:rsid w:val="00001FB9"/>
    <w:rsid w:val="000103FD"/>
    <w:rsid w:val="0004127F"/>
    <w:rsid w:val="00042D5C"/>
    <w:rsid w:val="00055A1B"/>
    <w:rsid w:val="00055E41"/>
    <w:rsid w:val="000563C9"/>
    <w:rsid w:val="000578F3"/>
    <w:rsid w:val="00074996"/>
    <w:rsid w:val="00080AFA"/>
    <w:rsid w:val="000D75A4"/>
    <w:rsid w:val="00125E2B"/>
    <w:rsid w:val="002034E5"/>
    <w:rsid w:val="002107F4"/>
    <w:rsid w:val="00220029"/>
    <w:rsid w:val="00256F2D"/>
    <w:rsid w:val="0026345A"/>
    <w:rsid w:val="00275A05"/>
    <w:rsid w:val="00287465"/>
    <w:rsid w:val="002A3123"/>
    <w:rsid w:val="002D1826"/>
    <w:rsid w:val="002E57F2"/>
    <w:rsid w:val="00301DEA"/>
    <w:rsid w:val="00396450"/>
    <w:rsid w:val="003A0E9D"/>
    <w:rsid w:val="003B164A"/>
    <w:rsid w:val="003B2376"/>
    <w:rsid w:val="004129C1"/>
    <w:rsid w:val="00465729"/>
    <w:rsid w:val="0047358F"/>
    <w:rsid w:val="00490623"/>
    <w:rsid w:val="004A5396"/>
    <w:rsid w:val="004D1759"/>
    <w:rsid w:val="00530586"/>
    <w:rsid w:val="005305EC"/>
    <w:rsid w:val="00531482"/>
    <w:rsid w:val="00562706"/>
    <w:rsid w:val="005735A2"/>
    <w:rsid w:val="005C4F67"/>
    <w:rsid w:val="006255E7"/>
    <w:rsid w:val="0065345A"/>
    <w:rsid w:val="00667783"/>
    <w:rsid w:val="00670E4E"/>
    <w:rsid w:val="00675079"/>
    <w:rsid w:val="00694BD8"/>
    <w:rsid w:val="006950B9"/>
    <w:rsid w:val="006E06DD"/>
    <w:rsid w:val="006E1257"/>
    <w:rsid w:val="006E183A"/>
    <w:rsid w:val="0073299D"/>
    <w:rsid w:val="007615EB"/>
    <w:rsid w:val="00762ED0"/>
    <w:rsid w:val="007A5E7A"/>
    <w:rsid w:val="007B5F50"/>
    <w:rsid w:val="007D78CC"/>
    <w:rsid w:val="00867912"/>
    <w:rsid w:val="008B40D4"/>
    <w:rsid w:val="008C16FF"/>
    <w:rsid w:val="00945C8F"/>
    <w:rsid w:val="00A025CE"/>
    <w:rsid w:val="00A17690"/>
    <w:rsid w:val="00A30C68"/>
    <w:rsid w:val="00A34A3E"/>
    <w:rsid w:val="00A35CDA"/>
    <w:rsid w:val="00A45D4E"/>
    <w:rsid w:val="00A47084"/>
    <w:rsid w:val="00A63B87"/>
    <w:rsid w:val="00A74FEA"/>
    <w:rsid w:val="00A902A4"/>
    <w:rsid w:val="00A9596D"/>
    <w:rsid w:val="00AB4B8A"/>
    <w:rsid w:val="00B04C37"/>
    <w:rsid w:val="00B472A9"/>
    <w:rsid w:val="00B71B5F"/>
    <w:rsid w:val="00BA0540"/>
    <w:rsid w:val="00BE4BBF"/>
    <w:rsid w:val="00C01C21"/>
    <w:rsid w:val="00C1511E"/>
    <w:rsid w:val="00C2627A"/>
    <w:rsid w:val="00C42E93"/>
    <w:rsid w:val="00C57755"/>
    <w:rsid w:val="00C715CD"/>
    <w:rsid w:val="00C83ED9"/>
    <w:rsid w:val="00C9763E"/>
    <w:rsid w:val="00CA19A7"/>
    <w:rsid w:val="00CF55D6"/>
    <w:rsid w:val="00D74FD9"/>
    <w:rsid w:val="00DA0A36"/>
    <w:rsid w:val="00E37168"/>
    <w:rsid w:val="00E446C2"/>
    <w:rsid w:val="00E51D50"/>
    <w:rsid w:val="00E538EB"/>
    <w:rsid w:val="00E93677"/>
    <w:rsid w:val="00E9503D"/>
    <w:rsid w:val="00ED649A"/>
    <w:rsid w:val="00F0299B"/>
    <w:rsid w:val="00F05E70"/>
    <w:rsid w:val="00F23F20"/>
    <w:rsid w:val="00F95301"/>
    <w:rsid w:val="00FA4614"/>
    <w:rsid w:val="00FA62AA"/>
    <w:rsid w:val="00FB52B7"/>
    <w:rsid w:val="00FE0B24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46F1"/>
  <w15:chartTrackingRefBased/>
  <w15:docId w15:val="{255DD7E0-B742-4CE8-BCC2-82D29241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15CD"/>
    <w:pPr>
      <w:ind w:left="720"/>
      <w:contextualSpacing/>
    </w:pPr>
  </w:style>
  <w:style w:type="table" w:styleId="TableGrid">
    <w:name w:val="Table Grid"/>
    <w:basedOn w:val="TableNormal"/>
    <w:uiPriority w:val="39"/>
    <w:rsid w:val="00CF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F5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94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BD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A959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1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D5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5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5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5A2"/>
    <w:rPr>
      <w:vertAlign w:val="superscript"/>
    </w:rPr>
  </w:style>
  <w:style w:type="paragraph" w:styleId="Revision">
    <w:name w:val="Revision"/>
    <w:hidden/>
    <w:uiPriority w:val="99"/>
    <w:semiHidden/>
    <w:rsid w:val="00A30C68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5305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A63B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3B8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49EB-6CE7-4F11-898D-20051003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Catherine</dc:creator>
  <cp:keywords/>
  <dc:description/>
  <cp:lastModifiedBy>Russell, Catherine</cp:lastModifiedBy>
  <cp:revision>11</cp:revision>
  <cp:lastPrinted>2022-08-26T01:00:00Z</cp:lastPrinted>
  <dcterms:created xsi:type="dcterms:W3CDTF">2022-10-19T05:00:00Z</dcterms:created>
  <dcterms:modified xsi:type="dcterms:W3CDTF">2022-12-08T00:27:00Z</dcterms:modified>
</cp:coreProperties>
</file>