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A445" w14:textId="2A5D759B" w:rsidR="000A2FFC" w:rsidRDefault="00E753AA">
      <w:r>
        <w:rPr>
          <w:noProof/>
        </w:rPr>
        <w:drawing>
          <wp:anchor distT="0" distB="0" distL="114300" distR="114300" simplePos="0" relativeHeight="251658247" behindDoc="1" locked="0" layoutInCell="1" allowOverlap="1" wp14:anchorId="679B8729" wp14:editId="587EC880">
            <wp:simplePos x="0" y="0"/>
            <wp:positionH relativeFrom="page">
              <wp:posOffset>-10795</wp:posOffset>
            </wp:positionH>
            <wp:positionV relativeFrom="page">
              <wp:posOffset>-12700</wp:posOffset>
            </wp:positionV>
            <wp:extent cx="7619913" cy="10778490"/>
            <wp:effectExtent l="0" t="0" r="635" b="3810"/>
            <wp:wrapNone/>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flipV="1">
                      <a:off x="0" y="0"/>
                      <a:ext cx="7619913" cy="10778490"/>
                    </a:xfrm>
                    <a:prstGeom prst="rect">
                      <a:avLst/>
                    </a:prstGeom>
                    <a:noFill/>
                  </pic:spPr>
                </pic:pic>
              </a:graphicData>
            </a:graphic>
          </wp:anchor>
        </w:drawing>
      </w:r>
      <w:r w:rsidR="0089332C">
        <w:rPr>
          <w:noProof/>
        </w:rPr>
        <w:drawing>
          <wp:anchor distT="0" distB="0" distL="114300" distR="114300" simplePos="0" relativeHeight="251658243" behindDoc="0" locked="0" layoutInCell="1" allowOverlap="1" wp14:anchorId="2C090F3D" wp14:editId="0CEFF7FE">
            <wp:simplePos x="0" y="0"/>
            <wp:positionH relativeFrom="margin">
              <wp:posOffset>0</wp:posOffset>
            </wp:positionH>
            <wp:positionV relativeFrom="page">
              <wp:posOffset>1440180</wp:posOffset>
            </wp:positionV>
            <wp:extent cx="1413510" cy="723265"/>
            <wp:effectExtent l="19050" t="0" r="0" b="0"/>
            <wp:wrapSquare wrapText="bothSides"/>
            <wp:docPr id="7" name="Picture 4"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CT Government"/>
                    <pic:cNvPicPr>
                      <a:picLocks noChangeAspect="1" noChangeArrowheads="1"/>
                    </pic:cNvPicPr>
                  </pic:nvPicPr>
                  <pic:blipFill>
                    <a:blip r:embed="rId12" cstate="print"/>
                    <a:srcRect/>
                    <a:stretch>
                      <a:fillRect/>
                    </a:stretch>
                  </pic:blipFill>
                  <pic:spPr bwMode="auto">
                    <a:xfrm>
                      <a:off x="0" y="0"/>
                      <a:ext cx="1413510" cy="723265"/>
                    </a:xfrm>
                    <a:prstGeom prst="rect">
                      <a:avLst/>
                    </a:prstGeom>
                    <a:noFill/>
                  </pic:spPr>
                </pic:pic>
              </a:graphicData>
            </a:graphic>
          </wp:anchor>
        </w:drawing>
      </w:r>
    </w:p>
    <w:sdt>
      <w:sdtPr>
        <w:id w:val="440470352"/>
        <w:docPartObj>
          <w:docPartGallery w:val="Cover Pages"/>
          <w:docPartUnique/>
        </w:docPartObj>
      </w:sdtPr>
      <w:sdtEndPr>
        <w:rPr>
          <w:rFonts w:asciiTheme="majorHAnsi" w:eastAsia="Times New Roman" w:hAnsiTheme="majorHAnsi"/>
          <w:caps/>
          <w:noProof/>
          <w:color w:val="482D8C" w:themeColor="background2"/>
          <w:sz w:val="36"/>
          <w:szCs w:val="40"/>
        </w:rPr>
      </w:sdtEndPr>
      <w:sdtContent>
        <w:p w14:paraId="3DC5E6D9" w14:textId="3AB5731A" w:rsidR="00F875BD" w:rsidRDefault="00F875BD"/>
        <w:p w14:paraId="6C35EF5E" w14:textId="650C1758" w:rsidR="00F875BD" w:rsidRDefault="00741169">
          <w:pPr>
            <w:spacing w:line="276" w:lineRule="auto"/>
            <w:rPr>
              <w:rFonts w:asciiTheme="majorHAnsi" w:eastAsia="Times New Roman" w:hAnsiTheme="majorHAnsi"/>
              <w:caps/>
              <w:noProof/>
              <w:color w:val="482D8C" w:themeColor="background2"/>
              <w:sz w:val="36"/>
              <w:szCs w:val="40"/>
            </w:rPr>
          </w:pPr>
          <w:r>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58244" behindDoc="0" locked="0" layoutInCell="1" allowOverlap="1" wp14:anchorId="7F7492A0" wp14:editId="38C13C7B">
                    <wp:simplePos x="0" y="0"/>
                    <wp:positionH relativeFrom="margin">
                      <wp:posOffset>-605155</wp:posOffset>
                    </wp:positionH>
                    <wp:positionV relativeFrom="page">
                      <wp:posOffset>3771899</wp:posOffset>
                    </wp:positionV>
                    <wp:extent cx="7200900" cy="4867275"/>
                    <wp:effectExtent l="0" t="0" r="0" b="952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486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639DC" w14:textId="0853A244" w:rsidR="00B728D8" w:rsidRPr="00731AE2" w:rsidRDefault="006649A3" w:rsidP="0089332C">
                                <w:pPr>
                                  <w:pStyle w:val="Title"/>
                                  <w:rPr>
                                    <w:color w:val="FFFFFF"/>
                                  </w:rPr>
                                </w:pPr>
                                <w:r>
                                  <w:rPr>
                                    <w:color w:val="FFFFFF"/>
                                  </w:rPr>
                                  <w:t>community support subsector</w:t>
                                </w:r>
                              </w:p>
                              <w:p w14:paraId="70B6B54A" w14:textId="5ADD5B3C" w:rsidR="00B728D8" w:rsidRDefault="00B728D8" w:rsidP="0089332C">
                                <w:pPr>
                                  <w:pStyle w:val="Subtitle"/>
                                  <w:rPr>
                                    <w:color w:val="FFFFFF"/>
                                  </w:rPr>
                                </w:pPr>
                              </w:p>
                              <w:p w14:paraId="7EDEDD7C" w14:textId="46E3D662" w:rsidR="00B728D8" w:rsidRDefault="00B728D8" w:rsidP="0089332C">
                                <w:pPr>
                                  <w:pStyle w:val="Subtitle"/>
                                  <w:rPr>
                                    <w:color w:val="FFFFFF"/>
                                  </w:rPr>
                                </w:pPr>
                              </w:p>
                              <w:p w14:paraId="2DA43CA7" w14:textId="611EE53E" w:rsidR="00B728D8" w:rsidRDefault="00E84254" w:rsidP="00D329A4">
                                <w:pPr>
                                  <w:pStyle w:val="Subtitle"/>
                                  <w:spacing w:before="240"/>
                                  <w:rPr>
                                    <w:color w:val="FFFFFF"/>
                                  </w:rPr>
                                </w:pPr>
                                <w:r w:rsidRPr="00D329A4">
                                  <w:rPr>
                                    <w:bCs/>
                                    <w:color w:val="FFFFFF" w:themeColor="background1"/>
                                  </w:rPr>
                                  <w:t>ACT Health Directorate</w:t>
                                </w:r>
                                <w:r w:rsidR="0079197F" w:rsidRPr="00D329A4">
                                  <w:rPr>
                                    <w:color w:val="FFFFFF" w:themeColor="background1"/>
                                  </w:rPr>
                                  <w:t xml:space="preserve"> </w:t>
                                </w:r>
                                <w:r w:rsidR="006649A3">
                                  <w:rPr>
                                    <w:color w:val="FFFFFF"/>
                                  </w:rPr>
                                  <w:t>Investment Strategy</w:t>
                                </w:r>
                                <w:r w:rsidR="0079197F">
                                  <w:rPr>
                                    <w:color w:val="FFFFFF"/>
                                  </w:rPr>
                                  <w:t>:</w:t>
                                </w:r>
                              </w:p>
                              <w:p w14:paraId="24B1C406" w14:textId="3184B28B" w:rsidR="0079197F" w:rsidRDefault="0079197F" w:rsidP="00741169">
                                <w:pPr>
                                  <w:pStyle w:val="Subtitle"/>
                                  <w:spacing w:line="240" w:lineRule="auto"/>
                                  <w:rPr>
                                    <w:color w:val="FFFFFF"/>
                                  </w:rPr>
                                </w:pPr>
                                <w:r>
                                  <w:rPr>
                                    <w:color w:val="FFFFFF"/>
                                  </w:rPr>
                                  <w:t>The Temporary Assistance and</w:t>
                                </w:r>
                                <w:r w:rsidR="00741169">
                                  <w:rPr>
                                    <w:color w:val="FFFFFF"/>
                                  </w:rPr>
                                  <w:t xml:space="preserve"> Community</w:t>
                                </w:r>
                                <w:r>
                                  <w:rPr>
                                    <w:color w:val="FFFFFF"/>
                                  </w:rPr>
                                  <w:t xml:space="preserve"> Support</w:t>
                                </w:r>
                                <w:r w:rsidR="00741169">
                                  <w:rPr>
                                    <w:color w:val="FFFFFF"/>
                                  </w:rPr>
                                  <w:t>s</w:t>
                                </w:r>
                                <w:r>
                                  <w:rPr>
                                    <w:color w:val="FFFFFF"/>
                                  </w:rPr>
                                  <w:t xml:space="preserve"> (TACS) program</w:t>
                                </w:r>
                              </w:p>
                              <w:p w14:paraId="10886109" w14:textId="77777777" w:rsidR="00D329A4" w:rsidRDefault="00D329A4" w:rsidP="0089332C">
                                <w:pPr>
                                  <w:pStyle w:val="Subtitle"/>
                                  <w:rPr>
                                    <w:b w:val="0"/>
                                    <w:bCs/>
                                    <w:color w:val="FFFFFF"/>
                                    <w:sz w:val="32"/>
                                    <w:szCs w:val="24"/>
                                  </w:rPr>
                                </w:pPr>
                              </w:p>
                              <w:p w14:paraId="4477FFCC" w14:textId="77777777" w:rsidR="00D329A4" w:rsidRDefault="00D329A4" w:rsidP="0089332C">
                                <w:pPr>
                                  <w:pStyle w:val="Subtitle"/>
                                  <w:rPr>
                                    <w:b w:val="0"/>
                                    <w:bCs/>
                                    <w:color w:val="FFFFFF"/>
                                    <w:sz w:val="32"/>
                                    <w:szCs w:val="24"/>
                                  </w:rPr>
                                </w:pPr>
                              </w:p>
                              <w:p w14:paraId="45E9CCCB" w14:textId="539A43BB" w:rsidR="001025D3" w:rsidRPr="001C38F0" w:rsidRDefault="00396147" w:rsidP="0089332C">
                                <w:pPr>
                                  <w:pStyle w:val="Subtitle"/>
                                  <w:rPr>
                                    <w:b w:val="0"/>
                                    <w:bCs/>
                                    <w:color w:val="FFFFFF" w:themeColor="background1"/>
                                    <w:sz w:val="32"/>
                                    <w:szCs w:val="24"/>
                                  </w:rPr>
                                </w:pPr>
                                <w:r>
                                  <w:rPr>
                                    <w:b w:val="0"/>
                                    <w:bCs/>
                                    <w:color w:val="FFFFFF" w:themeColor="background1"/>
                                    <w:sz w:val="32"/>
                                    <w:szCs w:val="24"/>
                                  </w:rPr>
                                  <w:t>5</w:t>
                                </w:r>
                                <w:r w:rsidR="006649A3" w:rsidRPr="001C38F0">
                                  <w:rPr>
                                    <w:b w:val="0"/>
                                    <w:bCs/>
                                    <w:color w:val="FFFFFF" w:themeColor="background1"/>
                                    <w:sz w:val="32"/>
                                    <w:szCs w:val="24"/>
                                  </w:rPr>
                                  <w:t xml:space="preserve"> </w:t>
                                </w:r>
                                <w:r w:rsidR="008B4BF0" w:rsidRPr="001C38F0">
                                  <w:rPr>
                                    <w:b w:val="0"/>
                                    <w:bCs/>
                                    <w:color w:val="FFFFFF" w:themeColor="background1"/>
                                    <w:sz w:val="32"/>
                                    <w:szCs w:val="24"/>
                                  </w:rPr>
                                  <w:t>December</w:t>
                                </w:r>
                                <w:r w:rsidR="006649A3" w:rsidRPr="001C38F0">
                                  <w:rPr>
                                    <w:b w:val="0"/>
                                    <w:bCs/>
                                    <w:color w:val="FFFFFF" w:themeColor="background1"/>
                                    <w:sz w:val="32"/>
                                    <w:szCs w:val="24"/>
                                  </w:rPr>
                                  <w:t xml:space="preserve"> 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7492A0" id="_x0000_t202" coordsize="21600,21600" o:spt="202" path="m,l,21600r21600,l21600,xe">
                    <v:stroke joinstyle="miter"/>
                    <v:path gradientshapeok="t" o:connecttype="rect"/>
                  </v:shapetype>
                  <v:shape id="Text Box 9" o:spid="_x0000_s1026" type="#_x0000_t202" style="position:absolute;margin-left:-47.65pt;margin-top:297pt;width:567pt;height:383.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" filled="f" stroked="f">
                    <v:textbox>
                      <w:txbxContent>
                        <w:p w14:paraId="751639DC" w14:textId="0853A244" w:rsidR="00B728D8" w:rsidRPr="00731AE2" w:rsidRDefault="006649A3" w:rsidP="0089332C">
                          <w:pPr>
                            <w:pStyle w:val="Title"/>
                            <w:rPr>
                              <w:color w:val="FFFFFF"/>
                            </w:rPr>
                          </w:pPr>
                          <w:r>
                            <w:rPr>
                              <w:color w:val="FFFFFF"/>
                            </w:rPr>
                            <w:t>community support subsector</w:t>
                          </w:r>
                        </w:p>
                        <w:p w14:paraId="70B6B54A" w14:textId="5ADD5B3C" w:rsidR="00B728D8" w:rsidRDefault="00B728D8" w:rsidP="0089332C">
                          <w:pPr>
                            <w:pStyle w:val="Subtitle"/>
                            <w:rPr>
                              <w:color w:val="FFFFFF"/>
                            </w:rPr>
                          </w:pPr>
                        </w:p>
                        <w:p w14:paraId="7EDEDD7C" w14:textId="46E3D662" w:rsidR="00B728D8" w:rsidRDefault="00B728D8" w:rsidP="0089332C">
                          <w:pPr>
                            <w:pStyle w:val="Subtitle"/>
                            <w:rPr>
                              <w:color w:val="FFFFFF"/>
                            </w:rPr>
                          </w:pPr>
                        </w:p>
                        <w:p w14:paraId="2DA43CA7" w14:textId="611EE53E" w:rsidR="00B728D8" w:rsidRDefault="00E84254" w:rsidP="00D329A4">
                          <w:pPr>
                            <w:pStyle w:val="Subtitle"/>
                            <w:spacing w:before="240"/>
                            <w:rPr>
                              <w:color w:val="FFFFFF"/>
                            </w:rPr>
                          </w:pPr>
                          <w:r w:rsidRPr="00D329A4">
                            <w:rPr>
                              <w:bCs/>
                              <w:color w:val="FFFFFF" w:themeColor="background1"/>
                            </w:rPr>
                            <w:t>ACT Health Directorate</w:t>
                          </w:r>
                          <w:r w:rsidR="0079197F" w:rsidRPr="00D329A4">
                            <w:rPr>
                              <w:color w:val="FFFFFF" w:themeColor="background1"/>
                            </w:rPr>
                            <w:t xml:space="preserve"> </w:t>
                          </w:r>
                          <w:r w:rsidR="006649A3">
                            <w:rPr>
                              <w:color w:val="FFFFFF"/>
                            </w:rPr>
                            <w:t>Investment Strategy</w:t>
                          </w:r>
                          <w:r w:rsidR="0079197F">
                            <w:rPr>
                              <w:color w:val="FFFFFF"/>
                            </w:rPr>
                            <w:t>:</w:t>
                          </w:r>
                        </w:p>
                        <w:p w14:paraId="24B1C406" w14:textId="3184B28B" w:rsidR="0079197F" w:rsidRDefault="0079197F" w:rsidP="00741169">
                          <w:pPr>
                            <w:pStyle w:val="Subtitle"/>
                            <w:spacing w:line="240" w:lineRule="auto"/>
                            <w:rPr>
                              <w:color w:val="FFFFFF"/>
                            </w:rPr>
                          </w:pPr>
                          <w:r>
                            <w:rPr>
                              <w:color w:val="FFFFFF"/>
                            </w:rPr>
                            <w:t>The Temporary Assistance and</w:t>
                          </w:r>
                          <w:r w:rsidR="00741169">
                            <w:rPr>
                              <w:color w:val="FFFFFF"/>
                            </w:rPr>
                            <w:t xml:space="preserve"> Community</w:t>
                          </w:r>
                          <w:r>
                            <w:rPr>
                              <w:color w:val="FFFFFF"/>
                            </w:rPr>
                            <w:t xml:space="preserve"> Support</w:t>
                          </w:r>
                          <w:r w:rsidR="00741169">
                            <w:rPr>
                              <w:color w:val="FFFFFF"/>
                            </w:rPr>
                            <w:t>s</w:t>
                          </w:r>
                          <w:r>
                            <w:rPr>
                              <w:color w:val="FFFFFF"/>
                            </w:rPr>
                            <w:t xml:space="preserve"> (TACS) program</w:t>
                          </w:r>
                        </w:p>
                        <w:p w14:paraId="10886109" w14:textId="77777777" w:rsidR="00D329A4" w:rsidRDefault="00D329A4" w:rsidP="0089332C">
                          <w:pPr>
                            <w:pStyle w:val="Subtitle"/>
                            <w:rPr>
                              <w:b w:val="0"/>
                              <w:bCs/>
                              <w:color w:val="FFFFFF"/>
                              <w:sz w:val="32"/>
                              <w:szCs w:val="24"/>
                            </w:rPr>
                          </w:pPr>
                        </w:p>
                        <w:p w14:paraId="4477FFCC" w14:textId="77777777" w:rsidR="00D329A4" w:rsidRDefault="00D329A4" w:rsidP="0089332C">
                          <w:pPr>
                            <w:pStyle w:val="Subtitle"/>
                            <w:rPr>
                              <w:b w:val="0"/>
                              <w:bCs/>
                              <w:color w:val="FFFFFF"/>
                              <w:sz w:val="32"/>
                              <w:szCs w:val="24"/>
                            </w:rPr>
                          </w:pPr>
                        </w:p>
                        <w:p w14:paraId="45E9CCCB" w14:textId="539A43BB" w:rsidR="001025D3" w:rsidRPr="001C38F0" w:rsidRDefault="00396147" w:rsidP="0089332C">
                          <w:pPr>
                            <w:pStyle w:val="Subtitle"/>
                            <w:rPr>
                              <w:b w:val="0"/>
                              <w:bCs/>
                              <w:color w:val="FFFFFF" w:themeColor="background1"/>
                              <w:sz w:val="32"/>
                              <w:szCs w:val="24"/>
                            </w:rPr>
                          </w:pPr>
                          <w:r>
                            <w:rPr>
                              <w:b w:val="0"/>
                              <w:bCs/>
                              <w:color w:val="FFFFFF" w:themeColor="background1"/>
                              <w:sz w:val="32"/>
                              <w:szCs w:val="24"/>
                            </w:rPr>
                            <w:t>5</w:t>
                          </w:r>
                          <w:r w:rsidR="006649A3" w:rsidRPr="001C38F0">
                            <w:rPr>
                              <w:b w:val="0"/>
                              <w:bCs/>
                              <w:color w:val="FFFFFF" w:themeColor="background1"/>
                              <w:sz w:val="32"/>
                              <w:szCs w:val="24"/>
                            </w:rPr>
                            <w:t xml:space="preserve"> </w:t>
                          </w:r>
                          <w:r w:rsidR="008B4BF0" w:rsidRPr="001C38F0">
                            <w:rPr>
                              <w:b w:val="0"/>
                              <w:bCs/>
                              <w:color w:val="FFFFFF" w:themeColor="background1"/>
                              <w:sz w:val="32"/>
                              <w:szCs w:val="24"/>
                            </w:rPr>
                            <w:t>December</w:t>
                          </w:r>
                          <w:r w:rsidR="006649A3" w:rsidRPr="001C38F0">
                            <w:rPr>
                              <w:b w:val="0"/>
                              <w:bCs/>
                              <w:color w:val="FFFFFF" w:themeColor="background1"/>
                              <w:sz w:val="32"/>
                              <w:szCs w:val="24"/>
                            </w:rPr>
                            <w:t xml:space="preserve"> 2022</w:t>
                          </w:r>
                        </w:p>
                      </w:txbxContent>
                    </v:textbox>
                    <w10:wrap anchorx="margin" anchory="page"/>
                  </v:shape>
                </w:pict>
              </mc:Fallback>
            </mc:AlternateContent>
          </w:r>
          <w:r w:rsidR="00D329A4">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58245" behindDoc="0" locked="0" layoutInCell="1" allowOverlap="1" wp14:anchorId="2A0A9D61" wp14:editId="0019B415">
                    <wp:simplePos x="0" y="0"/>
                    <wp:positionH relativeFrom="margin">
                      <wp:posOffset>-641660</wp:posOffset>
                    </wp:positionH>
                    <wp:positionV relativeFrom="page">
                      <wp:posOffset>8509325</wp:posOffset>
                    </wp:positionV>
                    <wp:extent cx="2605405" cy="1985555"/>
                    <wp:effectExtent l="0" t="0" r="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1985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FE183" w14:textId="5FF603D4" w:rsidR="00B728D8" w:rsidRDefault="00B728D8" w:rsidP="0089332C">
                                <w:pPr>
                                  <w:pStyle w:val="Intro"/>
                                  <w:rPr>
                                    <w:color w:val="FFFFFF"/>
                                  </w:rPr>
                                </w:pPr>
                                <w:r w:rsidRPr="000016B9">
                                  <w:rPr>
                                    <w:color w:val="FFFFFF"/>
                                  </w:rPr>
                                  <w:br/>
                                </w:r>
                                <w:r w:rsidR="001025D3">
                                  <w:rPr>
                                    <w:color w:val="FFFFFF"/>
                                  </w:rPr>
                                  <w:t>ACT Commissioning for Outcomes 2022- 2024</w:t>
                                </w:r>
                              </w:p>
                              <w:p w14:paraId="7BFDC729" w14:textId="06F9DD3F" w:rsidR="001654C8" w:rsidRPr="001025D3" w:rsidRDefault="001654C8" w:rsidP="0089332C">
                                <w:pPr>
                                  <w:pStyle w:val="Intro"/>
                                  <w:rPr>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0A9D61" id="Text Box 10" o:spid="_x0000_s1027" type="#_x0000_t202" style="position:absolute;margin-left:-50.5pt;margin-top:670.05pt;width:205.15pt;height:156.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" filled="f" stroked="f">
                    <v:textbox>
                      <w:txbxContent>
                        <w:p w14:paraId="34DFE183" w14:textId="5FF603D4" w:rsidR="00B728D8" w:rsidRDefault="00B728D8" w:rsidP="0089332C">
                          <w:pPr>
                            <w:pStyle w:val="Intro"/>
                            <w:rPr>
                              <w:color w:val="FFFFFF"/>
                            </w:rPr>
                          </w:pPr>
                          <w:r w:rsidRPr="000016B9">
                            <w:rPr>
                              <w:color w:val="FFFFFF"/>
                            </w:rPr>
                            <w:br/>
                          </w:r>
                          <w:r w:rsidR="001025D3">
                            <w:rPr>
                              <w:color w:val="FFFFFF"/>
                            </w:rPr>
                            <w:t>ACT Commissioning for Outcomes 2022- 2024</w:t>
                          </w:r>
                        </w:p>
                        <w:p w14:paraId="7BFDC729" w14:textId="06F9DD3F" w:rsidR="001654C8" w:rsidRPr="001025D3" w:rsidRDefault="001654C8" w:rsidP="0089332C">
                          <w:pPr>
                            <w:pStyle w:val="Intro"/>
                            <w:rPr>
                              <w:color w:val="FFFFFF"/>
                            </w:rPr>
                          </w:pPr>
                        </w:p>
                      </w:txbxContent>
                    </v:textbox>
                    <w10:wrap anchorx="margin" anchory="page"/>
                  </v:shape>
                </w:pict>
              </mc:Fallback>
            </mc:AlternateContent>
          </w:r>
          <w:r w:rsidR="00F875BD">
            <w:rPr>
              <w:rFonts w:asciiTheme="majorHAnsi" w:eastAsia="Times New Roman" w:hAnsiTheme="majorHAnsi"/>
              <w:caps/>
              <w:noProof/>
              <w:color w:val="482D8C" w:themeColor="background2"/>
              <w:sz w:val="36"/>
              <w:szCs w:val="40"/>
            </w:rPr>
            <w:br w:type="page"/>
          </w:r>
        </w:p>
      </w:sdtContent>
    </w:sdt>
    <w:bookmarkStart w:id="0" w:name="_Hlk120842442" w:displacedByCustomXml="next"/>
    <w:sdt>
      <w:sdtPr>
        <w:rPr>
          <w:rFonts w:asciiTheme="minorHAnsi" w:hAnsiTheme="minorHAnsi"/>
          <w:b w:val="0"/>
          <w:bCs w:val="0"/>
          <w:noProof/>
          <w:color w:val="AB4399"/>
          <w:szCs w:val="32"/>
        </w:rPr>
        <w:id w:val="-143432233"/>
        <w:docPartObj>
          <w:docPartGallery w:val="Table of Contents"/>
          <w:docPartUnique/>
        </w:docPartObj>
      </w:sdtPr>
      <w:sdtContent>
        <w:p w14:paraId="7B84DB0D" w14:textId="4DCCE450" w:rsidR="00621988" w:rsidRDefault="00621988">
          <w:pPr>
            <w:pStyle w:val="TOCHeading"/>
          </w:pPr>
          <w:r>
            <w:t>Contents</w:t>
          </w:r>
        </w:p>
        <w:p w14:paraId="26259FB5" w14:textId="13BB6A5D" w:rsidR="007B3F0E" w:rsidRDefault="00621988" w:rsidP="007B3F0E">
          <w:pPr>
            <w:pStyle w:val="TOC1"/>
            <w:rPr>
              <w:rFonts w:eastAsiaTheme="minorEastAsia" w:cstheme="minorBidi"/>
              <w:color w:val="auto"/>
              <w:sz w:val="22"/>
              <w:szCs w:val="22"/>
            </w:rPr>
          </w:pPr>
          <w:r>
            <w:fldChar w:fldCharType="begin"/>
          </w:r>
          <w:r>
            <w:instrText xml:space="preserve"> TOC \o "1-3" \h \z \u </w:instrText>
          </w:r>
          <w:r>
            <w:fldChar w:fldCharType="separate"/>
          </w:r>
          <w:hyperlink w:anchor="_Toc120843529" w:history="1">
            <w:r w:rsidR="007B3F0E" w:rsidRPr="00A44D89">
              <w:rPr>
                <w:rStyle w:val="Hyperlink"/>
              </w:rPr>
              <w:t>Investment Strategy</w:t>
            </w:r>
            <w:r w:rsidR="007B3F0E">
              <w:rPr>
                <w:webHidden/>
              </w:rPr>
              <w:tab/>
            </w:r>
            <w:r w:rsidR="007B3F0E">
              <w:rPr>
                <w:webHidden/>
              </w:rPr>
              <w:fldChar w:fldCharType="begin"/>
            </w:r>
            <w:r w:rsidR="007B3F0E">
              <w:rPr>
                <w:webHidden/>
              </w:rPr>
              <w:instrText xml:space="preserve"> PAGEREF _Toc120843529 \h </w:instrText>
            </w:r>
            <w:r w:rsidR="007B3F0E">
              <w:rPr>
                <w:webHidden/>
              </w:rPr>
            </w:r>
            <w:r w:rsidR="007B3F0E">
              <w:rPr>
                <w:webHidden/>
              </w:rPr>
              <w:fldChar w:fldCharType="separate"/>
            </w:r>
            <w:r w:rsidR="006F0147">
              <w:rPr>
                <w:webHidden/>
              </w:rPr>
              <w:t>3</w:t>
            </w:r>
            <w:r w:rsidR="007B3F0E">
              <w:rPr>
                <w:webHidden/>
              </w:rPr>
              <w:fldChar w:fldCharType="end"/>
            </w:r>
          </w:hyperlink>
        </w:p>
        <w:p w14:paraId="0C6CBC85" w14:textId="6F86AA2E" w:rsidR="007B3F0E" w:rsidRDefault="00000000">
          <w:pPr>
            <w:pStyle w:val="TOC2"/>
            <w:rPr>
              <w:rFonts w:eastAsiaTheme="minorEastAsia" w:cstheme="minorBidi"/>
              <w:color w:val="auto"/>
              <w:sz w:val="22"/>
              <w:szCs w:val="22"/>
            </w:rPr>
          </w:pPr>
          <w:hyperlink w:anchor="_Toc120843530" w:history="1">
            <w:r w:rsidR="007B3F0E" w:rsidRPr="00A44D89">
              <w:rPr>
                <w:rStyle w:val="Hyperlink"/>
              </w:rPr>
              <w:t>Introduction</w:t>
            </w:r>
            <w:r w:rsidR="007B3F0E">
              <w:rPr>
                <w:webHidden/>
              </w:rPr>
              <w:tab/>
            </w:r>
            <w:r w:rsidR="007B3F0E">
              <w:rPr>
                <w:webHidden/>
              </w:rPr>
              <w:fldChar w:fldCharType="begin"/>
            </w:r>
            <w:r w:rsidR="007B3F0E">
              <w:rPr>
                <w:webHidden/>
              </w:rPr>
              <w:instrText xml:space="preserve"> PAGEREF _Toc120843530 \h </w:instrText>
            </w:r>
            <w:r w:rsidR="007B3F0E">
              <w:rPr>
                <w:webHidden/>
              </w:rPr>
            </w:r>
            <w:r w:rsidR="007B3F0E">
              <w:rPr>
                <w:webHidden/>
              </w:rPr>
              <w:fldChar w:fldCharType="separate"/>
            </w:r>
            <w:r w:rsidR="006F0147">
              <w:rPr>
                <w:webHidden/>
              </w:rPr>
              <w:t>3</w:t>
            </w:r>
            <w:r w:rsidR="007B3F0E">
              <w:rPr>
                <w:webHidden/>
              </w:rPr>
              <w:fldChar w:fldCharType="end"/>
            </w:r>
          </w:hyperlink>
        </w:p>
        <w:p w14:paraId="42890505" w14:textId="32E1C5D5" w:rsidR="007B3F0E" w:rsidRDefault="00000000">
          <w:pPr>
            <w:pStyle w:val="TOC2"/>
            <w:rPr>
              <w:rFonts w:eastAsiaTheme="minorEastAsia" w:cstheme="minorBidi"/>
              <w:color w:val="auto"/>
              <w:sz w:val="22"/>
              <w:szCs w:val="22"/>
            </w:rPr>
          </w:pPr>
          <w:hyperlink w:anchor="_Toc120843531" w:history="1">
            <w:r w:rsidR="007B3F0E" w:rsidRPr="00A44D89">
              <w:rPr>
                <w:rStyle w:val="Hyperlink"/>
              </w:rPr>
              <w:t>Key outcomes from the Commissioning engagement process</w:t>
            </w:r>
            <w:r w:rsidR="007B3F0E">
              <w:rPr>
                <w:webHidden/>
              </w:rPr>
              <w:tab/>
            </w:r>
            <w:r w:rsidR="007B3F0E">
              <w:rPr>
                <w:webHidden/>
              </w:rPr>
              <w:fldChar w:fldCharType="begin"/>
            </w:r>
            <w:r w:rsidR="007B3F0E">
              <w:rPr>
                <w:webHidden/>
              </w:rPr>
              <w:instrText xml:space="preserve"> PAGEREF _Toc120843531 \h </w:instrText>
            </w:r>
            <w:r w:rsidR="007B3F0E">
              <w:rPr>
                <w:webHidden/>
              </w:rPr>
            </w:r>
            <w:r w:rsidR="007B3F0E">
              <w:rPr>
                <w:webHidden/>
              </w:rPr>
              <w:fldChar w:fldCharType="separate"/>
            </w:r>
            <w:r w:rsidR="006F0147">
              <w:rPr>
                <w:webHidden/>
              </w:rPr>
              <w:t>4</w:t>
            </w:r>
            <w:r w:rsidR="007B3F0E">
              <w:rPr>
                <w:webHidden/>
              </w:rPr>
              <w:fldChar w:fldCharType="end"/>
            </w:r>
          </w:hyperlink>
        </w:p>
        <w:p w14:paraId="1D926E54" w14:textId="3D178AD5" w:rsidR="007B3F0E" w:rsidRDefault="00000000">
          <w:pPr>
            <w:pStyle w:val="TOC2"/>
            <w:rPr>
              <w:rFonts w:eastAsiaTheme="minorEastAsia" w:cstheme="minorBidi"/>
              <w:color w:val="auto"/>
              <w:sz w:val="22"/>
              <w:szCs w:val="22"/>
            </w:rPr>
          </w:pPr>
          <w:hyperlink w:anchor="_Toc120843532" w:history="1">
            <w:r w:rsidR="007B3F0E" w:rsidRPr="00A44D89">
              <w:rPr>
                <w:rStyle w:val="Hyperlink"/>
              </w:rPr>
              <w:t>Where are we now?</w:t>
            </w:r>
            <w:r w:rsidR="007B3F0E">
              <w:rPr>
                <w:webHidden/>
              </w:rPr>
              <w:tab/>
            </w:r>
            <w:r w:rsidR="007B3F0E">
              <w:rPr>
                <w:webHidden/>
              </w:rPr>
              <w:fldChar w:fldCharType="begin"/>
            </w:r>
            <w:r w:rsidR="007B3F0E">
              <w:rPr>
                <w:webHidden/>
              </w:rPr>
              <w:instrText xml:space="preserve"> PAGEREF _Toc120843532 \h </w:instrText>
            </w:r>
            <w:r w:rsidR="007B3F0E">
              <w:rPr>
                <w:webHidden/>
              </w:rPr>
            </w:r>
            <w:r w:rsidR="007B3F0E">
              <w:rPr>
                <w:webHidden/>
              </w:rPr>
              <w:fldChar w:fldCharType="separate"/>
            </w:r>
            <w:r w:rsidR="006F0147">
              <w:rPr>
                <w:webHidden/>
              </w:rPr>
              <w:t>5</w:t>
            </w:r>
            <w:r w:rsidR="007B3F0E">
              <w:rPr>
                <w:webHidden/>
              </w:rPr>
              <w:fldChar w:fldCharType="end"/>
            </w:r>
          </w:hyperlink>
        </w:p>
        <w:p w14:paraId="159F5A5E" w14:textId="7007E916" w:rsidR="007B3F0E" w:rsidRDefault="00000000">
          <w:pPr>
            <w:pStyle w:val="TOC2"/>
            <w:rPr>
              <w:rFonts w:eastAsiaTheme="minorEastAsia" w:cstheme="minorBidi"/>
              <w:color w:val="auto"/>
              <w:sz w:val="22"/>
              <w:szCs w:val="22"/>
            </w:rPr>
          </w:pPr>
          <w:hyperlink w:anchor="_Toc120843533" w:history="1">
            <w:r w:rsidR="007B3F0E" w:rsidRPr="00A44D89">
              <w:rPr>
                <w:rStyle w:val="Hyperlink"/>
              </w:rPr>
              <w:t>Where to from here?</w:t>
            </w:r>
            <w:r w:rsidR="007B3F0E">
              <w:rPr>
                <w:webHidden/>
              </w:rPr>
              <w:tab/>
            </w:r>
            <w:r w:rsidR="007B3F0E">
              <w:rPr>
                <w:webHidden/>
              </w:rPr>
              <w:fldChar w:fldCharType="begin"/>
            </w:r>
            <w:r w:rsidR="007B3F0E">
              <w:rPr>
                <w:webHidden/>
              </w:rPr>
              <w:instrText xml:space="preserve"> PAGEREF _Toc120843533 \h </w:instrText>
            </w:r>
            <w:r w:rsidR="007B3F0E">
              <w:rPr>
                <w:webHidden/>
              </w:rPr>
            </w:r>
            <w:r w:rsidR="007B3F0E">
              <w:rPr>
                <w:webHidden/>
              </w:rPr>
              <w:fldChar w:fldCharType="separate"/>
            </w:r>
            <w:r w:rsidR="006F0147">
              <w:rPr>
                <w:webHidden/>
              </w:rPr>
              <w:t>6</w:t>
            </w:r>
            <w:r w:rsidR="007B3F0E">
              <w:rPr>
                <w:webHidden/>
              </w:rPr>
              <w:fldChar w:fldCharType="end"/>
            </w:r>
          </w:hyperlink>
        </w:p>
        <w:p w14:paraId="1D5A976D" w14:textId="002C755C" w:rsidR="007B3F0E" w:rsidRDefault="00000000">
          <w:pPr>
            <w:pStyle w:val="TOC2"/>
            <w:rPr>
              <w:rFonts w:eastAsiaTheme="minorEastAsia" w:cstheme="minorBidi"/>
              <w:color w:val="auto"/>
              <w:sz w:val="22"/>
              <w:szCs w:val="22"/>
            </w:rPr>
          </w:pPr>
          <w:hyperlink w:anchor="_Toc120843534" w:history="1">
            <w:r w:rsidR="007B3F0E" w:rsidRPr="00A44D89">
              <w:rPr>
                <w:rStyle w:val="Hyperlink"/>
              </w:rPr>
              <w:t>Investment approach</w:t>
            </w:r>
            <w:r w:rsidR="007B3F0E">
              <w:rPr>
                <w:webHidden/>
              </w:rPr>
              <w:tab/>
            </w:r>
            <w:r w:rsidR="007B3F0E">
              <w:rPr>
                <w:webHidden/>
              </w:rPr>
              <w:fldChar w:fldCharType="begin"/>
            </w:r>
            <w:r w:rsidR="007B3F0E">
              <w:rPr>
                <w:webHidden/>
              </w:rPr>
              <w:instrText xml:space="preserve"> PAGEREF _Toc120843534 \h </w:instrText>
            </w:r>
            <w:r w:rsidR="007B3F0E">
              <w:rPr>
                <w:webHidden/>
              </w:rPr>
            </w:r>
            <w:r w:rsidR="007B3F0E">
              <w:rPr>
                <w:webHidden/>
              </w:rPr>
              <w:fldChar w:fldCharType="separate"/>
            </w:r>
            <w:r w:rsidR="006F0147">
              <w:rPr>
                <w:webHidden/>
              </w:rPr>
              <w:t>6</w:t>
            </w:r>
            <w:r w:rsidR="007B3F0E">
              <w:rPr>
                <w:webHidden/>
              </w:rPr>
              <w:fldChar w:fldCharType="end"/>
            </w:r>
          </w:hyperlink>
        </w:p>
        <w:p w14:paraId="376FEAD1" w14:textId="22963132" w:rsidR="007B3F0E" w:rsidRDefault="00000000">
          <w:pPr>
            <w:pStyle w:val="TOC2"/>
            <w:rPr>
              <w:rFonts w:eastAsiaTheme="minorEastAsia" w:cstheme="minorBidi"/>
              <w:color w:val="auto"/>
              <w:sz w:val="22"/>
              <w:szCs w:val="22"/>
            </w:rPr>
          </w:pPr>
          <w:hyperlink w:anchor="_Toc120843535" w:history="1">
            <w:r w:rsidR="007B3F0E" w:rsidRPr="00A44D89">
              <w:rPr>
                <w:rStyle w:val="Hyperlink"/>
                <w:bCs/>
              </w:rPr>
              <w:t>Anticipated procurement timeline</w:t>
            </w:r>
            <w:r w:rsidR="007B3F0E">
              <w:rPr>
                <w:webHidden/>
              </w:rPr>
              <w:tab/>
            </w:r>
            <w:r w:rsidR="007B3F0E">
              <w:rPr>
                <w:webHidden/>
              </w:rPr>
              <w:fldChar w:fldCharType="begin"/>
            </w:r>
            <w:r w:rsidR="007B3F0E">
              <w:rPr>
                <w:webHidden/>
              </w:rPr>
              <w:instrText xml:space="preserve"> PAGEREF _Toc120843535 \h </w:instrText>
            </w:r>
            <w:r w:rsidR="007B3F0E">
              <w:rPr>
                <w:webHidden/>
              </w:rPr>
            </w:r>
            <w:r w:rsidR="007B3F0E">
              <w:rPr>
                <w:webHidden/>
              </w:rPr>
              <w:fldChar w:fldCharType="separate"/>
            </w:r>
            <w:r w:rsidR="006F0147">
              <w:rPr>
                <w:webHidden/>
              </w:rPr>
              <w:t>7</w:t>
            </w:r>
            <w:r w:rsidR="007B3F0E">
              <w:rPr>
                <w:webHidden/>
              </w:rPr>
              <w:fldChar w:fldCharType="end"/>
            </w:r>
          </w:hyperlink>
        </w:p>
        <w:p w14:paraId="5B9032EF" w14:textId="0CC049E3" w:rsidR="007B3F0E" w:rsidRDefault="00000000" w:rsidP="007B3F0E">
          <w:pPr>
            <w:pStyle w:val="TOC1"/>
            <w:rPr>
              <w:rFonts w:eastAsiaTheme="minorEastAsia" w:cstheme="minorBidi"/>
              <w:color w:val="auto"/>
              <w:sz w:val="22"/>
              <w:szCs w:val="22"/>
            </w:rPr>
          </w:pPr>
          <w:hyperlink w:anchor="_Toc120843536" w:history="1">
            <w:r w:rsidR="007B3F0E" w:rsidRPr="00A44D89">
              <w:rPr>
                <w:rStyle w:val="Hyperlink"/>
              </w:rPr>
              <w:t>Appendix a: TACS program outcomes framework</w:t>
            </w:r>
            <w:r w:rsidR="007B3F0E">
              <w:rPr>
                <w:webHidden/>
              </w:rPr>
              <w:tab/>
            </w:r>
            <w:r w:rsidR="007B3F0E">
              <w:rPr>
                <w:webHidden/>
              </w:rPr>
              <w:fldChar w:fldCharType="begin"/>
            </w:r>
            <w:r w:rsidR="007B3F0E">
              <w:rPr>
                <w:webHidden/>
              </w:rPr>
              <w:instrText xml:space="preserve"> PAGEREF _Toc120843536 \h </w:instrText>
            </w:r>
            <w:r w:rsidR="007B3F0E">
              <w:rPr>
                <w:webHidden/>
              </w:rPr>
            </w:r>
            <w:r w:rsidR="007B3F0E">
              <w:rPr>
                <w:webHidden/>
              </w:rPr>
              <w:fldChar w:fldCharType="separate"/>
            </w:r>
            <w:r w:rsidR="006F0147">
              <w:rPr>
                <w:webHidden/>
              </w:rPr>
              <w:t>8</w:t>
            </w:r>
            <w:r w:rsidR="007B3F0E">
              <w:rPr>
                <w:webHidden/>
              </w:rPr>
              <w:fldChar w:fldCharType="end"/>
            </w:r>
          </w:hyperlink>
        </w:p>
        <w:p w14:paraId="45FEE0F4" w14:textId="5BC4291E" w:rsidR="007B3F0E" w:rsidRDefault="00000000" w:rsidP="007B3F0E">
          <w:pPr>
            <w:pStyle w:val="TOC1"/>
            <w:rPr>
              <w:rFonts w:eastAsiaTheme="minorEastAsia" w:cstheme="minorBidi"/>
              <w:color w:val="auto"/>
              <w:sz w:val="22"/>
              <w:szCs w:val="22"/>
            </w:rPr>
          </w:pPr>
          <w:hyperlink w:anchor="_Toc120843537" w:history="1">
            <w:r w:rsidR="007B3F0E" w:rsidRPr="00A44D89">
              <w:rPr>
                <w:rStyle w:val="Hyperlink"/>
              </w:rPr>
              <w:t>Appendix B: TACS program eligibility criteria</w:t>
            </w:r>
            <w:r w:rsidR="007B3F0E">
              <w:rPr>
                <w:webHidden/>
              </w:rPr>
              <w:tab/>
            </w:r>
            <w:r w:rsidR="007B3F0E">
              <w:rPr>
                <w:webHidden/>
              </w:rPr>
              <w:fldChar w:fldCharType="begin"/>
            </w:r>
            <w:r w:rsidR="007B3F0E">
              <w:rPr>
                <w:webHidden/>
              </w:rPr>
              <w:instrText xml:space="preserve"> PAGEREF _Toc120843537 \h </w:instrText>
            </w:r>
            <w:r w:rsidR="007B3F0E">
              <w:rPr>
                <w:webHidden/>
              </w:rPr>
            </w:r>
            <w:r w:rsidR="007B3F0E">
              <w:rPr>
                <w:webHidden/>
              </w:rPr>
              <w:fldChar w:fldCharType="separate"/>
            </w:r>
            <w:r w:rsidR="006F0147">
              <w:rPr>
                <w:webHidden/>
              </w:rPr>
              <w:t>10</w:t>
            </w:r>
            <w:r w:rsidR="007B3F0E">
              <w:rPr>
                <w:webHidden/>
              </w:rPr>
              <w:fldChar w:fldCharType="end"/>
            </w:r>
          </w:hyperlink>
        </w:p>
        <w:p w14:paraId="5E08BA38" w14:textId="798490B1" w:rsidR="007B3F0E" w:rsidRDefault="00000000" w:rsidP="007B3F0E">
          <w:pPr>
            <w:pStyle w:val="TOC1"/>
            <w:rPr>
              <w:rFonts w:eastAsiaTheme="minorEastAsia" w:cstheme="minorBidi"/>
              <w:color w:val="auto"/>
              <w:sz w:val="22"/>
              <w:szCs w:val="22"/>
            </w:rPr>
          </w:pPr>
          <w:hyperlink w:anchor="_Toc120843538" w:history="1">
            <w:r w:rsidR="007B3F0E" w:rsidRPr="00A44D89">
              <w:rPr>
                <w:rStyle w:val="Hyperlink"/>
              </w:rPr>
              <w:t>Appendix C: non-comprehensive guide to eligible and ineligible services</w:t>
            </w:r>
            <w:r w:rsidR="007B3F0E">
              <w:rPr>
                <w:webHidden/>
              </w:rPr>
              <w:tab/>
            </w:r>
            <w:r w:rsidR="007B3F0E">
              <w:rPr>
                <w:webHidden/>
              </w:rPr>
              <w:fldChar w:fldCharType="begin"/>
            </w:r>
            <w:r w:rsidR="007B3F0E">
              <w:rPr>
                <w:webHidden/>
              </w:rPr>
              <w:instrText xml:space="preserve"> PAGEREF _Toc120843538 \h </w:instrText>
            </w:r>
            <w:r w:rsidR="007B3F0E">
              <w:rPr>
                <w:webHidden/>
              </w:rPr>
            </w:r>
            <w:r w:rsidR="007B3F0E">
              <w:rPr>
                <w:webHidden/>
              </w:rPr>
              <w:fldChar w:fldCharType="separate"/>
            </w:r>
            <w:r w:rsidR="006F0147">
              <w:rPr>
                <w:webHidden/>
              </w:rPr>
              <w:t>11</w:t>
            </w:r>
            <w:r w:rsidR="007B3F0E">
              <w:rPr>
                <w:webHidden/>
              </w:rPr>
              <w:fldChar w:fldCharType="end"/>
            </w:r>
          </w:hyperlink>
        </w:p>
        <w:p w14:paraId="3D21020F" w14:textId="2008804F" w:rsidR="001F72AD" w:rsidRDefault="00621988" w:rsidP="008B14C4">
          <w:pPr>
            <w:pStyle w:val="TOC2"/>
          </w:pPr>
          <w:r>
            <w:fldChar w:fldCharType="end"/>
          </w:r>
        </w:p>
      </w:sdtContent>
    </w:sdt>
    <w:bookmarkEnd w:id="0" w:displacedByCustomXml="prev"/>
    <w:p w14:paraId="07E278BE" w14:textId="77777777" w:rsidR="001F72AD" w:rsidRPr="001F72AD" w:rsidRDefault="001F72AD" w:rsidP="001F72AD">
      <w:pPr>
        <w:shd w:val="clear" w:color="auto" w:fill="FFFFFF" w:themeFill="background1"/>
        <w:ind w:firstLine="567"/>
        <w:rPr>
          <w:color w:val="352168" w:themeColor="background2" w:themeShade="BF"/>
          <w:szCs w:val="22"/>
        </w:rPr>
      </w:pPr>
    </w:p>
    <w:p w14:paraId="2CF9EFB9" w14:textId="77777777" w:rsidR="001F72AD" w:rsidRDefault="001F72AD" w:rsidP="001F72AD">
      <w:pPr>
        <w:spacing w:line="276" w:lineRule="auto"/>
        <w:rPr>
          <w:rFonts w:asciiTheme="majorHAnsi" w:hAnsiTheme="majorHAnsi"/>
          <w:caps/>
          <w:noProof/>
          <w:color w:val="482D8C" w:themeColor="background2"/>
          <w:sz w:val="28"/>
          <w:szCs w:val="28"/>
        </w:rPr>
      </w:pPr>
    </w:p>
    <w:p w14:paraId="02C6E38A" w14:textId="77777777" w:rsidR="001F72AD" w:rsidRPr="001F72AD" w:rsidRDefault="001F72AD" w:rsidP="001F72AD">
      <w:pPr>
        <w:spacing w:line="276" w:lineRule="auto"/>
        <w:rPr>
          <w:rFonts w:asciiTheme="majorHAnsi" w:hAnsiTheme="majorHAnsi"/>
          <w:caps/>
          <w:noProof/>
          <w:color w:val="482D8C" w:themeColor="background2"/>
          <w:sz w:val="28"/>
          <w:szCs w:val="28"/>
        </w:rPr>
      </w:pPr>
    </w:p>
    <w:p w14:paraId="2955EB3F" w14:textId="63A5A449" w:rsidR="001F72AD" w:rsidRPr="001F72AD" w:rsidRDefault="001F72AD" w:rsidP="001F72AD">
      <w:pPr>
        <w:spacing w:line="276" w:lineRule="auto"/>
        <w:rPr>
          <w:rFonts w:asciiTheme="majorHAnsi" w:hAnsiTheme="majorHAnsi"/>
          <w:caps/>
          <w:noProof/>
          <w:color w:val="482D8C" w:themeColor="background2"/>
          <w:sz w:val="28"/>
          <w:szCs w:val="28"/>
        </w:rPr>
      </w:pPr>
    </w:p>
    <w:p w14:paraId="444076E6" w14:textId="77777777" w:rsidR="009D0581" w:rsidRPr="001F72AD" w:rsidRDefault="009D0581">
      <w:pPr>
        <w:spacing w:line="276" w:lineRule="auto"/>
        <w:rPr>
          <w:rFonts w:asciiTheme="majorHAnsi" w:hAnsiTheme="majorHAnsi"/>
          <w:caps/>
          <w:noProof/>
          <w:color w:val="482D8C" w:themeColor="background2"/>
          <w:sz w:val="28"/>
          <w:szCs w:val="28"/>
        </w:rPr>
      </w:pPr>
    </w:p>
    <w:p w14:paraId="45C18E93" w14:textId="2BC8ED7F" w:rsidR="001147B3" w:rsidRPr="001654C8" w:rsidRDefault="005A590C" w:rsidP="001F72AD">
      <w:pPr>
        <w:pStyle w:val="Heading1"/>
      </w:pPr>
      <w:r w:rsidRPr="001F72AD">
        <w:rPr>
          <w:rFonts w:asciiTheme="majorHAnsi" w:hAnsiTheme="majorHAnsi"/>
          <w:noProof/>
          <w:sz w:val="28"/>
          <w:szCs w:val="28"/>
        </w:rPr>
        <w:br w:type="page"/>
      </w:r>
      <w:bookmarkStart w:id="1" w:name="_Toc120843529"/>
      <w:r w:rsidR="008B14C4" w:rsidRPr="00815CBC">
        <w:rPr>
          <w:noProof/>
          <w:sz w:val="56"/>
          <w:szCs w:val="56"/>
        </w:rPr>
        <w:lastRenderedPageBreak/>
        <w:drawing>
          <wp:anchor distT="0" distB="0" distL="114300" distR="114300" simplePos="0" relativeHeight="251658248" behindDoc="0" locked="0" layoutInCell="1" allowOverlap="1" wp14:anchorId="0E5FFBFC" wp14:editId="25F0606D">
            <wp:simplePos x="0" y="0"/>
            <wp:positionH relativeFrom="column">
              <wp:posOffset>3091815</wp:posOffset>
            </wp:positionH>
            <wp:positionV relativeFrom="paragraph">
              <wp:posOffset>0</wp:posOffset>
            </wp:positionV>
            <wp:extent cx="2814320" cy="2635885"/>
            <wp:effectExtent l="0" t="0" r="5080" b="0"/>
            <wp:wrapSquare wrapText="bothSides"/>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14320" cy="2635885"/>
                    </a:xfrm>
                    <a:prstGeom prst="rect">
                      <a:avLst/>
                    </a:prstGeom>
                  </pic:spPr>
                </pic:pic>
              </a:graphicData>
            </a:graphic>
          </wp:anchor>
        </w:drawing>
      </w:r>
      <w:r w:rsidR="00B24C8F">
        <w:t>Investment Strategy</w:t>
      </w:r>
      <w:bookmarkEnd w:id="1"/>
    </w:p>
    <w:p w14:paraId="1C2AE221" w14:textId="18B94156" w:rsidR="001025D3" w:rsidRDefault="001025D3" w:rsidP="001654C8">
      <w:pPr>
        <w:pStyle w:val="NormalIndent5mm"/>
        <w:shd w:val="clear" w:color="auto" w:fill="FFFFFF" w:themeFill="background1"/>
        <w:rPr>
          <w:i/>
          <w:iCs/>
        </w:rPr>
      </w:pPr>
    </w:p>
    <w:p w14:paraId="216DB037" w14:textId="77076B3A" w:rsidR="00815CBC" w:rsidRPr="00815CBC" w:rsidRDefault="00815CBC" w:rsidP="008B14C4">
      <w:pPr>
        <w:pStyle w:val="Heading2"/>
      </w:pPr>
      <w:bookmarkStart w:id="2" w:name="_Toc120843530"/>
      <w:r w:rsidRPr="00815CBC">
        <w:t>Introduction</w:t>
      </w:r>
      <w:bookmarkEnd w:id="2"/>
    </w:p>
    <w:p w14:paraId="0429AD0C" w14:textId="7AFB52D0" w:rsidR="00B24C8F" w:rsidRPr="006C70C4" w:rsidRDefault="008B14C4" w:rsidP="00B24C8F">
      <w:pPr>
        <w:shd w:val="clear" w:color="auto" w:fill="FFFFFF" w:themeFill="background1"/>
      </w:pPr>
      <w:r>
        <w:rPr>
          <w:noProof/>
        </w:rPr>
        <w:drawing>
          <wp:anchor distT="0" distB="0" distL="114300" distR="114300" simplePos="0" relativeHeight="251659275" behindDoc="1" locked="0" layoutInCell="1" allowOverlap="1" wp14:anchorId="28D52FAF" wp14:editId="6DAD2590">
            <wp:simplePos x="0" y="0"/>
            <wp:positionH relativeFrom="rightMargin">
              <wp:align>left</wp:align>
            </wp:positionH>
            <wp:positionV relativeFrom="paragraph">
              <wp:posOffset>718820</wp:posOffset>
            </wp:positionV>
            <wp:extent cx="738457" cy="533355"/>
            <wp:effectExtent l="0" t="0" r="5080" b="635"/>
            <wp:wrapNone/>
            <wp:docPr id="58" name="Picture 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38457" cy="533355"/>
                    </a:xfrm>
                    <a:prstGeom prst="rect">
                      <a:avLst/>
                    </a:prstGeom>
                  </pic:spPr>
                </pic:pic>
              </a:graphicData>
            </a:graphic>
            <wp14:sizeRelH relativeFrom="margin">
              <wp14:pctWidth>0</wp14:pctWidth>
            </wp14:sizeRelH>
            <wp14:sizeRelV relativeFrom="margin">
              <wp14:pctHeight>0</wp14:pctHeight>
            </wp14:sizeRelV>
          </wp:anchor>
        </w:drawing>
      </w:r>
      <w:r w:rsidR="00D329A4">
        <w:rPr>
          <w:noProof/>
        </w:rPr>
        <mc:AlternateContent>
          <mc:Choice Requires="wps">
            <w:drawing>
              <wp:anchor distT="45720" distB="45720" distL="114300" distR="114300" simplePos="0" relativeHeight="251661323" behindDoc="0" locked="0" layoutInCell="1" allowOverlap="1" wp14:anchorId="7BCA46ED" wp14:editId="58503A33">
                <wp:simplePos x="0" y="0"/>
                <wp:positionH relativeFrom="rightMargin">
                  <wp:align>left</wp:align>
                </wp:positionH>
                <wp:positionV relativeFrom="paragraph">
                  <wp:posOffset>1339628</wp:posOffset>
                </wp:positionV>
                <wp:extent cx="838835" cy="796925"/>
                <wp:effectExtent l="0" t="0" r="0" b="3175"/>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796925"/>
                        </a:xfrm>
                        <a:prstGeom prst="rect">
                          <a:avLst/>
                        </a:prstGeom>
                        <a:noFill/>
                        <a:ln w="9525">
                          <a:noFill/>
                          <a:miter lim="800000"/>
                          <a:headEnd/>
                          <a:tailEnd/>
                        </a:ln>
                      </wps:spPr>
                      <wps:txbx>
                        <w:txbxContent>
                          <w:p w14:paraId="22A8CEE2" w14:textId="7591963E" w:rsidR="00B10D41" w:rsidRPr="00D329A4" w:rsidRDefault="00B10D41" w:rsidP="00AC6383">
                            <w:pPr>
                              <w:jc w:val="center"/>
                              <w:rPr>
                                <w:b/>
                                <w:bCs/>
                                <w:sz w:val="28"/>
                                <w:szCs w:val="28"/>
                              </w:rPr>
                            </w:pPr>
                            <w:r w:rsidRPr="00D329A4">
                              <w:rPr>
                                <w:b/>
                                <w:bCs/>
                                <w:sz w:val="28"/>
                                <w:szCs w:val="28"/>
                              </w:rPr>
                              <w:t>We are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A46ED" id="Text Box 2" o:spid="_x0000_s1028" type="#_x0000_t202" style="position:absolute;margin-left:0;margin-top:105.5pt;width:66.05pt;height:62.75pt;z-index:251661323;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" filled="f" stroked="f">
                <v:textbox>
                  <w:txbxContent>
                    <w:p w14:paraId="22A8CEE2" w14:textId="7591963E" w:rsidR="00B10D41" w:rsidRPr="00D329A4" w:rsidRDefault="00B10D41" w:rsidP="00AC6383">
                      <w:pPr>
                        <w:jc w:val="center"/>
                        <w:rPr>
                          <w:b/>
                          <w:bCs/>
                          <w:sz w:val="28"/>
                          <w:szCs w:val="28"/>
                        </w:rPr>
                      </w:pPr>
                      <w:r w:rsidRPr="00D329A4">
                        <w:rPr>
                          <w:b/>
                          <w:bCs/>
                          <w:sz w:val="28"/>
                          <w:szCs w:val="28"/>
                        </w:rPr>
                        <w:t>We are here</w:t>
                      </w:r>
                    </w:p>
                  </w:txbxContent>
                </v:textbox>
                <w10:wrap type="square" anchorx="margin"/>
              </v:shape>
            </w:pict>
          </mc:Fallback>
        </mc:AlternateContent>
      </w:r>
      <w:r w:rsidR="00B24C8F">
        <w:t xml:space="preserve">The ACT </w:t>
      </w:r>
      <w:r w:rsidR="00B10D41">
        <w:t xml:space="preserve">Health Directorate </w:t>
      </w:r>
      <w:r w:rsidR="00B24C8F">
        <w:t xml:space="preserve">is committed to a new way of working with the ACT </w:t>
      </w:r>
      <w:r w:rsidR="00615852">
        <w:t>community support</w:t>
      </w:r>
      <w:r w:rsidR="00B24C8F">
        <w:t xml:space="preserve"> </w:t>
      </w:r>
      <w:r w:rsidR="00615852">
        <w:t>subs</w:t>
      </w:r>
      <w:r w:rsidR="00B24C8F">
        <w:t xml:space="preserve">ector (the </w:t>
      </w:r>
      <w:r w:rsidR="00615852">
        <w:t>CSS</w:t>
      </w:r>
      <w:r w:rsidR="00B24C8F">
        <w:t xml:space="preserve">) </w:t>
      </w:r>
      <w:r w:rsidR="007A07B0">
        <w:t xml:space="preserve">to assist </w:t>
      </w:r>
      <w:r w:rsidR="00B24C8F">
        <w:t xml:space="preserve">people </w:t>
      </w:r>
      <w:r w:rsidR="00242598">
        <w:t xml:space="preserve">seeking </w:t>
      </w:r>
      <w:r w:rsidR="00615852">
        <w:t>temporary supports to</w:t>
      </w:r>
      <w:r w:rsidR="00B10D41">
        <w:t xml:space="preserve"> discharge from </w:t>
      </w:r>
      <w:r w:rsidR="00764040">
        <w:t>hospital or</w:t>
      </w:r>
      <w:r w:rsidR="00242598">
        <w:t xml:space="preserve"> </w:t>
      </w:r>
      <w:r w:rsidR="00615852">
        <w:t>remain in the</w:t>
      </w:r>
      <w:r w:rsidR="006A1F97">
        <w:t>ir</w:t>
      </w:r>
      <w:r w:rsidR="00615852">
        <w:t xml:space="preserve"> homes</w:t>
      </w:r>
      <w:r w:rsidR="006A1F97">
        <w:t xml:space="preserve"> and out of the mainstream health system</w:t>
      </w:r>
      <w:r w:rsidR="007A07B0">
        <w:t xml:space="preserve">; and </w:t>
      </w:r>
      <w:r w:rsidR="00B24C8F">
        <w:t xml:space="preserve">to plan for future </w:t>
      </w:r>
      <w:r w:rsidR="00615852">
        <w:t>subsector</w:t>
      </w:r>
      <w:r w:rsidR="00B24C8F">
        <w:t xml:space="preserve"> service delivery and contractual arrangements. </w:t>
      </w:r>
    </w:p>
    <w:p w14:paraId="4DE04E1F" w14:textId="44A9AC1E" w:rsidR="00B24C8F" w:rsidRDefault="00B10D41" w:rsidP="00B24C8F">
      <w:pPr>
        <w:spacing w:before="120" w:after="0" w:line="240" w:lineRule="auto"/>
      </w:pPr>
      <w:r w:rsidRPr="005F452C">
        <w:rPr>
          <w:b/>
          <w:bCs/>
          <w:noProof/>
        </w:rPr>
        <mc:AlternateContent>
          <mc:Choice Requires="wps">
            <w:drawing>
              <wp:anchor distT="45720" distB="45720" distL="114300" distR="114300" simplePos="0" relativeHeight="251658240" behindDoc="0" locked="0" layoutInCell="1" allowOverlap="1" wp14:anchorId="755E961B" wp14:editId="626431C8">
                <wp:simplePos x="0" y="0"/>
                <wp:positionH relativeFrom="margin">
                  <wp:posOffset>3196063</wp:posOffset>
                </wp:positionH>
                <wp:positionV relativeFrom="paragraph">
                  <wp:posOffset>633490</wp:posOffset>
                </wp:positionV>
                <wp:extent cx="271335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355" cy="1404620"/>
                        </a:xfrm>
                        <a:prstGeom prst="rect">
                          <a:avLst/>
                        </a:prstGeom>
                        <a:solidFill>
                          <a:srgbClr val="FFFFFF"/>
                        </a:solidFill>
                        <a:ln w="9525">
                          <a:noFill/>
                          <a:miter lim="800000"/>
                          <a:headEnd/>
                          <a:tailEnd/>
                        </a:ln>
                      </wps:spPr>
                      <wps:txbx>
                        <w:txbxContent>
                          <w:p w14:paraId="46E3ED46" w14:textId="5335B7EF" w:rsidR="005F452C" w:rsidRPr="005F452C" w:rsidRDefault="005F452C">
                            <w:pPr>
                              <w:rPr>
                                <w:b/>
                                <w:bCs/>
                              </w:rPr>
                            </w:pPr>
                            <w:r w:rsidRPr="005F452C">
                              <w:rPr>
                                <w:b/>
                                <w:bCs/>
                              </w:rPr>
                              <w:t xml:space="preserve">Figure 1:  Commissioning </w:t>
                            </w:r>
                            <w:r w:rsidR="00242598">
                              <w:rPr>
                                <w:b/>
                                <w:bCs/>
                              </w:rPr>
                              <w:t>c</w:t>
                            </w:r>
                            <w:r w:rsidRPr="005F452C">
                              <w:rPr>
                                <w:b/>
                                <w:bCs/>
                              </w:rPr>
                              <w:t>ycle</w:t>
                            </w:r>
                            <w:r w:rsidR="00242598">
                              <w:rPr>
                                <w:b/>
                                <w:bCs/>
                              </w:rPr>
                              <w:t xml:space="preserve"> and phases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5E961B" id="_x0000_s1029" type="#_x0000_t202" style="position:absolute;margin-left:251.65pt;margin-top:49.9pt;width:213.6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" stroked="f">
                <v:textbox style="mso-fit-shape-to-text:t">
                  <w:txbxContent>
                    <w:p w14:paraId="46E3ED46" w14:textId="5335B7EF" w:rsidR="005F452C" w:rsidRPr="005F452C" w:rsidRDefault="005F452C">
                      <w:pPr>
                        <w:rPr>
                          <w:b/>
                          <w:bCs/>
                        </w:rPr>
                      </w:pPr>
                      <w:r w:rsidRPr="005F452C">
                        <w:rPr>
                          <w:b/>
                          <w:bCs/>
                        </w:rPr>
                        <w:t xml:space="preserve">Figure 1:  Commissioning </w:t>
                      </w:r>
                      <w:r w:rsidR="00242598">
                        <w:rPr>
                          <w:b/>
                          <w:bCs/>
                        </w:rPr>
                        <w:t>c</w:t>
                      </w:r>
                      <w:r w:rsidRPr="005F452C">
                        <w:rPr>
                          <w:b/>
                          <w:bCs/>
                        </w:rPr>
                        <w:t>ycle</w:t>
                      </w:r>
                      <w:r w:rsidR="00242598">
                        <w:rPr>
                          <w:b/>
                          <w:bCs/>
                        </w:rPr>
                        <w:t xml:space="preserve"> and phases</w:t>
                      </w:r>
                    </w:p>
                  </w:txbxContent>
                </v:textbox>
                <w10:wrap type="square" anchorx="margin"/>
              </v:shape>
            </w:pict>
          </mc:Fallback>
        </mc:AlternateContent>
      </w:r>
      <w:r w:rsidR="00B24C8F">
        <w:t xml:space="preserve">This new way of working together is referred to </w:t>
      </w:r>
      <w:r w:rsidR="00D329A4">
        <w:t>as ‘</w:t>
      </w:r>
      <w:r w:rsidR="00B24C8F">
        <w:t>Commissioning</w:t>
      </w:r>
      <w:r w:rsidR="00615852">
        <w:t xml:space="preserve"> for Outcomes</w:t>
      </w:r>
      <w:r w:rsidR="00DC55B0">
        <w:t>.’</w:t>
      </w:r>
      <w:r w:rsidR="00B24C8F">
        <w:t xml:space="preserve">  It has several phases within an overarching cycle including Discover, Strategise, Design, Invest, </w:t>
      </w:r>
      <w:r w:rsidR="00DC55B0">
        <w:t>Deliver,</w:t>
      </w:r>
      <w:r w:rsidR="00B24C8F">
        <w:t xml:space="preserve"> and Integrate</w:t>
      </w:r>
      <w:r w:rsidR="001843C9">
        <w:t>.</w:t>
      </w:r>
    </w:p>
    <w:p w14:paraId="71DF78CF" w14:textId="0B7E1E3E" w:rsidR="00815CBC" w:rsidRDefault="00815CBC" w:rsidP="00B24C8F">
      <w:pPr>
        <w:shd w:val="clear" w:color="auto" w:fill="FFFFFF" w:themeFill="background1"/>
        <w:rPr>
          <w:szCs w:val="22"/>
        </w:rPr>
      </w:pPr>
    </w:p>
    <w:p w14:paraId="5C518C86" w14:textId="4A104F8A" w:rsidR="00431085" w:rsidRDefault="001843C9" w:rsidP="00B24C8F">
      <w:pPr>
        <w:shd w:val="clear" w:color="auto" w:fill="FFFFFF" w:themeFill="background1"/>
      </w:pPr>
      <w:r>
        <w:t xml:space="preserve">The </w:t>
      </w:r>
      <w:r w:rsidRPr="001843C9">
        <w:t>CSS subsector</w:t>
      </w:r>
      <w:r>
        <w:t xml:space="preserve"> has now completed the </w:t>
      </w:r>
      <w:r w:rsidRPr="001843C9">
        <w:t>first three phases</w:t>
      </w:r>
      <w:r>
        <w:t xml:space="preserve"> of the Commissioning for Outcomes cycle (collectively </w:t>
      </w:r>
      <w:r w:rsidRPr="001843C9">
        <w:t>called Commissioning engagement</w:t>
      </w:r>
      <w:r>
        <w:t>)</w:t>
      </w:r>
      <w:r w:rsidRPr="001843C9">
        <w:t xml:space="preserve">. </w:t>
      </w:r>
      <w:r w:rsidR="00AF5859">
        <w:t xml:space="preserve">Commissioning engagement in the CSS has involved </w:t>
      </w:r>
      <w:r w:rsidR="620EB17E">
        <w:t>several</w:t>
      </w:r>
      <w:r w:rsidR="00AF5859">
        <w:t xml:space="preserve"> key activities, including the exploration of ideas contained in two discussion papers</w:t>
      </w:r>
      <w:r w:rsidR="008D308A">
        <w:t xml:space="preserve"> and</w:t>
      </w:r>
      <w:r w:rsidR="00AF5859">
        <w:t xml:space="preserve"> at roundtables held in March and August 2022</w:t>
      </w:r>
      <w:r w:rsidR="00DC55B0">
        <w:t xml:space="preserve">. </w:t>
      </w:r>
      <w:r w:rsidR="00AF5859">
        <w:t xml:space="preserve">It also involved extensive discussions with providers and referrers over a series of workshops held throughout March and April 2022 as part of the </w:t>
      </w:r>
      <w:r w:rsidR="004F13D7">
        <w:t>Community Assistance and Support Program (</w:t>
      </w:r>
      <w:r w:rsidR="00AF5859">
        <w:t>CASP</w:t>
      </w:r>
      <w:r w:rsidR="004F13D7">
        <w:t>)</w:t>
      </w:r>
      <w:r w:rsidR="00AF5859">
        <w:t xml:space="preserve"> Referral Pathways project. </w:t>
      </w:r>
    </w:p>
    <w:p w14:paraId="61CE89B7" w14:textId="10913E17" w:rsidR="00AF5859" w:rsidRDefault="00AF5859" w:rsidP="00B24C8F">
      <w:pPr>
        <w:shd w:val="clear" w:color="auto" w:fill="FFFFFF" w:themeFill="background1"/>
      </w:pPr>
      <w:r>
        <w:t>Through these activities</w:t>
      </w:r>
      <w:r w:rsidR="00270239">
        <w:t xml:space="preserve">, as well as </w:t>
      </w:r>
      <w:r w:rsidR="004F13D7">
        <w:t>extensive</w:t>
      </w:r>
      <w:r w:rsidR="00270239">
        <w:t xml:space="preserve"> </w:t>
      </w:r>
      <w:r>
        <w:t xml:space="preserve">discussions with subsector stakeholders that occurred outside of the formal ‘strategise’ and ‘design’ activities, the CSS commissioning team </w:t>
      </w:r>
      <w:r w:rsidR="004F13D7">
        <w:t>h</w:t>
      </w:r>
      <w:r>
        <w:t>as identif</w:t>
      </w:r>
      <w:r w:rsidR="004F13D7">
        <w:t>ied</w:t>
      </w:r>
      <w:r>
        <w:t xml:space="preserve"> </w:t>
      </w:r>
      <w:r w:rsidR="00270239">
        <w:t>a range of emerging trends</w:t>
      </w:r>
      <w:r w:rsidR="004F13D7">
        <w:t>, gaps</w:t>
      </w:r>
      <w:r w:rsidR="00270239">
        <w:t xml:space="preserve"> and needs in the subsector and co-design</w:t>
      </w:r>
      <w:r w:rsidR="004F13D7">
        <w:t>ed</w:t>
      </w:r>
      <w:r w:rsidR="00270239">
        <w:t xml:space="preserve"> solutions</w:t>
      </w:r>
      <w:r w:rsidR="00DC55B0">
        <w:t xml:space="preserve">. </w:t>
      </w:r>
    </w:p>
    <w:p w14:paraId="6D9849C0" w14:textId="55971A95" w:rsidR="00270239" w:rsidRDefault="00270239" w:rsidP="00B24C8F">
      <w:pPr>
        <w:shd w:val="clear" w:color="auto" w:fill="FFFFFF" w:themeFill="background1"/>
        <w:rPr>
          <w:szCs w:val="22"/>
        </w:rPr>
      </w:pPr>
      <w:r>
        <w:rPr>
          <w:szCs w:val="22"/>
        </w:rPr>
        <w:t xml:space="preserve">Commissioning engagement also highlighted a range of issues that </w:t>
      </w:r>
      <w:r w:rsidR="008D1D24">
        <w:rPr>
          <w:szCs w:val="22"/>
        </w:rPr>
        <w:t>a</w:t>
      </w:r>
      <w:r>
        <w:rPr>
          <w:szCs w:val="22"/>
        </w:rPr>
        <w:t xml:space="preserve">re placing enormous </w:t>
      </w:r>
      <w:r w:rsidR="00F44D8F">
        <w:rPr>
          <w:szCs w:val="22"/>
        </w:rPr>
        <w:t>strain</w:t>
      </w:r>
      <w:r>
        <w:rPr>
          <w:szCs w:val="22"/>
        </w:rPr>
        <w:t xml:space="preserve"> on subsector partners, including short funding </w:t>
      </w:r>
      <w:r w:rsidR="008D1D24">
        <w:rPr>
          <w:szCs w:val="22"/>
        </w:rPr>
        <w:t>periods</w:t>
      </w:r>
      <w:r w:rsidR="00153631">
        <w:rPr>
          <w:szCs w:val="22"/>
        </w:rPr>
        <w:t>,</w:t>
      </w:r>
      <w:r w:rsidR="00F44D8F">
        <w:rPr>
          <w:szCs w:val="22"/>
        </w:rPr>
        <w:t xml:space="preserve"> and the pressure of </w:t>
      </w:r>
      <w:r w:rsidR="00DC55B0">
        <w:rPr>
          <w:szCs w:val="22"/>
        </w:rPr>
        <w:t>managing the</w:t>
      </w:r>
      <w:r w:rsidR="00F44D8F">
        <w:rPr>
          <w:szCs w:val="22"/>
        </w:rPr>
        <w:t xml:space="preserve"> indirect costs of service provision</w:t>
      </w:r>
      <w:r w:rsidR="00153631">
        <w:rPr>
          <w:szCs w:val="22"/>
        </w:rPr>
        <w:t>. W</w:t>
      </w:r>
      <w:r>
        <w:rPr>
          <w:szCs w:val="22"/>
        </w:rPr>
        <w:t>hile the solutions to these issues must ultimately be systemic,</w:t>
      </w:r>
      <w:r w:rsidR="00942045">
        <w:rPr>
          <w:szCs w:val="22"/>
        </w:rPr>
        <w:t xml:space="preserve"> </w:t>
      </w:r>
      <w:r>
        <w:rPr>
          <w:szCs w:val="22"/>
        </w:rPr>
        <w:t>introduc</w:t>
      </w:r>
      <w:r w:rsidR="008D1D24">
        <w:rPr>
          <w:szCs w:val="22"/>
        </w:rPr>
        <w:t>ing</w:t>
      </w:r>
      <w:r>
        <w:rPr>
          <w:szCs w:val="22"/>
        </w:rPr>
        <w:t xml:space="preserve"> some local solutions, including significantly longer agreements than current CSS programs. </w:t>
      </w:r>
      <w:r w:rsidR="00F44D8F">
        <w:rPr>
          <w:szCs w:val="22"/>
        </w:rPr>
        <w:t xml:space="preserve">Providers will be encouraged through reporting </w:t>
      </w:r>
      <w:r w:rsidR="004E368A">
        <w:rPr>
          <w:szCs w:val="22"/>
        </w:rPr>
        <w:t xml:space="preserve">requirements </w:t>
      </w:r>
      <w:r w:rsidR="00F44D8F">
        <w:rPr>
          <w:szCs w:val="22"/>
        </w:rPr>
        <w:t xml:space="preserve">to reveal the full cost of service delivery </w:t>
      </w:r>
      <w:r w:rsidR="00153631">
        <w:rPr>
          <w:szCs w:val="22"/>
        </w:rPr>
        <w:t xml:space="preserve">(including indirect costs) </w:t>
      </w:r>
      <w:r w:rsidR="00F44D8F">
        <w:rPr>
          <w:szCs w:val="22"/>
        </w:rPr>
        <w:t xml:space="preserve">so the data collected can be used to inform future </w:t>
      </w:r>
      <w:r w:rsidR="008D1D24">
        <w:rPr>
          <w:szCs w:val="22"/>
        </w:rPr>
        <w:t>CSS investments</w:t>
      </w:r>
      <w:r w:rsidR="00F44D8F">
        <w:rPr>
          <w:szCs w:val="22"/>
        </w:rPr>
        <w:t>.</w:t>
      </w:r>
    </w:p>
    <w:p w14:paraId="0077AF43" w14:textId="542BE3C3" w:rsidR="00F44D8F" w:rsidRDefault="00270239" w:rsidP="00B24C8F">
      <w:pPr>
        <w:shd w:val="clear" w:color="auto" w:fill="FFFFFF" w:themeFill="background1"/>
        <w:rPr>
          <w:szCs w:val="22"/>
        </w:rPr>
      </w:pPr>
      <w:r>
        <w:rPr>
          <w:szCs w:val="22"/>
        </w:rPr>
        <w:t>The central focus on outcomes</w:t>
      </w:r>
      <w:r w:rsidR="00110885">
        <w:rPr>
          <w:szCs w:val="22"/>
        </w:rPr>
        <w:t>,</w:t>
      </w:r>
      <w:r>
        <w:rPr>
          <w:szCs w:val="22"/>
        </w:rPr>
        <w:t xml:space="preserve"> a key feature of commissioning</w:t>
      </w:r>
      <w:r w:rsidR="00110885">
        <w:rPr>
          <w:szCs w:val="22"/>
        </w:rPr>
        <w:t>,</w:t>
      </w:r>
      <w:r>
        <w:rPr>
          <w:szCs w:val="22"/>
        </w:rPr>
        <w:t xml:space="preserve"> also provided opportunities to pioneer new approaches to ensuring </w:t>
      </w:r>
      <w:r w:rsidR="005C0557">
        <w:rPr>
          <w:szCs w:val="22"/>
        </w:rPr>
        <w:t xml:space="preserve">the </w:t>
      </w:r>
      <w:r>
        <w:rPr>
          <w:szCs w:val="22"/>
        </w:rPr>
        <w:t>ACT Health</w:t>
      </w:r>
      <w:r w:rsidR="005C0557">
        <w:rPr>
          <w:szCs w:val="22"/>
        </w:rPr>
        <w:t xml:space="preserve"> Directorate</w:t>
      </w:r>
      <w:r>
        <w:rPr>
          <w:szCs w:val="22"/>
        </w:rPr>
        <w:t xml:space="preserve">’s </w:t>
      </w:r>
      <w:r w:rsidR="005C0557">
        <w:rPr>
          <w:szCs w:val="22"/>
        </w:rPr>
        <w:t>(ACTHD</w:t>
      </w:r>
      <w:r w:rsidR="00431085">
        <w:rPr>
          <w:szCs w:val="22"/>
        </w:rPr>
        <w:t>’s</w:t>
      </w:r>
      <w:r w:rsidR="005C0557">
        <w:rPr>
          <w:szCs w:val="22"/>
        </w:rPr>
        <w:t xml:space="preserve">) </w:t>
      </w:r>
      <w:r>
        <w:rPr>
          <w:szCs w:val="22"/>
        </w:rPr>
        <w:t>future investment in the subsector follows those programs and services that most effectively address the identified need of participants. The CSS outcomes framework (</w:t>
      </w:r>
      <w:r w:rsidRPr="00270239">
        <w:rPr>
          <w:szCs w:val="22"/>
          <w:u w:val="single"/>
        </w:rPr>
        <w:t>Appendix A</w:t>
      </w:r>
      <w:r>
        <w:rPr>
          <w:szCs w:val="22"/>
        </w:rPr>
        <w:t xml:space="preserve">) was developed and refined in close consultation with subsector stakeholders and represents contemporary needs and priorities whilst retaining the flexibility </w:t>
      </w:r>
      <w:r w:rsidR="00995BD6">
        <w:rPr>
          <w:szCs w:val="22"/>
        </w:rPr>
        <w:t>to remain current into future commissioning rounds</w:t>
      </w:r>
      <w:r w:rsidR="00DC55B0">
        <w:rPr>
          <w:szCs w:val="22"/>
        </w:rPr>
        <w:t xml:space="preserve">. </w:t>
      </w:r>
    </w:p>
    <w:p w14:paraId="213AAB79" w14:textId="08DC3B1E" w:rsidR="00270239" w:rsidRDefault="00942045" w:rsidP="00B24C8F">
      <w:pPr>
        <w:shd w:val="clear" w:color="auto" w:fill="FFFFFF" w:themeFill="background1"/>
        <w:rPr>
          <w:szCs w:val="22"/>
        </w:rPr>
      </w:pPr>
      <w:r>
        <w:rPr>
          <w:szCs w:val="22"/>
        </w:rPr>
        <w:t xml:space="preserve">We </w:t>
      </w:r>
      <w:r w:rsidR="00F44D8F">
        <w:rPr>
          <w:szCs w:val="22"/>
        </w:rPr>
        <w:t>also heard that many funded organisations were struggling with the implications of the elevated importance of outcomes</w:t>
      </w:r>
      <w:r>
        <w:rPr>
          <w:szCs w:val="22"/>
        </w:rPr>
        <w:t>,</w:t>
      </w:r>
      <w:r w:rsidR="00F44D8F">
        <w:rPr>
          <w:szCs w:val="22"/>
        </w:rPr>
        <w:t xml:space="preserve"> and </w:t>
      </w:r>
      <w:r>
        <w:rPr>
          <w:szCs w:val="22"/>
        </w:rPr>
        <w:t xml:space="preserve">we </w:t>
      </w:r>
      <w:r w:rsidR="00292A23">
        <w:rPr>
          <w:szCs w:val="22"/>
        </w:rPr>
        <w:t>plan to</w:t>
      </w:r>
      <w:r w:rsidR="00E177BF">
        <w:rPr>
          <w:szCs w:val="22"/>
        </w:rPr>
        <w:t xml:space="preserve"> pilot </w:t>
      </w:r>
      <w:r w:rsidR="00292A23">
        <w:rPr>
          <w:szCs w:val="22"/>
        </w:rPr>
        <w:t xml:space="preserve">an online </w:t>
      </w:r>
      <w:r w:rsidR="00E177BF">
        <w:rPr>
          <w:szCs w:val="22"/>
        </w:rPr>
        <w:t>tool to streamline outcomes data collection and analysis.</w:t>
      </w:r>
      <w:r w:rsidR="00F44D8F">
        <w:rPr>
          <w:szCs w:val="22"/>
        </w:rPr>
        <w:t xml:space="preserve"> Th</w:t>
      </w:r>
      <w:r w:rsidR="00075AAB">
        <w:rPr>
          <w:szCs w:val="22"/>
        </w:rPr>
        <w:t>e</w:t>
      </w:r>
      <w:r w:rsidR="00F44D8F">
        <w:rPr>
          <w:szCs w:val="22"/>
        </w:rPr>
        <w:t xml:space="preserve"> </w:t>
      </w:r>
      <w:r w:rsidR="00075AAB">
        <w:rPr>
          <w:szCs w:val="22"/>
        </w:rPr>
        <w:t xml:space="preserve">pilot </w:t>
      </w:r>
      <w:r w:rsidR="00F44D8F">
        <w:rPr>
          <w:szCs w:val="22"/>
        </w:rPr>
        <w:t xml:space="preserve">will give all funded organisations the opportunity to learn more about </w:t>
      </w:r>
      <w:r w:rsidR="00075AAB">
        <w:rPr>
          <w:szCs w:val="22"/>
        </w:rPr>
        <w:t xml:space="preserve">how they can easily </w:t>
      </w:r>
      <w:r>
        <w:rPr>
          <w:szCs w:val="22"/>
        </w:rPr>
        <w:t>use</w:t>
      </w:r>
      <w:r w:rsidR="00F44D8F">
        <w:rPr>
          <w:szCs w:val="22"/>
        </w:rPr>
        <w:t xml:space="preserve"> outcomes measurement </w:t>
      </w:r>
      <w:r w:rsidR="00075AAB">
        <w:rPr>
          <w:szCs w:val="22"/>
        </w:rPr>
        <w:t>to showcase the real value of their funded programs and services</w:t>
      </w:r>
      <w:r w:rsidR="00995BD6">
        <w:rPr>
          <w:szCs w:val="22"/>
        </w:rPr>
        <w:t xml:space="preserve">. </w:t>
      </w:r>
    </w:p>
    <w:p w14:paraId="1E789122" w14:textId="146B10D7" w:rsidR="00995BD6" w:rsidRDefault="00995BD6" w:rsidP="00B24C8F">
      <w:pPr>
        <w:shd w:val="clear" w:color="auto" w:fill="FFFFFF" w:themeFill="background1"/>
        <w:rPr>
          <w:szCs w:val="22"/>
        </w:rPr>
      </w:pPr>
      <w:r>
        <w:rPr>
          <w:szCs w:val="22"/>
        </w:rPr>
        <w:t>The collaborative ethos that is central to commissioning</w:t>
      </w:r>
      <w:r w:rsidR="00575A4E">
        <w:rPr>
          <w:szCs w:val="22"/>
        </w:rPr>
        <w:t xml:space="preserve"> has made many things </w:t>
      </w:r>
      <w:r w:rsidR="00387BD0">
        <w:rPr>
          <w:szCs w:val="22"/>
        </w:rPr>
        <w:t xml:space="preserve">possible </w:t>
      </w:r>
      <w:r w:rsidR="00575A4E">
        <w:rPr>
          <w:szCs w:val="22"/>
        </w:rPr>
        <w:t xml:space="preserve">that were not formerly possible </w:t>
      </w:r>
      <w:r w:rsidR="00387BD0">
        <w:rPr>
          <w:szCs w:val="22"/>
        </w:rPr>
        <w:t xml:space="preserve">under </w:t>
      </w:r>
      <w:r w:rsidR="00575A4E">
        <w:rPr>
          <w:szCs w:val="22"/>
        </w:rPr>
        <w:t>traditional ‘top-down’ health service planning approaches</w:t>
      </w:r>
      <w:r w:rsidR="004E19D3">
        <w:rPr>
          <w:szCs w:val="22"/>
        </w:rPr>
        <w:t>.</w:t>
      </w:r>
      <w:r w:rsidR="00575A4E">
        <w:rPr>
          <w:szCs w:val="22"/>
        </w:rPr>
        <w:t xml:space="preserve"> </w:t>
      </w:r>
      <w:r w:rsidR="004E19D3">
        <w:rPr>
          <w:szCs w:val="22"/>
        </w:rPr>
        <w:t>T</w:t>
      </w:r>
      <w:r w:rsidR="00575A4E">
        <w:rPr>
          <w:szCs w:val="22"/>
        </w:rPr>
        <w:t>he CSS commissioning team</w:t>
      </w:r>
      <w:r w:rsidR="00387BD0">
        <w:rPr>
          <w:szCs w:val="22"/>
        </w:rPr>
        <w:t xml:space="preserve"> members</w:t>
      </w:r>
      <w:r w:rsidR="00575A4E">
        <w:rPr>
          <w:szCs w:val="22"/>
        </w:rPr>
        <w:t xml:space="preserve"> extend</w:t>
      </w:r>
      <w:r w:rsidR="00387BD0">
        <w:rPr>
          <w:szCs w:val="22"/>
        </w:rPr>
        <w:t xml:space="preserve"> their</w:t>
      </w:r>
      <w:r w:rsidR="00575A4E">
        <w:rPr>
          <w:szCs w:val="22"/>
        </w:rPr>
        <w:t xml:space="preserve"> </w:t>
      </w:r>
      <w:r w:rsidR="00942045">
        <w:rPr>
          <w:szCs w:val="22"/>
        </w:rPr>
        <w:t>g</w:t>
      </w:r>
      <w:r w:rsidR="00575A4E">
        <w:rPr>
          <w:szCs w:val="22"/>
        </w:rPr>
        <w:t>ratitude to all subsector partners and other stakeholders who have given so generously of their time to ensure that the new subsector program maximises the impact of ACT</w:t>
      </w:r>
      <w:r w:rsidR="00942045">
        <w:rPr>
          <w:szCs w:val="22"/>
        </w:rPr>
        <w:t>HD’s</w:t>
      </w:r>
      <w:r w:rsidR="00575A4E">
        <w:rPr>
          <w:szCs w:val="22"/>
        </w:rPr>
        <w:t xml:space="preserve"> subsector investment for </w:t>
      </w:r>
      <w:r w:rsidR="004E19D3">
        <w:rPr>
          <w:szCs w:val="22"/>
        </w:rPr>
        <w:t xml:space="preserve">the </w:t>
      </w:r>
      <w:r w:rsidR="00575A4E">
        <w:rPr>
          <w:szCs w:val="22"/>
        </w:rPr>
        <w:t>Canberra community.</w:t>
      </w:r>
      <w:r>
        <w:rPr>
          <w:szCs w:val="22"/>
        </w:rPr>
        <w:t xml:space="preserve"> </w:t>
      </w:r>
    </w:p>
    <w:p w14:paraId="1F55B204" w14:textId="3003538F" w:rsidR="00815CBC" w:rsidRPr="003A0BAF" w:rsidRDefault="00815CBC" w:rsidP="008B14C4">
      <w:pPr>
        <w:pStyle w:val="Heading2"/>
      </w:pPr>
      <w:bookmarkStart w:id="3" w:name="_Toc120843531"/>
      <w:bookmarkStart w:id="4" w:name="_Hlk120031041"/>
      <w:r w:rsidRPr="003A0BAF">
        <w:lastRenderedPageBreak/>
        <w:t xml:space="preserve">Key </w:t>
      </w:r>
      <w:r w:rsidR="00FA5AC3">
        <w:t>outcomes from</w:t>
      </w:r>
      <w:r w:rsidRPr="003A0BAF">
        <w:t xml:space="preserve"> the </w:t>
      </w:r>
      <w:r w:rsidR="003A0BAF" w:rsidRPr="003A0BAF">
        <w:t>Commissioning engagement process</w:t>
      </w:r>
      <w:bookmarkEnd w:id="3"/>
    </w:p>
    <w:bookmarkEnd w:id="4"/>
    <w:p w14:paraId="176446A0" w14:textId="5F0614F2" w:rsidR="00E84254" w:rsidRDefault="00FA5AC3" w:rsidP="00B24C8F">
      <w:pPr>
        <w:shd w:val="clear" w:color="auto" w:fill="FFFFFF" w:themeFill="background1"/>
        <w:rPr>
          <w:rFonts w:cstheme="minorHAnsi"/>
          <w:szCs w:val="22"/>
        </w:rPr>
      </w:pPr>
      <w:r>
        <w:rPr>
          <w:szCs w:val="22"/>
        </w:rPr>
        <w:t xml:space="preserve">The </w:t>
      </w:r>
      <w:r w:rsidR="00942045">
        <w:rPr>
          <w:szCs w:val="22"/>
        </w:rPr>
        <w:t>new program, known as</w:t>
      </w:r>
      <w:r w:rsidR="005B47DE">
        <w:rPr>
          <w:szCs w:val="22"/>
        </w:rPr>
        <w:t xml:space="preserve"> the</w:t>
      </w:r>
      <w:r w:rsidR="00942045">
        <w:rPr>
          <w:szCs w:val="22"/>
        </w:rPr>
        <w:t xml:space="preserve"> </w:t>
      </w:r>
      <w:r w:rsidRPr="00D239F9">
        <w:rPr>
          <w:rFonts w:cstheme="minorHAnsi"/>
          <w:szCs w:val="22"/>
        </w:rPr>
        <w:t>Temporary Assistance and Community Supports (</w:t>
      </w:r>
      <w:r w:rsidR="001C744C">
        <w:rPr>
          <w:rFonts w:cstheme="minorHAnsi"/>
          <w:szCs w:val="22"/>
        </w:rPr>
        <w:t>TACS</w:t>
      </w:r>
      <w:r w:rsidRPr="00D239F9">
        <w:rPr>
          <w:rFonts w:cstheme="minorHAnsi"/>
          <w:szCs w:val="22"/>
        </w:rPr>
        <w:t>)</w:t>
      </w:r>
      <w:r w:rsidR="005B47DE">
        <w:rPr>
          <w:rFonts w:cstheme="minorHAnsi"/>
          <w:szCs w:val="22"/>
        </w:rPr>
        <w:t xml:space="preserve"> program,</w:t>
      </w:r>
      <w:r>
        <w:rPr>
          <w:rFonts w:cstheme="minorHAnsi"/>
          <w:szCs w:val="22"/>
        </w:rPr>
        <w:t xml:space="preserve"> </w:t>
      </w:r>
      <w:r w:rsidR="006A1F97">
        <w:rPr>
          <w:rFonts w:cstheme="minorHAnsi"/>
          <w:szCs w:val="22"/>
        </w:rPr>
        <w:t xml:space="preserve">will </w:t>
      </w:r>
      <w:r>
        <w:rPr>
          <w:rFonts w:cstheme="minorHAnsi"/>
          <w:szCs w:val="22"/>
        </w:rPr>
        <w:t>incorporate a range of features that</w:t>
      </w:r>
      <w:r w:rsidR="00B4797E">
        <w:rPr>
          <w:rFonts w:cstheme="minorHAnsi"/>
          <w:szCs w:val="22"/>
        </w:rPr>
        <w:t xml:space="preserve"> address needs identified through the ‘strategise’ phase, and which</w:t>
      </w:r>
      <w:r>
        <w:rPr>
          <w:rFonts w:cstheme="minorHAnsi"/>
          <w:szCs w:val="22"/>
        </w:rPr>
        <w:t xml:space="preserve"> received strong stakeholder support</w:t>
      </w:r>
      <w:r w:rsidR="00B4797E">
        <w:rPr>
          <w:rFonts w:cstheme="minorHAnsi"/>
          <w:szCs w:val="22"/>
        </w:rPr>
        <w:t xml:space="preserve"> throughout ‘design’ phase discussions</w:t>
      </w:r>
      <w:r w:rsidR="00E4473D">
        <w:rPr>
          <w:rFonts w:cstheme="minorHAnsi"/>
          <w:szCs w:val="22"/>
        </w:rPr>
        <w:t>.</w:t>
      </w:r>
      <w:r>
        <w:rPr>
          <w:rFonts w:cstheme="minorHAnsi"/>
          <w:szCs w:val="22"/>
        </w:rPr>
        <w:t xml:space="preserve"> </w:t>
      </w:r>
      <w:r w:rsidR="00E4473D">
        <w:rPr>
          <w:rFonts w:cstheme="minorHAnsi"/>
          <w:szCs w:val="22"/>
        </w:rPr>
        <w:t xml:space="preserve"> Key changes are set out in Table 1.</w:t>
      </w:r>
    </w:p>
    <w:p w14:paraId="1CAEBCDE" w14:textId="0CAE3608" w:rsidR="00E4473D" w:rsidRDefault="00E4473D" w:rsidP="00B24C8F">
      <w:pPr>
        <w:shd w:val="clear" w:color="auto" w:fill="FFFFFF" w:themeFill="background1"/>
        <w:rPr>
          <w:b/>
          <w:bCs/>
          <w:szCs w:val="22"/>
        </w:rPr>
      </w:pPr>
      <w:r>
        <w:rPr>
          <w:b/>
          <w:bCs/>
          <w:szCs w:val="22"/>
        </w:rPr>
        <w:t>Table 1: Current vs Future Arrangements under TACS program</w:t>
      </w:r>
    </w:p>
    <w:tbl>
      <w:tblPr>
        <w:tblStyle w:val="TableGrid"/>
        <w:tblW w:w="9918" w:type="dxa"/>
        <w:tblLook w:val="04A0" w:firstRow="1" w:lastRow="0" w:firstColumn="1" w:lastColumn="0" w:noHBand="0" w:noVBand="1"/>
      </w:tblPr>
      <w:tblGrid>
        <w:gridCol w:w="1036"/>
        <w:gridCol w:w="1794"/>
        <w:gridCol w:w="2552"/>
        <w:gridCol w:w="4536"/>
      </w:tblGrid>
      <w:tr w:rsidR="00E4473D" w14:paraId="12C6CF49" w14:textId="77777777" w:rsidTr="00D329A4">
        <w:tc>
          <w:tcPr>
            <w:tcW w:w="1036" w:type="dxa"/>
            <w:shd w:val="clear" w:color="auto" w:fill="A6A6A6" w:themeFill="background1" w:themeFillShade="A6"/>
          </w:tcPr>
          <w:p w14:paraId="74E7C39F" w14:textId="77777777" w:rsidR="00E4473D" w:rsidRPr="00E460AB" w:rsidRDefault="00E4473D" w:rsidP="00E460AB">
            <w:pPr>
              <w:rPr>
                <w:rFonts w:cstheme="minorHAnsi"/>
                <w:sz w:val="16"/>
                <w:szCs w:val="16"/>
              </w:rPr>
            </w:pPr>
            <w:r w:rsidRPr="00E460AB">
              <w:rPr>
                <w:rFonts w:cstheme="minorHAnsi"/>
                <w:sz w:val="16"/>
                <w:szCs w:val="16"/>
              </w:rPr>
              <w:t>Change</w:t>
            </w:r>
          </w:p>
        </w:tc>
        <w:tc>
          <w:tcPr>
            <w:tcW w:w="1794" w:type="dxa"/>
            <w:shd w:val="clear" w:color="auto" w:fill="A6A6A6" w:themeFill="background1" w:themeFillShade="A6"/>
          </w:tcPr>
          <w:p w14:paraId="7A489D53" w14:textId="77777777" w:rsidR="00E4473D" w:rsidRPr="00E460AB" w:rsidRDefault="00E4473D" w:rsidP="00E460AB">
            <w:pPr>
              <w:rPr>
                <w:rFonts w:cstheme="minorHAnsi"/>
                <w:sz w:val="16"/>
                <w:szCs w:val="16"/>
              </w:rPr>
            </w:pPr>
            <w:r w:rsidRPr="00E460AB">
              <w:rPr>
                <w:rFonts w:cstheme="minorHAnsi"/>
                <w:sz w:val="16"/>
                <w:szCs w:val="16"/>
              </w:rPr>
              <w:t>Existing Policy</w:t>
            </w:r>
          </w:p>
        </w:tc>
        <w:tc>
          <w:tcPr>
            <w:tcW w:w="2552" w:type="dxa"/>
            <w:shd w:val="clear" w:color="auto" w:fill="A6A6A6" w:themeFill="background1" w:themeFillShade="A6"/>
          </w:tcPr>
          <w:p w14:paraId="4EC86F04" w14:textId="77777777" w:rsidR="00E4473D" w:rsidRPr="00E460AB" w:rsidRDefault="00E4473D" w:rsidP="00E460AB">
            <w:pPr>
              <w:rPr>
                <w:rFonts w:cstheme="minorHAnsi"/>
                <w:sz w:val="16"/>
                <w:szCs w:val="16"/>
              </w:rPr>
            </w:pPr>
            <w:r w:rsidRPr="00E460AB">
              <w:rPr>
                <w:rFonts w:cstheme="minorHAnsi"/>
                <w:sz w:val="16"/>
                <w:szCs w:val="16"/>
              </w:rPr>
              <w:t>TACS Policy</w:t>
            </w:r>
          </w:p>
        </w:tc>
        <w:tc>
          <w:tcPr>
            <w:tcW w:w="4536" w:type="dxa"/>
            <w:shd w:val="clear" w:color="auto" w:fill="A6A6A6" w:themeFill="background1" w:themeFillShade="A6"/>
          </w:tcPr>
          <w:p w14:paraId="7A57BBA6" w14:textId="77777777" w:rsidR="00E4473D" w:rsidRPr="00E460AB" w:rsidRDefault="00E4473D" w:rsidP="00E460AB">
            <w:pPr>
              <w:rPr>
                <w:rFonts w:cstheme="minorHAnsi"/>
                <w:sz w:val="16"/>
                <w:szCs w:val="16"/>
              </w:rPr>
            </w:pPr>
            <w:r>
              <w:rPr>
                <w:rFonts w:cstheme="minorHAnsi"/>
                <w:sz w:val="16"/>
                <w:szCs w:val="16"/>
              </w:rPr>
              <w:t>Detail / Rationale</w:t>
            </w:r>
          </w:p>
        </w:tc>
      </w:tr>
      <w:tr w:rsidR="00E4473D" w14:paraId="5E1C5C45" w14:textId="77777777" w:rsidTr="00D329A4">
        <w:tc>
          <w:tcPr>
            <w:tcW w:w="1036" w:type="dxa"/>
          </w:tcPr>
          <w:p w14:paraId="700AE049" w14:textId="77777777" w:rsidR="00E4473D" w:rsidRPr="00E460AB" w:rsidRDefault="00E4473D" w:rsidP="00E460AB">
            <w:pPr>
              <w:rPr>
                <w:rFonts w:cstheme="minorHAnsi"/>
                <w:sz w:val="16"/>
                <w:szCs w:val="16"/>
              </w:rPr>
            </w:pPr>
            <w:r w:rsidRPr="00E460AB">
              <w:rPr>
                <w:rFonts w:cstheme="minorHAnsi"/>
                <w:sz w:val="16"/>
                <w:szCs w:val="16"/>
              </w:rPr>
              <w:t>Program Objective</w:t>
            </w:r>
          </w:p>
        </w:tc>
        <w:tc>
          <w:tcPr>
            <w:tcW w:w="1794" w:type="dxa"/>
          </w:tcPr>
          <w:p w14:paraId="6C4B3645" w14:textId="77777777" w:rsidR="00E4473D" w:rsidRPr="00E460AB" w:rsidRDefault="00E4473D" w:rsidP="00E460AB">
            <w:pPr>
              <w:rPr>
                <w:rFonts w:cstheme="minorHAnsi"/>
                <w:sz w:val="16"/>
                <w:szCs w:val="16"/>
              </w:rPr>
            </w:pPr>
            <w:r>
              <w:rPr>
                <w:rFonts w:cstheme="minorHAnsi"/>
                <w:sz w:val="16"/>
                <w:szCs w:val="16"/>
              </w:rPr>
              <w:t>A complex and opaque latticework of program objectives, outcomes, and eligibility criteria, with a small number of consistent themes including the provision of temporary low-intensity supports.</w:t>
            </w:r>
          </w:p>
          <w:p w14:paraId="1C6DE8AF" w14:textId="77777777" w:rsidR="00E4473D" w:rsidRPr="00E460AB" w:rsidRDefault="00E4473D" w:rsidP="00E460AB">
            <w:pPr>
              <w:rPr>
                <w:rFonts w:cstheme="minorHAnsi"/>
                <w:sz w:val="16"/>
                <w:szCs w:val="16"/>
              </w:rPr>
            </w:pPr>
          </w:p>
          <w:p w14:paraId="3F843F8A" w14:textId="77777777" w:rsidR="00E4473D" w:rsidRPr="00E460AB" w:rsidRDefault="00E4473D" w:rsidP="00E460AB">
            <w:pPr>
              <w:rPr>
                <w:rFonts w:cstheme="minorHAnsi"/>
                <w:sz w:val="16"/>
                <w:szCs w:val="16"/>
              </w:rPr>
            </w:pPr>
          </w:p>
        </w:tc>
        <w:tc>
          <w:tcPr>
            <w:tcW w:w="2552" w:type="dxa"/>
          </w:tcPr>
          <w:p w14:paraId="65304237" w14:textId="6D203DDF" w:rsidR="007155D0" w:rsidRPr="007155D0" w:rsidRDefault="00E4473D" w:rsidP="007155D0">
            <w:pPr>
              <w:shd w:val="clear" w:color="auto" w:fill="FFFFFF" w:themeFill="background1"/>
              <w:rPr>
                <w:sz w:val="16"/>
                <w:szCs w:val="16"/>
              </w:rPr>
            </w:pPr>
            <w:r w:rsidRPr="00E460AB">
              <w:rPr>
                <w:sz w:val="16"/>
                <w:szCs w:val="16"/>
              </w:rPr>
              <w:t xml:space="preserve">An overarching objective </w:t>
            </w:r>
            <w:r w:rsidR="00E16AFE">
              <w:rPr>
                <w:sz w:val="16"/>
                <w:szCs w:val="16"/>
              </w:rPr>
              <w:t>to</w:t>
            </w:r>
            <w:r w:rsidRPr="00E460AB">
              <w:rPr>
                <w:sz w:val="16"/>
                <w:szCs w:val="16"/>
              </w:rPr>
              <w:t xml:space="preserve"> ensur</w:t>
            </w:r>
            <w:r w:rsidR="00E16AFE">
              <w:rPr>
                <w:sz w:val="16"/>
                <w:szCs w:val="16"/>
              </w:rPr>
              <w:t>e</w:t>
            </w:r>
            <w:r w:rsidRPr="00E460AB">
              <w:rPr>
                <w:sz w:val="16"/>
                <w:szCs w:val="16"/>
              </w:rPr>
              <w:t xml:space="preserve"> vulnerable residents of the ACT do not fall between gaps in existing programs through funding temporary, low-intensity assistance and supports and limited low-cost equipment, not otherwise accessible through another Commonwealth, State, or Territory government scheme or program</w:t>
            </w:r>
            <w:r w:rsidR="007155D0">
              <w:rPr>
                <w:sz w:val="16"/>
                <w:szCs w:val="16"/>
              </w:rPr>
              <w:t xml:space="preserve"> to allow</w:t>
            </w:r>
            <w:r w:rsidR="007155D0" w:rsidRPr="007155D0">
              <w:rPr>
                <w:sz w:val="16"/>
                <w:szCs w:val="16"/>
              </w:rPr>
              <w:t xml:space="preserve"> eligible people to: </w:t>
            </w:r>
          </w:p>
          <w:p w14:paraId="07692C6C" w14:textId="10F8AE32" w:rsidR="007155D0" w:rsidRDefault="007155D0" w:rsidP="007155D0">
            <w:pPr>
              <w:shd w:val="clear" w:color="auto" w:fill="FFFFFF" w:themeFill="background1"/>
              <w:rPr>
                <w:sz w:val="16"/>
                <w:szCs w:val="16"/>
              </w:rPr>
            </w:pPr>
            <w:r w:rsidRPr="007155D0">
              <w:rPr>
                <w:sz w:val="16"/>
                <w:szCs w:val="16"/>
              </w:rPr>
              <w:t>•</w:t>
            </w:r>
            <w:r>
              <w:rPr>
                <w:sz w:val="16"/>
                <w:szCs w:val="16"/>
              </w:rPr>
              <w:t xml:space="preserve"> </w:t>
            </w:r>
            <w:r w:rsidRPr="007155D0">
              <w:rPr>
                <w:sz w:val="16"/>
                <w:szCs w:val="16"/>
              </w:rPr>
              <w:t xml:space="preserve">remain in their home, if appropriate and safe; </w:t>
            </w:r>
          </w:p>
          <w:p w14:paraId="68D9E90C" w14:textId="6896E18E" w:rsidR="007155D0" w:rsidRPr="007155D0" w:rsidRDefault="007155D0" w:rsidP="007155D0">
            <w:pPr>
              <w:shd w:val="clear" w:color="auto" w:fill="FFFFFF" w:themeFill="background1"/>
              <w:rPr>
                <w:sz w:val="16"/>
                <w:szCs w:val="16"/>
              </w:rPr>
            </w:pPr>
            <w:r w:rsidRPr="007155D0">
              <w:rPr>
                <w:sz w:val="16"/>
                <w:szCs w:val="16"/>
              </w:rPr>
              <w:t>•</w:t>
            </w:r>
            <w:r>
              <w:rPr>
                <w:sz w:val="16"/>
                <w:szCs w:val="16"/>
              </w:rPr>
              <w:t xml:space="preserve"> </w:t>
            </w:r>
            <w:r w:rsidRPr="007155D0">
              <w:rPr>
                <w:sz w:val="16"/>
                <w:szCs w:val="16"/>
              </w:rPr>
              <w:t xml:space="preserve">discharge safely and quickly from hospital to home; </w:t>
            </w:r>
          </w:p>
          <w:p w14:paraId="0ACE6BF2" w14:textId="29871E44" w:rsidR="007155D0" w:rsidRPr="007155D0" w:rsidRDefault="007155D0" w:rsidP="007155D0">
            <w:pPr>
              <w:shd w:val="clear" w:color="auto" w:fill="FFFFFF" w:themeFill="background1"/>
              <w:rPr>
                <w:sz w:val="16"/>
                <w:szCs w:val="16"/>
              </w:rPr>
            </w:pPr>
            <w:r w:rsidRPr="007155D0">
              <w:rPr>
                <w:sz w:val="16"/>
                <w:szCs w:val="16"/>
              </w:rPr>
              <w:t>•</w:t>
            </w:r>
            <w:r>
              <w:rPr>
                <w:sz w:val="16"/>
                <w:szCs w:val="16"/>
              </w:rPr>
              <w:t xml:space="preserve"> </w:t>
            </w:r>
            <w:r w:rsidRPr="007155D0">
              <w:rPr>
                <w:sz w:val="16"/>
                <w:szCs w:val="16"/>
              </w:rPr>
              <w:t xml:space="preserve">realise their health and wellbeing goals, including recovery where applicable; and </w:t>
            </w:r>
          </w:p>
          <w:p w14:paraId="4F86734A" w14:textId="533984AC" w:rsidR="00E4473D" w:rsidRPr="00E460AB" w:rsidRDefault="007155D0" w:rsidP="007155D0">
            <w:pPr>
              <w:shd w:val="clear" w:color="auto" w:fill="FFFFFF" w:themeFill="background1"/>
              <w:rPr>
                <w:rFonts w:cstheme="minorHAnsi"/>
                <w:sz w:val="16"/>
                <w:szCs w:val="16"/>
              </w:rPr>
            </w:pPr>
            <w:r w:rsidRPr="007155D0">
              <w:rPr>
                <w:sz w:val="16"/>
                <w:szCs w:val="16"/>
              </w:rPr>
              <w:t>•</w:t>
            </w:r>
            <w:r>
              <w:rPr>
                <w:sz w:val="16"/>
                <w:szCs w:val="16"/>
              </w:rPr>
              <w:t xml:space="preserve"> </w:t>
            </w:r>
            <w:r w:rsidRPr="007155D0">
              <w:rPr>
                <w:sz w:val="16"/>
                <w:szCs w:val="16"/>
              </w:rPr>
              <w:t>foster connection to family, friends, carers, and the community.</w:t>
            </w:r>
          </w:p>
        </w:tc>
        <w:tc>
          <w:tcPr>
            <w:tcW w:w="4536" w:type="dxa"/>
          </w:tcPr>
          <w:p w14:paraId="05F357E6" w14:textId="604E7A85" w:rsidR="00E4473D" w:rsidRDefault="00E4473D" w:rsidP="00E460AB">
            <w:pPr>
              <w:shd w:val="clear" w:color="auto" w:fill="FFFFFF" w:themeFill="background1"/>
              <w:rPr>
                <w:sz w:val="16"/>
                <w:szCs w:val="16"/>
              </w:rPr>
            </w:pPr>
            <w:r>
              <w:rPr>
                <w:sz w:val="16"/>
                <w:szCs w:val="16"/>
              </w:rPr>
              <w:t>A</w:t>
            </w:r>
            <w:r w:rsidRPr="00E460AB">
              <w:rPr>
                <w:sz w:val="16"/>
                <w:szCs w:val="16"/>
              </w:rPr>
              <w:t>ssistance, supports, and equipment will be person and family-centred, culturally appropriate, and delivered within a human rights framework</w:t>
            </w:r>
            <w:r w:rsidR="007155D0">
              <w:rPr>
                <w:sz w:val="16"/>
                <w:szCs w:val="16"/>
              </w:rPr>
              <w:t xml:space="preserve">. </w:t>
            </w:r>
          </w:p>
          <w:p w14:paraId="637FB372" w14:textId="6C1322EA" w:rsidR="00E4473D" w:rsidRDefault="00E4473D" w:rsidP="00E460AB">
            <w:pPr>
              <w:shd w:val="clear" w:color="auto" w:fill="FFFFFF" w:themeFill="background1"/>
              <w:spacing w:after="120"/>
              <w:rPr>
                <w:sz w:val="16"/>
                <w:szCs w:val="16"/>
              </w:rPr>
            </w:pPr>
            <w:r w:rsidRPr="00A90A69">
              <w:rPr>
                <w:sz w:val="16"/>
                <w:szCs w:val="16"/>
              </w:rPr>
              <w:t xml:space="preserve">A ‘warm’ hospital discharge service </w:t>
            </w:r>
            <w:r>
              <w:rPr>
                <w:sz w:val="16"/>
                <w:szCs w:val="16"/>
              </w:rPr>
              <w:t>will be</w:t>
            </w:r>
            <w:r w:rsidRPr="00A90A69">
              <w:rPr>
                <w:sz w:val="16"/>
                <w:szCs w:val="16"/>
              </w:rPr>
              <w:t xml:space="preserve"> delivered by an appropriate number of providers. The service will function on weekends in response to frustrations expressed by many referrers that people who are assessed as ready for discharge on a Friday will often, under current arrangements, </w:t>
            </w:r>
            <w:proofErr w:type="gramStart"/>
            <w:r w:rsidRPr="00A90A69">
              <w:rPr>
                <w:sz w:val="16"/>
                <w:szCs w:val="16"/>
              </w:rPr>
              <w:t>have to</w:t>
            </w:r>
            <w:proofErr w:type="gramEnd"/>
            <w:r w:rsidRPr="00A90A69">
              <w:rPr>
                <w:sz w:val="16"/>
                <w:szCs w:val="16"/>
              </w:rPr>
              <w:t xml:space="preserve"> spend several more days in hospital than is clinically necessary</w:t>
            </w:r>
            <w:r>
              <w:rPr>
                <w:sz w:val="16"/>
                <w:szCs w:val="16"/>
              </w:rPr>
              <w:t>.</w:t>
            </w:r>
          </w:p>
          <w:p w14:paraId="351412A7" w14:textId="77777777" w:rsidR="00E4473D" w:rsidRPr="00A90A69" w:rsidRDefault="00E4473D" w:rsidP="00E460AB">
            <w:pPr>
              <w:shd w:val="clear" w:color="auto" w:fill="FFFFFF" w:themeFill="background1"/>
              <w:rPr>
                <w:sz w:val="16"/>
                <w:szCs w:val="16"/>
              </w:rPr>
            </w:pPr>
            <w:r>
              <w:rPr>
                <w:sz w:val="16"/>
                <w:szCs w:val="16"/>
              </w:rPr>
              <w:t xml:space="preserve">The TACS program will also </w:t>
            </w:r>
            <w:r w:rsidRPr="00A90A69">
              <w:rPr>
                <w:sz w:val="16"/>
                <w:szCs w:val="16"/>
              </w:rPr>
              <w:t>recogni</w:t>
            </w:r>
            <w:r>
              <w:rPr>
                <w:sz w:val="16"/>
                <w:szCs w:val="16"/>
              </w:rPr>
              <w:t>se</w:t>
            </w:r>
            <w:r w:rsidRPr="00A90A69">
              <w:rPr>
                <w:sz w:val="16"/>
                <w:szCs w:val="16"/>
              </w:rPr>
              <w:t xml:space="preserve"> the vital role of carers, reflected through the establishment of a discrete carer-focused program objective: ‘Provide supports for carers and family members that nurture the caring relationship and promote the health and wellbeing of the participant, carer and family member.’</w:t>
            </w:r>
            <w:r w:rsidRPr="00A90A69">
              <w:rPr>
                <w:sz w:val="16"/>
                <w:szCs w:val="16"/>
              </w:rPr>
              <w:br/>
            </w:r>
          </w:p>
        </w:tc>
      </w:tr>
      <w:tr w:rsidR="00E4473D" w14:paraId="08102B59" w14:textId="77777777" w:rsidTr="00D329A4">
        <w:tc>
          <w:tcPr>
            <w:tcW w:w="1036" w:type="dxa"/>
          </w:tcPr>
          <w:p w14:paraId="010CA779" w14:textId="77777777" w:rsidR="00E4473D" w:rsidRPr="00E460AB" w:rsidRDefault="00E4473D" w:rsidP="00E460AB">
            <w:pPr>
              <w:rPr>
                <w:rFonts w:cstheme="minorHAnsi"/>
                <w:sz w:val="16"/>
                <w:szCs w:val="16"/>
              </w:rPr>
            </w:pPr>
            <w:r w:rsidRPr="00E460AB">
              <w:rPr>
                <w:rFonts w:cstheme="minorHAnsi"/>
                <w:sz w:val="16"/>
                <w:szCs w:val="16"/>
              </w:rPr>
              <w:t>Eligibility</w:t>
            </w:r>
          </w:p>
        </w:tc>
        <w:tc>
          <w:tcPr>
            <w:tcW w:w="1794" w:type="dxa"/>
          </w:tcPr>
          <w:p w14:paraId="5D818FB7" w14:textId="49711660" w:rsidR="00E4473D" w:rsidRPr="00E460AB" w:rsidRDefault="00E4473D" w:rsidP="00E460AB">
            <w:pPr>
              <w:rPr>
                <w:rFonts w:cstheme="minorHAnsi"/>
                <w:sz w:val="16"/>
                <w:szCs w:val="16"/>
              </w:rPr>
            </w:pPr>
            <w:r>
              <w:rPr>
                <w:rFonts w:cstheme="minorHAnsi"/>
                <w:sz w:val="16"/>
                <w:szCs w:val="16"/>
              </w:rPr>
              <w:t xml:space="preserve">CASP is open to people under the age of 65 years only.  While </w:t>
            </w:r>
            <w:r w:rsidR="00494D4D">
              <w:rPr>
                <w:rFonts w:cstheme="minorHAnsi"/>
                <w:sz w:val="16"/>
                <w:szCs w:val="16"/>
              </w:rPr>
              <w:t>Flexible F</w:t>
            </w:r>
            <w:r w:rsidR="00D02790">
              <w:rPr>
                <w:rFonts w:cstheme="minorHAnsi"/>
                <w:sz w:val="16"/>
                <w:szCs w:val="16"/>
              </w:rPr>
              <w:t>amily</w:t>
            </w:r>
            <w:r w:rsidR="00494D4D">
              <w:rPr>
                <w:rFonts w:cstheme="minorHAnsi"/>
                <w:sz w:val="16"/>
                <w:szCs w:val="16"/>
              </w:rPr>
              <w:t xml:space="preserve"> Support (</w:t>
            </w:r>
            <w:r>
              <w:rPr>
                <w:rFonts w:cstheme="minorHAnsi"/>
                <w:sz w:val="16"/>
                <w:szCs w:val="16"/>
              </w:rPr>
              <w:t>FFS</w:t>
            </w:r>
            <w:r w:rsidR="00494D4D">
              <w:rPr>
                <w:rFonts w:cstheme="minorHAnsi"/>
                <w:sz w:val="16"/>
                <w:szCs w:val="16"/>
              </w:rPr>
              <w:t>)</w:t>
            </w:r>
            <w:r>
              <w:rPr>
                <w:rFonts w:cstheme="minorHAnsi"/>
                <w:sz w:val="16"/>
                <w:szCs w:val="16"/>
              </w:rPr>
              <w:t xml:space="preserve"> and </w:t>
            </w:r>
            <w:r w:rsidR="00494D4D" w:rsidRPr="00035A7A">
              <w:rPr>
                <w:rFonts w:cstheme="minorHAnsi"/>
                <w:sz w:val="16"/>
                <w:szCs w:val="16"/>
              </w:rPr>
              <w:t>Transition</w:t>
            </w:r>
            <w:r w:rsidR="00D45F10" w:rsidRPr="00035A7A">
              <w:rPr>
                <w:rFonts w:cstheme="minorHAnsi"/>
                <w:sz w:val="16"/>
                <w:szCs w:val="16"/>
              </w:rPr>
              <w:t>al</w:t>
            </w:r>
            <w:r w:rsidR="00494D4D" w:rsidRPr="00035A7A">
              <w:rPr>
                <w:rFonts w:cstheme="minorHAnsi"/>
                <w:sz w:val="16"/>
                <w:szCs w:val="16"/>
              </w:rPr>
              <w:t xml:space="preserve"> Care Program</w:t>
            </w:r>
            <w:r w:rsidR="00494D4D">
              <w:rPr>
                <w:rFonts w:cstheme="minorHAnsi"/>
                <w:sz w:val="16"/>
                <w:szCs w:val="16"/>
              </w:rPr>
              <w:t xml:space="preserve"> (</w:t>
            </w:r>
            <w:r>
              <w:rPr>
                <w:rFonts w:cstheme="minorHAnsi"/>
                <w:sz w:val="16"/>
                <w:szCs w:val="16"/>
              </w:rPr>
              <w:t>TCP</w:t>
            </w:r>
            <w:r w:rsidR="00494D4D">
              <w:rPr>
                <w:rFonts w:cstheme="minorHAnsi"/>
                <w:sz w:val="16"/>
                <w:szCs w:val="16"/>
              </w:rPr>
              <w:t>)</w:t>
            </w:r>
            <w:r>
              <w:rPr>
                <w:rFonts w:cstheme="minorHAnsi"/>
                <w:sz w:val="16"/>
                <w:szCs w:val="16"/>
              </w:rPr>
              <w:t xml:space="preserve"> are open to over-65s, other limits to eligibility mean program benefits accrue only to a subset of this subpopulation. </w:t>
            </w:r>
          </w:p>
        </w:tc>
        <w:tc>
          <w:tcPr>
            <w:tcW w:w="2552" w:type="dxa"/>
          </w:tcPr>
          <w:p w14:paraId="4E73599D" w14:textId="77777777" w:rsidR="00E4473D" w:rsidRPr="00E460AB" w:rsidRDefault="00E4473D" w:rsidP="00E460AB">
            <w:pPr>
              <w:shd w:val="clear" w:color="auto" w:fill="FFFFFF" w:themeFill="background1"/>
              <w:rPr>
                <w:sz w:val="16"/>
                <w:szCs w:val="16"/>
              </w:rPr>
            </w:pPr>
            <w:r w:rsidRPr="00E460AB">
              <w:rPr>
                <w:sz w:val="16"/>
                <w:szCs w:val="16"/>
              </w:rPr>
              <w:t xml:space="preserve">Eligibility criteria that do not discriminate </w:t>
            </w:r>
            <w:proofErr w:type="gramStart"/>
            <w:r w:rsidRPr="00E460AB">
              <w:rPr>
                <w:sz w:val="16"/>
                <w:szCs w:val="16"/>
              </w:rPr>
              <w:t>on the basis of</w:t>
            </w:r>
            <w:proofErr w:type="gramEnd"/>
            <w:r w:rsidRPr="00E460AB">
              <w:rPr>
                <w:sz w:val="16"/>
                <w:szCs w:val="16"/>
              </w:rPr>
              <w:t xml:space="preserve"> age, acknowledging that the need for CSS supports does not cease at 65 years.</w:t>
            </w:r>
          </w:p>
        </w:tc>
        <w:tc>
          <w:tcPr>
            <w:tcW w:w="4536" w:type="dxa"/>
          </w:tcPr>
          <w:p w14:paraId="3A41C430" w14:textId="77777777" w:rsidR="00E4473D" w:rsidRPr="00E460AB" w:rsidRDefault="00E4473D" w:rsidP="00E460AB">
            <w:pPr>
              <w:rPr>
                <w:rFonts w:cstheme="minorHAnsi"/>
                <w:sz w:val="16"/>
                <w:szCs w:val="16"/>
              </w:rPr>
            </w:pPr>
            <w:r w:rsidRPr="00E460AB">
              <w:rPr>
                <w:sz w:val="16"/>
                <w:szCs w:val="16"/>
              </w:rPr>
              <w:t xml:space="preserve">Eligibility criteria are set out in </w:t>
            </w:r>
            <w:r w:rsidRPr="00E460AB">
              <w:rPr>
                <w:sz w:val="16"/>
                <w:szCs w:val="16"/>
                <w:u w:val="single"/>
              </w:rPr>
              <w:t>Appendix B</w:t>
            </w:r>
            <w:r w:rsidRPr="00E460AB">
              <w:rPr>
                <w:sz w:val="16"/>
                <w:szCs w:val="16"/>
              </w:rPr>
              <w:t>.</w:t>
            </w:r>
          </w:p>
        </w:tc>
      </w:tr>
      <w:tr w:rsidR="00E4473D" w14:paraId="3C728D4C" w14:textId="77777777" w:rsidTr="00D329A4">
        <w:tc>
          <w:tcPr>
            <w:tcW w:w="1036" w:type="dxa"/>
          </w:tcPr>
          <w:p w14:paraId="6F5BBADD" w14:textId="77777777" w:rsidR="00E4473D" w:rsidRPr="00E460AB" w:rsidRDefault="00E4473D" w:rsidP="00E460AB">
            <w:pPr>
              <w:rPr>
                <w:rFonts w:cstheme="minorHAnsi"/>
                <w:sz w:val="16"/>
                <w:szCs w:val="16"/>
              </w:rPr>
            </w:pPr>
            <w:r w:rsidRPr="00E460AB">
              <w:rPr>
                <w:rFonts w:cstheme="minorHAnsi"/>
                <w:sz w:val="16"/>
                <w:szCs w:val="16"/>
              </w:rPr>
              <w:t>Timeframes for support</w:t>
            </w:r>
          </w:p>
        </w:tc>
        <w:tc>
          <w:tcPr>
            <w:tcW w:w="1794" w:type="dxa"/>
          </w:tcPr>
          <w:p w14:paraId="2D1C9FB4" w14:textId="77777777" w:rsidR="00E4473D" w:rsidRPr="00E460AB" w:rsidRDefault="00E4473D" w:rsidP="00E460AB">
            <w:pPr>
              <w:rPr>
                <w:rFonts w:cstheme="minorHAnsi"/>
                <w:sz w:val="16"/>
                <w:szCs w:val="16"/>
              </w:rPr>
            </w:pPr>
            <w:r>
              <w:rPr>
                <w:rFonts w:cstheme="minorHAnsi"/>
                <w:sz w:val="16"/>
                <w:szCs w:val="16"/>
              </w:rPr>
              <w:t xml:space="preserve">Varies between existing programs, but all are intended to deliver short-term supports only. </w:t>
            </w:r>
          </w:p>
        </w:tc>
        <w:tc>
          <w:tcPr>
            <w:tcW w:w="2552" w:type="dxa"/>
          </w:tcPr>
          <w:p w14:paraId="3E279A20" w14:textId="77777777" w:rsidR="00E4473D" w:rsidRPr="00E460AB" w:rsidRDefault="00E4473D" w:rsidP="00E460AB">
            <w:pPr>
              <w:shd w:val="clear" w:color="auto" w:fill="FFFFFF" w:themeFill="background1"/>
              <w:rPr>
                <w:rFonts w:cstheme="minorHAnsi"/>
                <w:sz w:val="16"/>
                <w:szCs w:val="16"/>
              </w:rPr>
            </w:pPr>
            <w:r w:rsidRPr="00E460AB">
              <w:rPr>
                <w:sz w:val="16"/>
                <w:szCs w:val="16"/>
              </w:rPr>
              <w:t>An increase in the duration of an episode of support so that people can receive supports for periods of up to 6 months (and 12 months for carers)</w:t>
            </w:r>
            <w:r>
              <w:rPr>
                <w:sz w:val="16"/>
                <w:szCs w:val="16"/>
              </w:rPr>
              <w:t>.</w:t>
            </w:r>
          </w:p>
        </w:tc>
        <w:tc>
          <w:tcPr>
            <w:tcW w:w="4536" w:type="dxa"/>
          </w:tcPr>
          <w:p w14:paraId="1050A062" w14:textId="68A235A2" w:rsidR="00E4473D" w:rsidRPr="00E460AB" w:rsidRDefault="00E4473D" w:rsidP="00E460AB">
            <w:pPr>
              <w:shd w:val="clear" w:color="auto" w:fill="FFFFFF" w:themeFill="background1"/>
              <w:rPr>
                <w:sz w:val="16"/>
                <w:szCs w:val="16"/>
              </w:rPr>
            </w:pPr>
            <w:r>
              <w:rPr>
                <w:rFonts w:cstheme="minorHAnsi"/>
                <w:sz w:val="16"/>
                <w:szCs w:val="16"/>
              </w:rPr>
              <w:t xml:space="preserve">There will be some limited occasions when the cap on the duration for episodes of support are inadequate (for example, for a person appealing an application for access to the NDIS). Extensions to the caps will therefore be made possible </w:t>
            </w:r>
            <w:r w:rsidRPr="00E460AB">
              <w:rPr>
                <w:sz w:val="16"/>
                <w:szCs w:val="16"/>
              </w:rPr>
              <w:t>on a case-by-case.</w:t>
            </w:r>
          </w:p>
          <w:p w14:paraId="00259284" w14:textId="77777777" w:rsidR="00E4473D" w:rsidRPr="00E460AB" w:rsidRDefault="00E4473D" w:rsidP="00E460AB">
            <w:pPr>
              <w:rPr>
                <w:rFonts w:cstheme="minorHAnsi"/>
                <w:sz w:val="16"/>
                <w:szCs w:val="16"/>
              </w:rPr>
            </w:pPr>
          </w:p>
        </w:tc>
      </w:tr>
      <w:tr w:rsidR="00E4473D" w14:paraId="158DDD09" w14:textId="77777777" w:rsidTr="00D329A4">
        <w:tc>
          <w:tcPr>
            <w:tcW w:w="1036" w:type="dxa"/>
          </w:tcPr>
          <w:p w14:paraId="11A3710F" w14:textId="77777777" w:rsidR="00E4473D" w:rsidRPr="00E460AB" w:rsidRDefault="00E4473D" w:rsidP="00E460AB">
            <w:pPr>
              <w:rPr>
                <w:rFonts w:cstheme="minorHAnsi"/>
                <w:sz w:val="16"/>
                <w:szCs w:val="16"/>
              </w:rPr>
            </w:pPr>
            <w:r w:rsidRPr="00E460AB">
              <w:rPr>
                <w:rFonts w:cstheme="minorHAnsi"/>
                <w:sz w:val="16"/>
                <w:szCs w:val="16"/>
              </w:rPr>
              <w:t>Outcomes, not outputs focused</w:t>
            </w:r>
          </w:p>
        </w:tc>
        <w:tc>
          <w:tcPr>
            <w:tcW w:w="1794" w:type="dxa"/>
          </w:tcPr>
          <w:p w14:paraId="46350326" w14:textId="76429A10" w:rsidR="00E4473D" w:rsidRPr="00E460AB" w:rsidRDefault="00D45F10" w:rsidP="00E460AB">
            <w:pPr>
              <w:rPr>
                <w:rFonts w:cstheme="minorHAnsi"/>
                <w:sz w:val="16"/>
                <w:szCs w:val="16"/>
              </w:rPr>
            </w:pPr>
            <w:r w:rsidRPr="00035A7A">
              <w:rPr>
                <w:rFonts w:cstheme="minorHAnsi"/>
                <w:sz w:val="16"/>
                <w:szCs w:val="16"/>
              </w:rPr>
              <w:t>Focus of performance reporting is on outputs and not outcomes.</w:t>
            </w:r>
          </w:p>
        </w:tc>
        <w:tc>
          <w:tcPr>
            <w:tcW w:w="2552" w:type="dxa"/>
          </w:tcPr>
          <w:p w14:paraId="7AC69335" w14:textId="77777777" w:rsidR="00E4473D" w:rsidRPr="00E460AB" w:rsidRDefault="00E4473D" w:rsidP="00E460AB">
            <w:pPr>
              <w:shd w:val="clear" w:color="auto" w:fill="FFFFFF" w:themeFill="background1"/>
              <w:rPr>
                <w:sz w:val="16"/>
                <w:szCs w:val="16"/>
              </w:rPr>
            </w:pPr>
            <w:r w:rsidRPr="00E460AB">
              <w:rPr>
                <w:sz w:val="16"/>
                <w:szCs w:val="16"/>
              </w:rPr>
              <w:t xml:space="preserve">Expanded provision for flexible and innovative service responses, facilitated by the focus on outcomes (i.e., the </w:t>
            </w:r>
            <w:r w:rsidRPr="00E460AB">
              <w:rPr>
                <w:i/>
                <w:iCs/>
                <w:sz w:val="16"/>
                <w:szCs w:val="16"/>
              </w:rPr>
              <w:t>impacts</w:t>
            </w:r>
            <w:r w:rsidRPr="00E460AB">
              <w:rPr>
                <w:sz w:val="16"/>
                <w:szCs w:val="16"/>
              </w:rPr>
              <w:t xml:space="preserve"> of programs and services on service-users)</w:t>
            </w:r>
            <w:r>
              <w:rPr>
                <w:sz w:val="16"/>
                <w:szCs w:val="16"/>
              </w:rPr>
              <w:t xml:space="preserve"> and the intrinsic requirement to gauge participant perspectives and participate in </w:t>
            </w:r>
            <w:r>
              <w:rPr>
                <w:sz w:val="16"/>
                <w:szCs w:val="16"/>
              </w:rPr>
              <w:lastRenderedPageBreak/>
              <w:t>routine reviews at appropriate intervals to inform continuous improvement processes</w:t>
            </w:r>
            <w:r w:rsidRPr="00E460AB">
              <w:rPr>
                <w:sz w:val="16"/>
                <w:szCs w:val="16"/>
              </w:rPr>
              <w:t xml:space="preserve">. </w:t>
            </w:r>
          </w:p>
          <w:p w14:paraId="2F0A4041" w14:textId="77777777" w:rsidR="00E4473D" w:rsidRPr="00E460AB" w:rsidRDefault="00E4473D" w:rsidP="00E460AB">
            <w:pPr>
              <w:rPr>
                <w:rFonts w:cstheme="minorHAnsi"/>
                <w:sz w:val="16"/>
                <w:szCs w:val="16"/>
              </w:rPr>
            </w:pPr>
          </w:p>
        </w:tc>
        <w:tc>
          <w:tcPr>
            <w:tcW w:w="4536" w:type="dxa"/>
          </w:tcPr>
          <w:p w14:paraId="374FDBF3" w14:textId="2030A71E" w:rsidR="00E4473D" w:rsidRDefault="00E4473D" w:rsidP="00E460AB">
            <w:pPr>
              <w:shd w:val="clear" w:color="auto" w:fill="FFFFFF" w:themeFill="background1"/>
              <w:spacing w:after="120"/>
              <w:rPr>
                <w:sz w:val="16"/>
                <w:szCs w:val="16"/>
              </w:rPr>
            </w:pPr>
            <w:r w:rsidRPr="00590502">
              <w:rPr>
                <w:sz w:val="16"/>
                <w:szCs w:val="16"/>
              </w:rPr>
              <w:lastRenderedPageBreak/>
              <w:t xml:space="preserve">An improved capacity, facilitated through strengthened outcomes measurement and reporting processes, to gauge the perspectives of </w:t>
            </w:r>
            <w:r w:rsidR="00E344A0">
              <w:rPr>
                <w:sz w:val="16"/>
                <w:szCs w:val="16"/>
              </w:rPr>
              <w:t>participants</w:t>
            </w:r>
            <w:r w:rsidRPr="00590502">
              <w:rPr>
                <w:sz w:val="16"/>
                <w:szCs w:val="16"/>
              </w:rPr>
              <w:t xml:space="preserve"> and integrate these into continuous improvement processes.</w:t>
            </w:r>
          </w:p>
          <w:p w14:paraId="0DB5C70E" w14:textId="77777777" w:rsidR="00E4473D" w:rsidRPr="00E460AB" w:rsidRDefault="00E4473D" w:rsidP="00E460AB">
            <w:pPr>
              <w:shd w:val="clear" w:color="auto" w:fill="FFFFFF" w:themeFill="background1"/>
              <w:rPr>
                <w:sz w:val="16"/>
                <w:szCs w:val="16"/>
              </w:rPr>
            </w:pPr>
            <w:r w:rsidRPr="00E460AB">
              <w:rPr>
                <w:sz w:val="16"/>
                <w:szCs w:val="16"/>
              </w:rPr>
              <w:t xml:space="preserve">Consistent with the ethos of commissioning, the focus of the TACS program is outcomes rather than services. Nevertheless, ACTHD has heard that stakeholders would like more guidance on which </w:t>
            </w:r>
            <w:r w:rsidRPr="00E460AB">
              <w:rPr>
                <w:sz w:val="16"/>
                <w:szCs w:val="16"/>
              </w:rPr>
              <w:lastRenderedPageBreak/>
              <w:t xml:space="preserve">services will be fundable through the TACS program, and a non-comprehensive guide to eligible services is therefore included in this document at </w:t>
            </w:r>
            <w:r w:rsidRPr="00E460AB">
              <w:rPr>
                <w:sz w:val="16"/>
                <w:szCs w:val="16"/>
                <w:u w:val="single"/>
              </w:rPr>
              <w:t>Appendix C</w:t>
            </w:r>
            <w:r w:rsidRPr="00E460AB">
              <w:rPr>
                <w:sz w:val="16"/>
                <w:szCs w:val="16"/>
              </w:rPr>
              <w:t>. It should be noted that the information in Appendix C is not prescriptive and is not intended to block innovative service offerings.</w:t>
            </w:r>
          </w:p>
          <w:p w14:paraId="11A22C65" w14:textId="77777777" w:rsidR="00E4473D" w:rsidRPr="00E460AB" w:rsidRDefault="00E4473D" w:rsidP="00E460AB">
            <w:pPr>
              <w:rPr>
                <w:rFonts w:cstheme="minorHAnsi"/>
                <w:sz w:val="16"/>
                <w:szCs w:val="16"/>
              </w:rPr>
            </w:pPr>
          </w:p>
        </w:tc>
      </w:tr>
      <w:tr w:rsidR="00E4473D" w14:paraId="1AB1D408" w14:textId="77777777" w:rsidTr="00D329A4">
        <w:tc>
          <w:tcPr>
            <w:tcW w:w="1036" w:type="dxa"/>
          </w:tcPr>
          <w:p w14:paraId="7E655A8A" w14:textId="77777777" w:rsidR="00E4473D" w:rsidRPr="00E84254" w:rsidRDefault="00E4473D" w:rsidP="00E460AB">
            <w:pPr>
              <w:rPr>
                <w:rFonts w:cstheme="minorHAnsi"/>
                <w:sz w:val="16"/>
                <w:szCs w:val="16"/>
              </w:rPr>
            </w:pPr>
            <w:r>
              <w:rPr>
                <w:rFonts w:cstheme="minorHAnsi"/>
                <w:sz w:val="16"/>
                <w:szCs w:val="16"/>
              </w:rPr>
              <w:lastRenderedPageBreak/>
              <w:t>Equipment</w:t>
            </w:r>
          </w:p>
        </w:tc>
        <w:tc>
          <w:tcPr>
            <w:tcW w:w="1794" w:type="dxa"/>
          </w:tcPr>
          <w:p w14:paraId="114F49C9" w14:textId="77777777" w:rsidR="00E4473D" w:rsidRPr="00E84254" w:rsidRDefault="00E4473D" w:rsidP="00E460AB">
            <w:pPr>
              <w:rPr>
                <w:rFonts w:cstheme="minorHAnsi"/>
                <w:sz w:val="16"/>
                <w:szCs w:val="16"/>
              </w:rPr>
            </w:pPr>
            <w:r>
              <w:rPr>
                <w:rFonts w:cstheme="minorHAnsi"/>
                <w:sz w:val="16"/>
                <w:szCs w:val="16"/>
              </w:rPr>
              <w:t>Program guidelines are unclear about purchase of equipment</w:t>
            </w:r>
          </w:p>
        </w:tc>
        <w:tc>
          <w:tcPr>
            <w:tcW w:w="2552" w:type="dxa"/>
          </w:tcPr>
          <w:p w14:paraId="29CE5BFE" w14:textId="77777777" w:rsidR="00E4473D" w:rsidRPr="00E84254" w:rsidRDefault="00E4473D" w:rsidP="00E460AB">
            <w:pPr>
              <w:shd w:val="clear" w:color="auto" w:fill="FFFFFF" w:themeFill="background1"/>
              <w:rPr>
                <w:sz w:val="16"/>
                <w:szCs w:val="16"/>
              </w:rPr>
            </w:pPr>
            <w:r>
              <w:rPr>
                <w:sz w:val="16"/>
                <w:szCs w:val="16"/>
              </w:rPr>
              <w:t>Providers will be explicitly authorised to purchase low-cost non-clinical equipment.</w:t>
            </w:r>
          </w:p>
        </w:tc>
        <w:tc>
          <w:tcPr>
            <w:tcW w:w="4536" w:type="dxa"/>
          </w:tcPr>
          <w:p w14:paraId="6CABED0C" w14:textId="51643953" w:rsidR="00E4473D" w:rsidRPr="00E84254" w:rsidRDefault="00E4473D" w:rsidP="00E460AB">
            <w:pPr>
              <w:shd w:val="clear" w:color="auto" w:fill="FFFFFF" w:themeFill="background1"/>
              <w:rPr>
                <w:sz w:val="16"/>
                <w:szCs w:val="16"/>
              </w:rPr>
            </w:pPr>
            <w:r>
              <w:rPr>
                <w:sz w:val="16"/>
                <w:szCs w:val="16"/>
              </w:rPr>
              <w:t>P</w:t>
            </w:r>
            <w:r w:rsidRPr="00A90A69">
              <w:rPr>
                <w:sz w:val="16"/>
                <w:szCs w:val="16"/>
              </w:rPr>
              <w:t xml:space="preserve">roviders </w:t>
            </w:r>
            <w:r>
              <w:rPr>
                <w:sz w:val="16"/>
                <w:szCs w:val="16"/>
              </w:rPr>
              <w:t>may</w:t>
            </w:r>
            <w:r w:rsidRPr="00A90A69">
              <w:rPr>
                <w:sz w:val="16"/>
                <w:szCs w:val="16"/>
              </w:rPr>
              <w:t xml:space="preserve"> purchase low-cost non-clinical equipment for participants who cannot access the equipment through another program or scheme, including those funded by the Australian Government (e.g., the National Disability Insurance Scheme</w:t>
            </w:r>
            <w:r w:rsidR="00494D4D">
              <w:rPr>
                <w:sz w:val="16"/>
                <w:szCs w:val="16"/>
              </w:rPr>
              <w:t xml:space="preserve"> (NDIS)</w:t>
            </w:r>
            <w:r w:rsidRPr="00A90A69">
              <w:rPr>
                <w:sz w:val="16"/>
                <w:szCs w:val="16"/>
              </w:rPr>
              <w:t xml:space="preserve"> , </w:t>
            </w:r>
            <w:r w:rsidR="00494D4D">
              <w:rPr>
                <w:sz w:val="16"/>
                <w:szCs w:val="16"/>
              </w:rPr>
              <w:t xml:space="preserve">Home care packages, </w:t>
            </w:r>
            <w:r w:rsidRPr="00A90A69">
              <w:rPr>
                <w:sz w:val="16"/>
                <w:szCs w:val="16"/>
              </w:rPr>
              <w:t xml:space="preserve">Commonwealth Home Support Programme) and the ACT Government (e.g., the </w:t>
            </w:r>
            <w:hyperlink r:id="rId15" w:history="1">
              <w:r w:rsidRPr="00A90A69">
                <w:rPr>
                  <w:rStyle w:val="Hyperlink"/>
                  <w:sz w:val="16"/>
                  <w:szCs w:val="16"/>
                </w:rPr>
                <w:t>ACT Equipment Loan Service</w:t>
              </w:r>
            </w:hyperlink>
            <w:r w:rsidRPr="00A90A69">
              <w:rPr>
                <w:sz w:val="16"/>
                <w:szCs w:val="16"/>
              </w:rPr>
              <w:t>).</w:t>
            </w:r>
          </w:p>
        </w:tc>
      </w:tr>
      <w:tr w:rsidR="00E4473D" w14:paraId="7A00EF5D" w14:textId="77777777" w:rsidTr="00D329A4">
        <w:tc>
          <w:tcPr>
            <w:tcW w:w="1036" w:type="dxa"/>
          </w:tcPr>
          <w:p w14:paraId="331FF553" w14:textId="77777777" w:rsidR="00E4473D" w:rsidRPr="00E84254" w:rsidRDefault="00E4473D" w:rsidP="00E460AB">
            <w:pPr>
              <w:rPr>
                <w:rFonts w:cstheme="minorHAnsi"/>
                <w:sz w:val="16"/>
                <w:szCs w:val="16"/>
              </w:rPr>
            </w:pPr>
            <w:r>
              <w:rPr>
                <w:rFonts w:cstheme="minorHAnsi"/>
                <w:sz w:val="16"/>
                <w:szCs w:val="16"/>
              </w:rPr>
              <w:t>Workforce matters</w:t>
            </w:r>
          </w:p>
        </w:tc>
        <w:tc>
          <w:tcPr>
            <w:tcW w:w="1794" w:type="dxa"/>
          </w:tcPr>
          <w:p w14:paraId="6C133064" w14:textId="77777777" w:rsidR="00E4473D" w:rsidRDefault="00E4473D" w:rsidP="00E460AB">
            <w:pPr>
              <w:rPr>
                <w:rFonts w:cstheme="minorHAnsi"/>
                <w:sz w:val="16"/>
                <w:szCs w:val="16"/>
              </w:rPr>
            </w:pPr>
            <w:r>
              <w:rPr>
                <w:rFonts w:cstheme="minorHAnsi"/>
                <w:sz w:val="16"/>
                <w:szCs w:val="16"/>
              </w:rPr>
              <w:t>Providers awarded 3-year contracts, which in most cases have been subject to an annual rollover.</w:t>
            </w:r>
          </w:p>
          <w:p w14:paraId="373451DB" w14:textId="77777777" w:rsidR="00E4473D" w:rsidRPr="00E84254" w:rsidRDefault="00E4473D" w:rsidP="00E460AB">
            <w:pPr>
              <w:rPr>
                <w:rFonts w:cstheme="minorHAnsi"/>
                <w:sz w:val="16"/>
                <w:szCs w:val="16"/>
              </w:rPr>
            </w:pPr>
            <w:r>
              <w:rPr>
                <w:rFonts w:cstheme="minorHAnsi"/>
                <w:sz w:val="16"/>
                <w:szCs w:val="16"/>
              </w:rPr>
              <w:t>Providers feel pressure to under-report or hide real indirect costs of service provision.</w:t>
            </w:r>
          </w:p>
        </w:tc>
        <w:tc>
          <w:tcPr>
            <w:tcW w:w="2552" w:type="dxa"/>
          </w:tcPr>
          <w:p w14:paraId="6D351D31" w14:textId="3D6BDFEA" w:rsidR="00E4473D" w:rsidRDefault="00E4473D" w:rsidP="00E460AB">
            <w:pPr>
              <w:shd w:val="clear" w:color="auto" w:fill="FFFFFF" w:themeFill="background1"/>
              <w:rPr>
                <w:sz w:val="16"/>
                <w:szCs w:val="16"/>
              </w:rPr>
            </w:pPr>
            <w:r>
              <w:rPr>
                <w:sz w:val="16"/>
                <w:szCs w:val="16"/>
              </w:rPr>
              <w:t xml:space="preserve">Contracts of </w:t>
            </w:r>
            <w:r w:rsidRPr="003B7BE4">
              <w:rPr>
                <w:i/>
                <w:iCs/>
                <w:sz w:val="16"/>
                <w:szCs w:val="16"/>
              </w:rPr>
              <w:t>up to</w:t>
            </w:r>
            <w:r>
              <w:rPr>
                <w:sz w:val="16"/>
                <w:szCs w:val="16"/>
              </w:rPr>
              <w:t xml:space="preserve"> 10 years</w:t>
            </w:r>
            <w:r w:rsidR="007155D0">
              <w:rPr>
                <w:sz w:val="16"/>
                <w:szCs w:val="16"/>
              </w:rPr>
              <w:t xml:space="preserve"> (7+3)</w:t>
            </w:r>
            <w:r>
              <w:rPr>
                <w:sz w:val="16"/>
                <w:szCs w:val="16"/>
              </w:rPr>
              <w:t>.</w:t>
            </w:r>
          </w:p>
          <w:p w14:paraId="29ADCA74" w14:textId="77777777" w:rsidR="00E4473D" w:rsidRPr="00E84254" w:rsidRDefault="00E4473D" w:rsidP="00E460AB">
            <w:pPr>
              <w:shd w:val="clear" w:color="auto" w:fill="FFFFFF" w:themeFill="background1"/>
              <w:rPr>
                <w:sz w:val="16"/>
                <w:szCs w:val="16"/>
              </w:rPr>
            </w:pPr>
            <w:r>
              <w:rPr>
                <w:sz w:val="16"/>
                <w:szCs w:val="16"/>
              </w:rPr>
              <w:t>Providers are encouraged to build indirect costs of service provision into quotations and financial reports.</w:t>
            </w:r>
          </w:p>
        </w:tc>
        <w:tc>
          <w:tcPr>
            <w:tcW w:w="4536" w:type="dxa"/>
          </w:tcPr>
          <w:p w14:paraId="0B3C7C1E" w14:textId="3AAFBCB0" w:rsidR="00E4473D" w:rsidRDefault="00E4473D" w:rsidP="00E460AB">
            <w:pPr>
              <w:shd w:val="clear" w:color="auto" w:fill="FFFFFF" w:themeFill="background1"/>
              <w:rPr>
                <w:sz w:val="16"/>
                <w:szCs w:val="16"/>
              </w:rPr>
            </w:pPr>
            <w:r>
              <w:rPr>
                <w:sz w:val="16"/>
                <w:szCs w:val="16"/>
              </w:rPr>
              <w:t>I</w:t>
            </w:r>
            <w:r w:rsidRPr="00714CD7">
              <w:rPr>
                <w:sz w:val="16"/>
                <w:szCs w:val="16"/>
              </w:rPr>
              <w:t>mproved stability for subsector providers, with agreements of up to ten years (seven years with a three-year optional extension, or some other appropriate combination) on offer. The ten-year timeframe will include appropriately interspersed review points.</w:t>
            </w:r>
          </w:p>
          <w:p w14:paraId="2A723250" w14:textId="41DF2044" w:rsidR="00E4473D" w:rsidRPr="00E84254" w:rsidRDefault="00E4473D" w:rsidP="00E460AB">
            <w:pPr>
              <w:shd w:val="clear" w:color="auto" w:fill="FFFFFF" w:themeFill="background1"/>
              <w:rPr>
                <w:sz w:val="16"/>
                <w:szCs w:val="16"/>
              </w:rPr>
            </w:pPr>
            <w:r>
              <w:rPr>
                <w:sz w:val="16"/>
                <w:szCs w:val="16"/>
              </w:rPr>
              <w:t xml:space="preserve">The program explicitly acknowledges the importance of indirect costs to the </w:t>
            </w:r>
            <w:r w:rsidR="00D329A4">
              <w:rPr>
                <w:sz w:val="16"/>
                <w:szCs w:val="16"/>
              </w:rPr>
              <w:t>quality-of-service</w:t>
            </w:r>
            <w:r>
              <w:rPr>
                <w:sz w:val="16"/>
                <w:szCs w:val="16"/>
              </w:rPr>
              <w:t xml:space="preserve"> provision, and ‘indirect cost’ data collected through financial reports </w:t>
            </w:r>
            <w:r w:rsidR="00D329A4">
              <w:rPr>
                <w:sz w:val="16"/>
                <w:szCs w:val="16"/>
              </w:rPr>
              <w:t>will inform</w:t>
            </w:r>
            <w:r>
              <w:rPr>
                <w:sz w:val="16"/>
                <w:szCs w:val="16"/>
              </w:rPr>
              <w:t xml:space="preserve"> future commissioning rounds and broader funding decisions.</w:t>
            </w:r>
          </w:p>
        </w:tc>
      </w:tr>
      <w:tr w:rsidR="00E4473D" w14:paraId="71B32AA9" w14:textId="77777777" w:rsidTr="00D329A4">
        <w:tc>
          <w:tcPr>
            <w:tcW w:w="1036" w:type="dxa"/>
          </w:tcPr>
          <w:p w14:paraId="10EBCDDB" w14:textId="77777777" w:rsidR="00E4473D" w:rsidRPr="00E84254" w:rsidRDefault="00E4473D" w:rsidP="00E460AB">
            <w:pPr>
              <w:rPr>
                <w:rFonts w:cstheme="minorHAnsi"/>
                <w:sz w:val="16"/>
                <w:szCs w:val="16"/>
              </w:rPr>
            </w:pPr>
            <w:r>
              <w:rPr>
                <w:rFonts w:cstheme="minorHAnsi"/>
                <w:sz w:val="16"/>
                <w:szCs w:val="16"/>
              </w:rPr>
              <w:t>Referral / Intake</w:t>
            </w:r>
          </w:p>
        </w:tc>
        <w:tc>
          <w:tcPr>
            <w:tcW w:w="1794" w:type="dxa"/>
          </w:tcPr>
          <w:p w14:paraId="414502D4" w14:textId="4F0EB524" w:rsidR="00E4473D" w:rsidRPr="00E84254" w:rsidRDefault="00E4473D" w:rsidP="00E460AB">
            <w:pPr>
              <w:rPr>
                <w:rFonts w:cstheme="minorHAnsi"/>
                <w:sz w:val="16"/>
                <w:szCs w:val="16"/>
              </w:rPr>
            </w:pPr>
            <w:r>
              <w:rPr>
                <w:rFonts w:cstheme="minorHAnsi"/>
                <w:sz w:val="16"/>
                <w:szCs w:val="16"/>
              </w:rPr>
              <w:t xml:space="preserve">Referrals are completely devolved, with referrers and members of the public required to review a </w:t>
            </w:r>
            <w:hyperlink r:id="rId16" w:history="1">
              <w:hyperlink r:id="rId17" w:history="1">
                <w:r w:rsidRPr="00596A42">
                  <w:rPr>
                    <w:rStyle w:val="Hyperlink"/>
                    <w:rFonts w:cstheme="minorHAnsi"/>
                    <w:sz w:val="16"/>
                    <w:szCs w:val="16"/>
                  </w:rPr>
                  <w:t>CASP Service Directory</w:t>
                </w:r>
              </w:hyperlink>
            </w:hyperlink>
            <w:r>
              <w:rPr>
                <w:rFonts w:cstheme="minorHAnsi"/>
                <w:sz w:val="16"/>
                <w:szCs w:val="16"/>
              </w:rPr>
              <w:t xml:space="preserve"> and identify </w:t>
            </w:r>
            <w:r w:rsidR="00596A42">
              <w:rPr>
                <w:rFonts w:cstheme="minorHAnsi"/>
                <w:sz w:val="16"/>
                <w:szCs w:val="16"/>
              </w:rPr>
              <w:t xml:space="preserve">and contact </w:t>
            </w:r>
            <w:r>
              <w:rPr>
                <w:rFonts w:cstheme="minorHAnsi"/>
                <w:sz w:val="16"/>
                <w:szCs w:val="16"/>
              </w:rPr>
              <w:t>an appropriate service provider. This is supported</w:t>
            </w:r>
            <w:r w:rsidR="00596A42">
              <w:rPr>
                <w:rFonts w:cstheme="minorHAnsi"/>
                <w:sz w:val="16"/>
                <w:szCs w:val="16"/>
              </w:rPr>
              <w:t xml:space="preserve"> for referrers</w:t>
            </w:r>
            <w:r>
              <w:rPr>
                <w:rFonts w:cstheme="minorHAnsi"/>
                <w:sz w:val="16"/>
                <w:szCs w:val="16"/>
              </w:rPr>
              <w:t xml:space="preserve"> by a central service-capacity inventory administered by ACTCOSS.</w:t>
            </w:r>
          </w:p>
        </w:tc>
        <w:tc>
          <w:tcPr>
            <w:tcW w:w="2552" w:type="dxa"/>
          </w:tcPr>
          <w:p w14:paraId="0F8A68AB" w14:textId="77777777" w:rsidR="00E4473D" w:rsidRPr="00E84254" w:rsidRDefault="00E4473D" w:rsidP="00E460AB">
            <w:pPr>
              <w:shd w:val="clear" w:color="auto" w:fill="FFFFFF" w:themeFill="background1"/>
              <w:rPr>
                <w:sz w:val="16"/>
                <w:szCs w:val="16"/>
              </w:rPr>
            </w:pPr>
            <w:r>
              <w:rPr>
                <w:sz w:val="16"/>
                <w:szCs w:val="16"/>
              </w:rPr>
              <w:t xml:space="preserve">A central intake service provider will be established.  Referrers and members of the public will enjoy this convenience while also enjoying the option of directly approaching a service provider of choice (i.e., the ‘no wrong door’ approach will be retained). </w:t>
            </w:r>
          </w:p>
        </w:tc>
        <w:tc>
          <w:tcPr>
            <w:tcW w:w="4536" w:type="dxa"/>
          </w:tcPr>
          <w:p w14:paraId="4BDE1FF1" w14:textId="77777777" w:rsidR="00E4473D" w:rsidRDefault="00E4473D" w:rsidP="00E460AB">
            <w:pPr>
              <w:shd w:val="clear" w:color="auto" w:fill="FFFFFF" w:themeFill="background1"/>
              <w:rPr>
                <w:sz w:val="16"/>
                <w:szCs w:val="16"/>
              </w:rPr>
            </w:pPr>
            <w:r w:rsidRPr="00714CD7">
              <w:rPr>
                <w:sz w:val="16"/>
                <w:szCs w:val="16"/>
              </w:rPr>
              <w:t xml:space="preserve">A central intake function </w:t>
            </w:r>
            <w:r>
              <w:rPr>
                <w:sz w:val="16"/>
                <w:szCs w:val="16"/>
              </w:rPr>
              <w:t>will</w:t>
            </w:r>
            <w:r w:rsidRPr="00714CD7">
              <w:rPr>
                <w:sz w:val="16"/>
                <w:szCs w:val="16"/>
              </w:rPr>
              <w:t xml:space="preserve"> lift visibility of the program and make it more accessible to clinicians and other referrers as well as to members of the public, while also recognising the importance of enabling referrers and service-users to approach or be approached by their service-provider of choice.</w:t>
            </w:r>
          </w:p>
          <w:p w14:paraId="237C46C1" w14:textId="77777777" w:rsidR="00E4473D" w:rsidRPr="00E84254" w:rsidRDefault="00E4473D" w:rsidP="00E460AB">
            <w:pPr>
              <w:shd w:val="clear" w:color="auto" w:fill="FFFFFF" w:themeFill="background1"/>
              <w:rPr>
                <w:sz w:val="16"/>
                <w:szCs w:val="16"/>
              </w:rPr>
            </w:pPr>
            <w:r>
              <w:rPr>
                <w:sz w:val="16"/>
                <w:szCs w:val="16"/>
              </w:rPr>
              <w:t>To ensure the central intake service provider is aware of service capacities and assure high quality and up-to-date data, service providers will be required to apprise the central intake service provider of all referrals (incoming and outgoing) and other pertinent administrative information within a prescribed timeframe (probably 2-3 days).</w:t>
            </w:r>
          </w:p>
        </w:tc>
      </w:tr>
    </w:tbl>
    <w:p w14:paraId="4EC30C71" w14:textId="77777777" w:rsidR="00E4473D" w:rsidRDefault="00E4473D" w:rsidP="00B24C8F">
      <w:pPr>
        <w:shd w:val="clear" w:color="auto" w:fill="FFFFFF" w:themeFill="background1"/>
        <w:rPr>
          <w:b/>
          <w:bCs/>
          <w:szCs w:val="22"/>
        </w:rPr>
      </w:pPr>
    </w:p>
    <w:p w14:paraId="0132A5DF" w14:textId="77777777" w:rsidR="00882F4E" w:rsidRDefault="00882F4E" w:rsidP="008B14C4">
      <w:pPr>
        <w:pStyle w:val="Heading2"/>
      </w:pPr>
      <w:bookmarkStart w:id="5" w:name="_Toc120843532"/>
    </w:p>
    <w:p w14:paraId="6203B3E1" w14:textId="206C98E7" w:rsidR="00815CBC" w:rsidRPr="00D37989" w:rsidRDefault="003A0BAF" w:rsidP="008B14C4">
      <w:pPr>
        <w:pStyle w:val="Heading2"/>
      </w:pPr>
      <w:r w:rsidRPr="00D37989">
        <w:t>Where are we now</w:t>
      </w:r>
      <w:r w:rsidR="00041E20">
        <w:t>?</w:t>
      </w:r>
      <w:bookmarkEnd w:id="5"/>
    </w:p>
    <w:p w14:paraId="0ED09CA4" w14:textId="3B3E91B8" w:rsidR="003A0BAF" w:rsidRDefault="001A5854" w:rsidP="00B24C8F">
      <w:pPr>
        <w:shd w:val="clear" w:color="auto" w:fill="FFFFFF" w:themeFill="background1"/>
        <w:rPr>
          <w:rFonts w:cstheme="minorHAnsi"/>
          <w:szCs w:val="22"/>
        </w:rPr>
      </w:pPr>
      <w:r>
        <w:rPr>
          <w:szCs w:val="22"/>
        </w:rPr>
        <w:t xml:space="preserve">With the </w:t>
      </w:r>
      <w:r w:rsidR="003A0BAF">
        <w:rPr>
          <w:szCs w:val="22"/>
        </w:rPr>
        <w:t>publi</w:t>
      </w:r>
      <w:r>
        <w:rPr>
          <w:szCs w:val="22"/>
        </w:rPr>
        <w:t>cation of</w:t>
      </w:r>
      <w:r w:rsidR="003A0BAF">
        <w:rPr>
          <w:szCs w:val="22"/>
        </w:rPr>
        <w:t xml:space="preserve"> the </w:t>
      </w:r>
      <w:hyperlink r:id="rId18" w:history="1">
        <w:r w:rsidR="003A0BAF" w:rsidRPr="00E4473D">
          <w:rPr>
            <w:rStyle w:val="Hyperlink"/>
            <w:szCs w:val="22"/>
          </w:rPr>
          <w:t>Listening Report</w:t>
        </w:r>
      </w:hyperlink>
      <w:r>
        <w:rPr>
          <w:szCs w:val="22"/>
        </w:rPr>
        <w:t>, which has</w:t>
      </w:r>
      <w:r w:rsidR="003A0BAF">
        <w:rPr>
          <w:szCs w:val="22"/>
        </w:rPr>
        <w:t xml:space="preserve"> </w:t>
      </w:r>
      <w:r w:rsidR="000644C7">
        <w:rPr>
          <w:szCs w:val="22"/>
        </w:rPr>
        <w:t>record</w:t>
      </w:r>
      <w:r>
        <w:rPr>
          <w:szCs w:val="22"/>
        </w:rPr>
        <w:t>ed</w:t>
      </w:r>
      <w:r w:rsidR="00D37989">
        <w:rPr>
          <w:szCs w:val="22"/>
        </w:rPr>
        <w:t xml:space="preserve"> the outcomes of</w:t>
      </w:r>
      <w:r w:rsidR="003A0BAF">
        <w:rPr>
          <w:szCs w:val="22"/>
        </w:rPr>
        <w:t xml:space="preserve"> the second CSS Commissioning Roundtable</w:t>
      </w:r>
      <w:r>
        <w:rPr>
          <w:szCs w:val="22"/>
        </w:rPr>
        <w:t xml:space="preserve"> (24 August 2022)</w:t>
      </w:r>
      <w:r w:rsidR="003A0BAF">
        <w:rPr>
          <w:szCs w:val="22"/>
        </w:rPr>
        <w:t xml:space="preserve">, we entered the final weeks of the ‘Design’ phase.  While the general features of the new </w:t>
      </w:r>
      <w:r w:rsidR="003A0BAF" w:rsidRPr="00D239F9">
        <w:rPr>
          <w:rFonts w:cstheme="minorHAnsi"/>
          <w:szCs w:val="22"/>
        </w:rPr>
        <w:t>TACS</w:t>
      </w:r>
      <w:r w:rsidR="003A0BAF">
        <w:rPr>
          <w:rFonts w:cstheme="minorHAnsi"/>
          <w:szCs w:val="22"/>
        </w:rPr>
        <w:t xml:space="preserve"> program have</w:t>
      </w:r>
      <w:r w:rsidR="0061261B">
        <w:rPr>
          <w:rFonts w:cstheme="minorHAnsi"/>
          <w:szCs w:val="22"/>
        </w:rPr>
        <w:t xml:space="preserve"> now</w:t>
      </w:r>
      <w:r w:rsidR="003A0BAF">
        <w:rPr>
          <w:rFonts w:cstheme="minorHAnsi"/>
          <w:szCs w:val="22"/>
        </w:rPr>
        <w:t xml:space="preserve"> </w:t>
      </w:r>
      <w:r w:rsidR="000644C7">
        <w:rPr>
          <w:rFonts w:cstheme="minorHAnsi"/>
          <w:szCs w:val="22"/>
        </w:rPr>
        <w:t>been determined through the co-design process</w:t>
      </w:r>
      <w:r w:rsidR="003A0BAF">
        <w:rPr>
          <w:rFonts w:cstheme="minorHAnsi"/>
          <w:szCs w:val="22"/>
        </w:rPr>
        <w:t xml:space="preserve"> to-date, there </w:t>
      </w:r>
      <w:r w:rsidR="0061261B">
        <w:rPr>
          <w:rFonts w:cstheme="minorHAnsi"/>
          <w:szCs w:val="22"/>
        </w:rPr>
        <w:t xml:space="preserve">exists </w:t>
      </w:r>
      <w:r w:rsidR="003A0BAF">
        <w:rPr>
          <w:rFonts w:cstheme="minorHAnsi"/>
          <w:szCs w:val="22"/>
        </w:rPr>
        <w:t>one final opportunity for subsector providers</w:t>
      </w:r>
      <w:r w:rsidR="000644C7">
        <w:rPr>
          <w:rFonts w:cstheme="minorHAnsi"/>
          <w:szCs w:val="22"/>
        </w:rPr>
        <w:t xml:space="preserve"> to </w:t>
      </w:r>
      <w:r>
        <w:rPr>
          <w:rFonts w:cstheme="minorHAnsi"/>
          <w:szCs w:val="22"/>
        </w:rPr>
        <w:t xml:space="preserve">give </w:t>
      </w:r>
      <w:r w:rsidR="000644C7">
        <w:rPr>
          <w:rFonts w:cstheme="minorHAnsi"/>
          <w:szCs w:val="22"/>
        </w:rPr>
        <w:t xml:space="preserve">input </w:t>
      </w:r>
      <w:r w:rsidR="0061261B">
        <w:rPr>
          <w:rFonts w:cstheme="minorHAnsi"/>
          <w:szCs w:val="22"/>
        </w:rPr>
        <w:t>on</w:t>
      </w:r>
      <w:r w:rsidR="000644C7">
        <w:rPr>
          <w:rFonts w:cstheme="minorHAnsi"/>
          <w:szCs w:val="22"/>
        </w:rPr>
        <w:t xml:space="preserve"> the finer detail</w:t>
      </w:r>
      <w:r w:rsidR="0061261B">
        <w:rPr>
          <w:rFonts w:cstheme="minorHAnsi"/>
          <w:szCs w:val="22"/>
        </w:rPr>
        <w:t>s</w:t>
      </w:r>
      <w:r w:rsidR="000644C7">
        <w:rPr>
          <w:rFonts w:cstheme="minorHAnsi"/>
          <w:szCs w:val="22"/>
        </w:rPr>
        <w:t xml:space="preserve"> of the program.  Feedback on design of the </w:t>
      </w:r>
      <w:r w:rsidR="001C744C">
        <w:rPr>
          <w:rFonts w:cstheme="minorHAnsi"/>
          <w:szCs w:val="22"/>
        </w:rPr>
        <w:t>TACS</w:t>
      </w:r>
      <w:r w:rsidR="000644C7">
        <w:rPr>
          <w:rFonts w:cstheme="minorHAnsi"/>
          <w:szCs w:val="22"/>
        </w:rPr>
        <w:t xml:space="preserve"> program is therefore </w:t>
      </w:r>
      <w:r w:rsidR="00D329A4">
        <w:rPr>
          <w:rFonts w:cstheme="minorHAnsi"/>
          <w:szCs w:val="22"/>
        </w:rPr>
        <w:t>welcome and</w:t>
      </w:r>
      <w:r w:rsidR="000644C7">
        <w:rPr>
          <w:rFonts w:cstheme="minorHAnsi"/>
          <w:szCs w:val="22"/>
        </w:rPr>
        <w:t xml:space="preserve"> can be directed </w:t>
      </w:r>
      <w:r>
        <w:rPr>
          <w:rFonts w:cstheme="minorHAnsi"/>
          <w:szCs w:val="22"/>
        </w:rPr>
        <w:t xml:space="preserve">via email </w:t>
      </w:r>
      <w:r w:rsidR="000644C7">
        <w:rPr>
          <w:rFonts w:cstheme="minorHAnsi"/>
          <w:szCs w:val="22"/>
        </w:rPr>
        <w:t>to</w:t>
      </w:r>
      <w:r>
        <w:rPr>
          <w:rFonts w:cstheme="minorHAnsi"/>
          <w:szCs w:val="22"/>
        </w:rPr>
        <w:t>:</w:t>
      </w:r>
      <w:r w:rsidR="000644C7">
        <w:rPr>
          <w:rFonts w:cstheme="minorHAnsi"/>
          <w:szCs w:val="22"/>
        </w:rPr>
        <w:t xml:space="preserve"> </w:t>
      </w:r>
      <w:hyperlink r:id="rId19" w:history="1">
        <w:r w:rsidR="000644C7" w:rsidRPr="009606A0">
          <w:rPr>
            <w:rStyle w:val="Hyperlink"/>
            <w:rFonts w:cstheme="minorHAnsi"/>
            <w:szCs w:val="22"/>
          </w:rPr>
          <w:t>acthdisabilityandcommunity@act.gov.au</w:t>
        </w:r>
      </w:hyperlink>
      <w:r w:rsidR="000644C7">
        <w:rPr>
          <w:rFonts w:cstheme="minorHAnsi"/>
          <w:szCs w:val="22"/>
        </w:rPr>
        <w:t xml:space="preserve"> until </w:t>
      </w:r>
      <w:r>
        <w:rPr>
          <w:rFonts w:cstheme="minorHAnsi"/>
          <w:szCs w:val="22"/>
        </w:rPr>
        <w:t xml:space="preserve">5pm, </w:t>
      </w:r>
      <w:r w:rsidR="001437F0">
        <w:rPr>
          <w:rFonts w:cstheme="minorHAnsi"/>
          <w:szCs w:val="22"/>
        </w:rPr>
        <w:t>Thursday</w:t>
      </w:r>
      <w:r w:rsidRPr="00D329A4">
        <w:rPr>
          <w:rFonts w:cstheme="minorHAnsi"/>
          <w:szCs w:val="22"/>
        </w:rPr>
        <w:t xml:space="preserve">, </w:t>
      </w:r>
      <w:r w:rsidR="008F5678">
        <w:rPr>
          <w:rFonts w:cstheme="minorHAnsi"/>
          <w:szCs w:val="22"/>
        </w:rPr>
        <w:t>15</w:t>
      </w:r>
      <w:r w:rsidRPr="00D329A4">
        <w:rPr>
          <w:rFonts w:cstheme="minorHAnsi"/>
          <w:szCs w:val="22"/>
        </w:rPr>
        <w:t xml:space="preserve"> December 2022</w:t>
      </w:r>
      <w:r>
        <w:rPr>
          <w:rFonts w:cstheme="minorHAnsi"/>
          <w:szCs w:val="22"/>
        </w:rPr>
        <w:t>.</w:t>
      </w:r>
    </w:p>
    <w:p w14:paraId="496F9C6D" w14:textId="06F6B251" w:rsidR="003B2B76" w:rsidRDefault="001A5854" w:rsidP="00B24C8F">
      <w:pPr>
        <w:shd w:val="clear" w:color="auto" w:fill="FFFFFF" w:themeFill="background1"/>
        <w:rPr>
          <w:rFonts w:cstheme="minorHAnsi"/>
          <w:szCs w:val="22"/>
        </w:rPr>
      </w:pPr>
      <w:r>
        <w:rPr>
          <w:rFonts w:cstheme="minorHAnsi"/>
          <w:szCs w:val="22"/>
        </w:rPr>
        <w:t xml:space="preserve">When </w:t>
      </w:r>
      <w:r w:rsidR="003B2B76">
        <w:rPr>
          <w:rFonts w:cstheme="minorHAnsi"/>
          <w:szCs w:val="22"/>
        </w:rPr>
        <w:t>provid</w:t>
      </w:r>
      <w:r>
        <w:rPr>
          <w:rFonts w:cstheme="minorHAnsi"/>
          <w:szCs w:val="22"/>
        </w:rPr>
        <w:t>ing</w:t>
      </w:r>
      <w:r w:rsidR="003B2B76">
        <w:rPr>
          <w:rFonts w:cstheme="minorHAnsi"/>
          <w:szCs w:val="22"/>
        </w:rPr>
        <w:t xml:space="preserve"> feedback, you m</w:t>
      </w:r>
      <w:r>
        <w:rPr>
          <w:rFonts w:cstheme="minorHAnsi"/>
          <w:szCs w:val="22"/>
        </w:rPr>
        <w:t>ay wish to c</w:t>
      </w:r>
      <w:r w:rsidR="003B2B76">
        <w:rPr>
          <w:rFonts w:cstheme="minorHAnsi"/>
          <w:szCs w:val="22"/>
        </w:rPr>
        <w:t>onsider the following questions:</w:t>
      </w:r>
    </w:p>
    <w:p w14:paraId="7DFDF3F7" w14:textId="0312A8A7" w:rsidR="007155D0" w:rsidRPr="00764040" w:rsidRDefault="007155D0" w:rsidP="001A5854">
      <w:pPr>
        <w:pStyle w:val="ListParagraph"/>
        <w:numPr>
          <w:ilvl w:val="0"/>
          <w:numId w:val="16"/>
        </w:numPr>
        <w:spacing w:after="240" w:line="240" w:lineRule="auto"/>
        <w:contextualSpacing w:val="0"/>
        <w:rPr>
          <w:rFonts w:eastAsia="Times New Roman"/>
          <w:sz w:val="22"/>
          <w:szCs w:val="22"/>
        </w:rPr>
      </w:pPr>
      <w:r>
        <w:rPr>
          <w:rFonts w:eastAsia="Times New Roman"/>
        </w:rPr>
        <w:t xml:space="preserve">The </w:t>
      </w:r>
      <w:r w:rsidR="001A5854">
        <w:rPr>
          <w:rFonts w:eastAsia="Times New Roman"/>
        </w:rPr>
        <w:t xml:space="preserve">ACT </w:t>
      </w:r>
      <w:r>
        <w:rPr>
          <w:rFonts w:eastAsia="Times New Roman"/>
        </w:rPr>
        <w:t xml:space="preserve">Government’s </w:t>
      </w:r>
      <w:r w:rsidR="001A5854">
        <w:rPr>
          <w:rFonts w:eastAsia="Times New Roman"/>
        </w:rPr>
        <w:t xml:space="preserve">future investment in </w:t>
      </w:r>
      <w:r w:rsidR="006949C8">
        <w:rPr>
          <w:rFonts w:eastAsia="Times New Roman"/>
        </w:rPr>
        <w:t>TACS</w:t>
      </w:r>
      <w:r w:rsidR="001A5854">
        <w:rPr>
          <w:rFonts w:eastAsia="Times New Roman"/>
        </w:rPr>
        <w:t xml:space="preserve"> will fund programs that deliver </w:t>
      </w:r>
      <w:r w:rsidR="001A5854">
        <w:rPr>
          <w:rFonts w:eastAsia="Times New Roman"/>
          <w:i/>
          <w:iCs/>
        </w:rPr>
        <w:t>temporary</w:t>
      </w:r>
      <w:r w:rsidR="001A5854">
        <w:rPr>
          <w:rFonts w:eastAsia="Times New Roman"/>
        </w:rPr>
        <w:t xml:space="preserve">, non-clinical, and </w:t>
      </w:r>
      <w:r w:rsidR="001A5854">
        <w:rPr>
          <w:rFonts w:eastAsia="Times New Roman"/>
          <w:i/>
          <w:iCs/>
        </w:rPr>
        <w:t>low-intensity</w:t>
      </w:r>
      <w:r w:rsidR="001A5854">
        <w:rPr>
          <w:rFonts w:eastAsia="Times New Roman"/>
        </w:rPr>
        <w:t xml:space="preserve"> services to eligible people who cannot access the same services through another</w:t>
      </w:r>
      <w:r w:rsidR="006949C8">
        <w:rPr>
          <w:rFonts w:eastAsia="Times New Roman"/>
        </w:rPr>
        <w:t xml:space="preserve"> local or federally funded</w:t>
      </w:r>
      <w:r w:rsidR="001A5854">
        <w:rPr>
          <w:rFonts w:eastAsia="Times New Roman"/>
        </w:rPr>
        <w:t xml:space="preserve"> program</w:t>
      </w:r>
      <w:r w:rsidR="006949C8">
        <w:rPr>
          <w:rFonts w:eastAsia="Times New Roman"/>
        </w:rPr>
        <w:t>.</w:t>
      </w:r>
      <w:r w:rsidR="001A5854">
        <w:rPr>
          <w:rFonts w:eastAsia="Times New Roman"/>
        </w:rPr>
        <w:t xml:space="preserve"> </w:t>
      </w:r>
    </w:p>
    <w:p w14:paraId="71C5BB16" w14:textId="4EAA8004" w:rsidR="001A5854" w:rsidRDefault="006949C8" w:rsidP="001437F0">
      <w:pPr>
        <w:pStyle w:val="ListParagraph"/>
        <w:spacing w:after="240" w:line="240" w:lineRule="auto"/>
        <w:contextualSpacing w:val="0"/>
        <w:rPr>
          <w:rFonts w:eastAsia="Times New Roman"/>
          <w:sz w:val="22"/>
          <w:szCs w:val="22"/>
        </w:rPr>
      </w:pPr>
      <w:r w:rsidRPr="00CC536E">
        <w:rPr>
          <w:rFonts w:eastAsia="Times New Roman"/>
          <w:b/>
          <w:bCs/>
          <w:u w:val="single"/>
        </w:rPr>
        <w:t>Question:</w:t>
      </w:r>
      <w:r>
        <w:rPr>
          <w:rFonts w:eastAsia="Times New Roman"/>
        </w:rPr>
        <w:t xml:space="preserve"> </w:t>
      </w:r>
      <w:r w:rsidRPr="00596A42">
        <w:rPr>
          <w:rFonts w:eastAsia="Times New Roman"/>
          <w:b/>
          <w:bCs/>
        </w:rPr>
        <w:t>H</w:t>
      </w:r>
      <w:r w:rsidR="001A5854" w:rsidRPr="00596A42">
        <w:rPr>
          <w:rFonts w:eastAsia="Times New Roman"/>
          <w:b/>
          <w:bCs/>
        </w:rPr>
        <w:t xml:space="preserve">ow </w:t>
      </w:r>
      <w:r w:rsidRPr="00596A42">
        <w:rPr>
          <w:rFonts w:eastAsia="Times New Roman"/>
          <w:b/>
          <w:bCs/>
        </w:rPr>
        <w:t xml:space="preserve">do </w:t>
      </w:r>
      <w:r w:rsidR="001A5854" w:rsidRPr="00596A42">
        <w:rPr>
          <w:rFonts w:eastAsia="Times New Roman"/>
          <w:b/>
          <w:bCs/>
        </w:rPr>
        <w:t>you define ‘temporary’ and ‘low-intensity’</w:t>
      </w:r>
      <w:r w:rsidR="00DC55B0" w:rsidRPr="00596A42">
        <w:rPr>
          <w:rFonts w:eastAsia="Times New Roman"/>
          <w:b/>
          <w:bCs/>
        </w:rPr>
        <w:t>?</w:t>
      </w:r>
      <w:r w:rsidR="00DC55B0">
        <w:rPr>
          <w:rFonts w:eastAsia="Times New Roman"/>
        </w:rPr>
        <w:t xml:space="preserve"> </w:t>
      </w:r>
    </w:p>
    <w:p w14:paraId="5DB76C09" w14:textId="77777777" w:rsidR="007155D0" w:rsidRDefault="006949C8" w:rsidP="001A5854">
      <w:pPr>
        <w:pStyle w:val="ListParagraph"/>
        <w:numPr>
          <w:ilvl w:val="0"/>
          <w:numId w:val="16"/>
        </w:numPr>
        <w:spacing w:after="240" w:line="240" w:lineRule="auto"/>
        <w:contextualSpacing w:val="0"/>
        <w:rPr>
          <w:rFonts w:eastAsia="Times New Roman"/>
        </w:rPr>
      </w:pPr>
      <w:r>
        <w:rPr>
          <w:rFonts w:eastAsia="Times New Roman"/>
        </w:rPr>
        <w:lastRenderedPageBreak/>
        <w:t>TACS</w:t>
      </w:r>
      <w:r w:rsidR="001A5854">
        <w:rPr>
          <w:rFonts w:eastAsia="Times New Roman"/>
        </w:rPr>
        <w:t xml:space="preserve"> will fund low-cost non-clinical equipment that is not accessible through other programs</w:t>
      </w:r>
      <w:r>
        <w:rPr>
          <w:rFonts w:eastAsia="Times New Roman"/>
        </w:rPr>
        <w:t>.</w:t>
      </w:r>
      <w:r w:rsidR="001A5854">
        <w:rPr>
          <w:rFonts w:eastAsia="Times New Roman"/>
        </w:rPr>
        <w:t xml:space="preserve"> </w:t>
      </w:r>
    </w:p>
    <w:p w14:paraId="49A7405D" w14:textId="7FEE0E7A" w:rsidR="001A5854" w:rsidRDefault="006949C8" w:rsidP="001437F0">
      <w:pPr>
        <w:pStyle w:val="ListParagraph"/>
        <w:spacing w:after="240" w:line="240" w:lineRule="auto"/>
        <w:contextualSpacing w:val="0"/>
        <w:rPr>
          <w:rFonts w:eastAsia="Times New Roman"/>
        </w:rPr>
      </w:pPr>
      <w:r w:rsidRPr="00596A42">
        <w:rPr>
          <w:rFonts w:eastAsia="Times New Roman"/>
          <w:b/>
          <w:bCs/>
          <w:u w:val="single"/>
        </w:rPr>
        <w:t>Question:</w:t>
      </w:r>
      <w:r>
        <w:rPr>
          <w:rFonts w:eastAsia="Times New Roman"/>
        </w:rPr>
        <w:t xml:space="preserve"> </w:t>
      </w:r>
      <w:r w:rsidRPr="00D329A4">
        <w:rPr>
          <w:rFonts w:eastAsia="Times New Roman"/>
          <w:b/>
          <w:bCs/>
        </w:rPr>
        <w:t>W</w:t>
      </w:r>
      <w:r w:rsidR="001A5854" w:rsidRPr="00D329A4">
        <w:rPr>
          <w:rFonts w:eastAsia="Times New Roman"/>
          <w:b/>
          <w:bCs/>
        </w:rPr>
        <w:t>hat threshold would you place on ‘low-cost,’ and are there examples of equipment-types that you think should be fund</w:t>
      </w:r>
      <w:r w:rsidR="007155D0">
        <w:rPr>
          <w:rFonts w:eastAsia="Times New Roman"/>
          <w:b/>
          <w:bCs/>
        </w:rPr>
        <w:t xml:space="preserve">ed </w:t>
      </w:r>
      <w:r w:rsidR="001A5854" w:rsidRPr="00D329A4">
        <w:rPr>
          <w:rFonts w:eastAsia="Times New Roman"/>
          <w:b/>
          <w:bCs/>
        </w:rPr>
        <w:t>or not fund</w:t>
      </w:r>
      <w:r w:rsidR="007155D0">
        <w:rPr>
          <w:rFonts w:eastAsia="Times New Roman"/>
          <w:b/>
          <w:bCs/>
        </w:rPr>
        <w:t>ed</w:t>
      </w:r>
      <w:r w:rsidR="001A5854" w:rsidRPr="00D329A4">
        <w:rPr>
          <w:rFonts w:eastAsia="Times New Roman"/>
          <w:b/>
          <w:bCs/>
        </w:rPr>
        <w:t>?</w:t>
      </w:r>
    </w:p>
    <w:p w14:paraId="4CCA9A44" w14:textId="60CB596D" w:rsidR="007155D0" w:rsidRPr="00764040" w:rsidRDefault="001A5854" w:rsidP="00596A42">
      <w:pPr>
        <w:pStyle w:val="ListParagraph"/>
        <w:numPr>
          <w:ilvl w:val="0"/>
          <w:numId w:val="16"/>
        </w:numPr>
        <w:spacing w:after="240" w:line="240" w:lineRule="auto"/>
        <w:contextualSpacing w:val="0"/>
        <w:rPr>
          <w:rFonts w:eastAsia="Times New Roman"/>
        </w:rPr>
      </w:pPr>
      <w:r>
        <w:rPr>
          <w:rFonts w:eastAsia="Times New Roman"/>
          <w:color w:val="000000"/>
          <w:shd w:val="clear" w:color="auto" w:fill="FFFFFF"/>
        </w:rPr>
        <w:t xml:space="preserve">We identified through discussions with subsector stakeholders that </w:t>
      </w:r>
      <w:r w:rsidR="006949C8">
        <w:rPr>
          <w:rFonts w:eastAsia="Times New Roman"/>
          <w:color w:val="000000"/>
          <w:shd w:val="clear" w:color="auto" w:fill="FFFFFF"/>
        </w:rPr>
        <w:t>certain support activities were</w:t>
      </w:r>
      <w:r>
        <w:rPr>
          <w:rFonts w:eastAsia="Times New Roman"/>
          <w:color w:val="000000"/>
          <w:shd w:val="clear" w:color="auto" w:fill="FFFFFF"/>
        </w:rPr>
        <w:t xml:space="preserve"> </w:t>
      </w:r>
      <w:r w:rsidR="006949C8">
        <w:rPr>
          <w:rFonts w:eastAsia="Times New Roman"/>
          <w:color w:val="000000"/>
          <w:shd w:val="clear" w:color="auto" w:fill="FFFFFF"/>
        </w:rPr>
        <w:t>more</w:t>
      </w:r>
      <w:r>
        <w:rPr>
          <w:rFonts w:eastAsia="Times New Roman"/>
          <w:color w:val="000000"/>
          <w:shd w:val="clear" w:color="auto" w:fill="FFFFFF"/>
        </w:rPr>
        <w:t xml:space="preserve"> susceptible to misuse, and this service-type will be on a list of services that are fund</w:t>
      </w:r>
      <w:r w:rsidR="007155D0">
        <w:rPr>
          <w:rFonts w:eastAsia="Times New Roman"/>
          <w:color w:val="000000"/>
          <w:shd w:val="clear" w:color="auto" w:fill="FFFFFF"/>
        </w:rPr>
        <w:t xml:space="preserve">ed </w:t>
      </w:r>
      <w:r>
        <w:rPr>
          <w:rFonts w:eastAsia="Times New Roman"/>
          <w:color w:val="000000"/>
          <w:shd w:val="clear" w:color="auto" w:fill="FFFFFF"/>
        </w:rPr>
        <w:t xml:space="preserve">by exception only. </w:t>
      </w:r>
    </w:p>
    <w:p w14:paraId="3F008D16" w14:textId="53966C6E" w:rsidR="006949C8" w:rsidRPr="00D329A4" w:rsidRDefault="006949C8" w:rsidP="00764040">
      <w:pPr>
        <w:pStyle w:val="ListParagraph"/>
        <w:spacing w:after="240" w:line="240" w:lineRule="auto"/>
        <w:contextualSpacing w:val="0"/>
        <w:rPr>
          <w:rFonts w:eastAsia="Times New Roman"/>
        </w:rPr>
      </w:pPr>
      <w:r w:rsidRPr="00CC536E">
        <w:rPr>
          <w:rFonts w:eastAsia="Times New Roman"/>
          <w:b/>
          <w:bCs/>
          <w:u w:val="single"/>
        </w:rPr>
        <w:t>Question:</w:t>
      </w:r>
      <w:r>
        <w:rPr>
          <w:rFonts w:eastAsia="Times New Roman"/>
        </w:rPr>
        <w:t xml:space="preserve"> </w:t>
      </w:r>
      <w:r w:rsidR="001A5854" w:rsidRPr="00596A42">
        <w:rPr>
          <w:rFonts w:eastAsia="Times New Roman"/>
          <w:b/>
          <w:bCs/>
          <w:color w:val="000000"/>
          <w:shd w:val="clear" w:color="auto" w:fill="FFFFFF"/>
        </w:rPr>
        <w:t xml:space="preserve">Are there any services that you think should be </w:t>
      </w:r>
      <w:r w:rsidRPr="00596A42">
        <w:rPr>
          <w:rFonts w:eastAsia="Times New Roman"/>
          <w:b/>
          <w:bCs/>
          <w:color w:val="000000"/>
          <w:shd w:val="clear" w:color="auto" w:fill="FFFFFF"/>
        </w:rPr>
        <w:t>listed as by ‘exception only’</w:t>
      </w:r>
      <w:r w:rsidR="00D329A4">
        <w:rPr>
          <w:rFonts w:eastAsia="Times New Roman"/>
          <w:b/>
          <w:bCs/>
          <w:color w:val="000000"/>
          <w:shd w:val="clear" w:color="auto" w:fill="FFFFFF"/>
        </w:rPr>
        <w:t>?</w:t>
      </w:r>
    </w:p>
    <w:p w14:paraId="44CA71A4" w14:textId="6184ABE7" w:rsidR="00041E20" w:rsidRPr="00041E20" w:rsidRDefault="00041E20" w:rsidP="008B14C4">
      <w:pPr>
        <w:pStyle w:val="Heading2"/>
      </w:pPr>
      <w:bookmarkStart w:id="6" w:name="_Toc120843533"/>
      <w:r w:rsidRPr="00041E20">
        <w:t>Where to from here?</w:t>
      </w:r>
      <w:bookmarkEnd w:id="6"/>
    </w:p>
    <w:p w14:paraId="48390E0E" w14:textId="657EE029" w:rsidR="000644C7" w:rsidRDefault="00041E20" w:rsidP="00B24C8F">
      <w:pPr>
        <w:shd w:val="clear" w:color="auto" w:fill="FFFFFF" w:themeFill="background1"/>
        <w:rPr>
          <w:szCs w:val="22"/>
        </w:rPr>
      </w:pPr>
      <w:r w:rsidRPr="006949C8">
        <w:rPr>
          <w:szCs w:val="22"/>
        </w:rPr>
        <w:t xml:space="preserve">After </w:t>
      </w:r>
      <w:r w:rsidR="008F5678">
        <w:rPr>
          <w:szCs w:val="22"/>
        </w:rPr>
        <w:t>15</w:t>
      </w:r>
      <w:r w:rsidR="003B2B76" w:rsidRPr="006949C8">
        <w:rPr>
          <w:szCs w:val="22"/>
        </w:rPr>
        <w:t xml:space="preserve"> December 2022, </w:t>
      </w:r>
      <w:r w:rsidRPr="006949C8">
        <w:rPr>
          <w:szCs w:val="22"/>
        </w:rPr>
        <w:t xml:space="preserve">the </w:t>
      </w:r>
      <w:r w:rsidR="00C42EA2" w:rsidRPr="006949C8">
        <w:rPr>
          <w:szCs w:val="22"/>
        </w:rPr>
        <w:t>D</w:t>
      </w:r>
      <w:r w:rsidRPr="006949C8">
        <w:rPr>
          <w:szCs w:val="22"/>
        </w:rPr>
        <w:t xml:space="preserve">esign </w:t>
      </w:r>
      <w:r w:rsidR="00C42EA2" w:rsidRPr="006949C8">
        <w:rPr>
          <w:szCs w:val="22"/>
        </w:rPr>
        <w:t>P</w:t>
      </w:r>
      <w:r w:rsidRPr="006949C8">
        <w:rPr>
          <w:szCs w:val="22"/>
        </w:rPr>
        <w:t xml:space="preserve">hase </w:t>
      </w:r>
      <w:r w:rsidR="003B2B76" w:rsidRPr="006949C8">
        <w:rPr>
          <w:szCs w:val="22"/>
        </w:rPr>
        <w:t xml:space="preserve">will </w:t>
      </w:r>
      <w:r w:rsidR="009859A8" w:rsidRPr="006949C8">
        <w:rPr>
          <w:szCs w:val="22"/>
        </w:rPr>
        <w:t>conclude,</w:t>
      </w:r>
      <w:r w:rsidR="003B2B76" w:rsidRPr="006949C8">
        <w:rPr>
          <w:szCs w:val="22"/>
        </w:rPr>
        <w:t xml:space="preserve"> and</w:t>
      </w:r>
      <w:r w:rsidRPr="006949C8">
        <w:rPr>
          <w:szCs w:val="22"/>
        </w:rPr>
        <w:t xml:space="preserve"> </w:t>
      </w:r>
      <w:r w:rsidR="000644C7" w:rsidRPr="006949C8">
        <w:rPr>
          <w:szCs w:val="22"/>
        </w:rPr>
        <w:t>w</w:t>
      </w:r>
      <w:r w:rsidR="00B24C8F" w:rsidRPr="006949C8">
        <w:rPr>
          <w:szCs w:val="22"/>
        </w:rPr>
        <w:t xml:space="preserve">e </w:t>
      </w:r>
      <w:r w:rsidR="000644C7" w:rsidRPr="006949C8">
        <w:rPr>
          <w:szCs w:val="22"/>
        </w:rPr>
        <w:t>will embark</w:t>
      </w:r>
      <w:r w:rsidR="00B24C8F" w:rsidRPr="006949C8">
        <w:rPr>
          <w:szCs w:val="22"/>
        </w:rPr>
        <w:t xml:space="preserve"> on the ‘</w:t>
      </w:r>
      <w:r w:rsidR="00C42EA2" w:rsidRPr="006949C8">
        <w:rPr>
          <w:szCs w:val="22"/>
        </w:rPr>
        <w:t>I</w:t>
      </w:r>
      <w:r w:rsidR="00B24C8F" w:rsidRPr="006949C8">
        <w:rPr>
          <w:szCs w:val="22"/>
        </w:rPr>
        <w:t xml:space="preserve">nvest’ </w:t>
      </w:r>
      <w:r w:rsidR="00C42EA2" w:rsidRPr="006949C8">
        <w:rPr>
          <w:szCs w:val="22"/>
        </w:rPr>
        <w:t>P</w:t>
      </w:r>
      <w:r w:rsidR="00B24C8F" w:rsidRPr="006949C8">
        <w:rPr>
          <w:szCs w:val="22"/>
        </w:rPr>
        <w:t>hase of the commissioning cycle</w:t>
      </w:r>
      <w:r w:rsidR="00DC55B0" w:rsidRPr="006949C8">
        <w:rPr>
          <w:szCs w:val="22"/>
        </w:rPr>
        <w:t>.</w:t>
      </w:r>
      <w:r w:rsidR="00DC55B0">
        <w:rPr>
          <w:szCs w:val="22"/>
        </w:rPr>
        <w:t xml:space="preserve"> </w:t>
      </w:r>
      <w:r w:rsidR="00494D4D">
        <w:rPr>
          <w:szCs w:val="22"/>
        </w:rPr>
        <w:t>C</w:t>
      </w:r>
      <w:r w:rsidR="00D654AD">
        <w:rPr>
          <w:szCs w:val="22"/>
        </w:rPr>
        <w:t xml:space="preserve">urrent Service Funding Agreements for the </w:t>
      </w:r>
      <w:r w:rsidR="00D02790">
        <w:rPr>
          <w:szCs w:val="22"/>
        </w:rPr>
        <w:t>CASP, FFS and TCP</w:t>
      </w:r>
      <w:r w:rsidR="00D654AD">
        <w:rPr>
          <w:szCs w:val="22"/>
        </w:rPr>
        <w:t xml:space="preserve"> will be extended for three months to 30 September 2023. </w:t>
      </w:r>
      <w:bookmarkStart w:id="7" w:name="_Hlk120786113"/>
      <w:r w:rsidR="000644C7">
        <w:rPr>
          <w:szCs w:val="22"/>
        </w:rPr>
        <w:t xml:space="preserve">From </w:t>
      </w:r>
      <w:r w:rsidR="008F5678">
        <w:rPr>
          <w:szCs w:val="22"/>
        </w:rPr>
        <w:t>15</w:t>
      </w:r>
      <w:r w:rsidR="00D654AD">
        <w:rPr>
          <w:szCs w:val="22"/>
        </w:rPr>
        <w:t xml:space="preserve"> December 2022, </w:t>
      </w:r>
      <w:r w:rsidR="000644C7">
        <w:rPr>
          <w:szCs w:val="22"/>
        </w:rPr>
        <w:t xml:space="preserve">there will be no further </w:t>
      </w:r>
      <w:r w:rsidR="008156FB">
        <w:rPr>
          <w:szCs w:val="22"/>
        </w:rPr>
        <w:t>indivi</w:t>
      </w:r>
      <w:r w:rsidR="00010174">
        <w:rPr>
          <w:szCs w:val="22"/>
        </w:rPr>
        <w:t>dual</w:t>
      </w:r>
      <w:r w:rsidR="000644C7">
        <w:rPr>
          <w:szCs w:val="22"/>
        </w:rPr>
        <w:t xml:space="preserve"> consultation</w:t>
      </w:r>
      <w:r w:rsidR="003B2B76">
        <w:rPr>
          <w:szCs w:val="22"/>
        </w:rPr>
        <w:t xml:space="preserve"> opportunities</w:t>
      </w:r>
      <w:r w:rsidR="00010174">
        <w:rPr>
          <w:szCs w:val="22"/>
        </w:rPr>
        <w:t xml:space="preserve"> </w:t>
      </w:r>
      <w:r w:rsidR="00C42EA2">
        <w:rPr>
          <w:szCs w:val="22"/>
        </w:rPr>
        <w:t xml:space="preserve">between ACTHD and service providers </w:t>
      </w:r>
      <w:r w:rsidR="00010174">
        <w:rPr>
          <w:szCs w:val="22"/>
        </w:rPr>
        <w:t xml:space="preserve">until the completion of </w:t>
      </w:r>
      <w:r w:rsidR="00D654AD">
        <w:rPr>
          <w:szCs w:val="22"/>
        </w:rPr>
        <w:t>the invest phase</w:t>
      </w:r>
      <w:bookmarkEnd w:id="7"/>
      <w:r w:rsidR="00D654AD">
        <w:rPr>
          <w:szCs w:val="22"/>
        </w:rPr>
        <w:t xml:space="preserve">. </w:t>
      </w:r>
      <w:r w:rsidR="00C42EA2">
        <w:rPr>
          <w:szCs w:val="22"/>
        </w:rPr>
        <w:t>C</w:t>
      </w:r>
      <w:r w:rsidR="000644C7">
        <w:rPr>
          <w:szCs w:val="22"/>
        </w:rPr>
        <w:t xml:space="preserve">ommunications between </w:t>
      </w:r>
      <w:r w:rsidR="00C42EA2">
        <w:rPr>
          <w:szCs w:val="22"/>
        </w:rPr>
        <w:t xml:space="preserve">ACTHD </w:t>
      </w:r>
      <w:r w:rsidR="000644C7">
        <w:rPr>
          <w:szCs w:val="22"/>
        </w:rPr>
        <w:t>and subsector stakeholders will be subject to strict probity safeguards including, for example, the publication of responses to all questions</w:t>
      </w:r>
      <w:r w:rsidR="00C06CB9">
        <w:rPr>
          <w:szCs w:val="22"/>
        </w:rPr>
        <w:t xml:space="preserve"> from stakeholders</w:t>
      </w:r>
      <w:r w:rsidR="000644C7">
        <w:rPr>
          <w:szCs w:val="22"/>
        </w:rPr>
        <w:t xml:space="preserve"> on a Frequently Asked Questions (FAQs) webpage.</w:t>
      </w:r>
    </w:p>
    <w:p w14:paraId="66A65DC1" w14:textId="46EEB0A8" w:rsidR="006949C8" w:rsidRPr="00596A42" w:rsidRDefault="006949C8" w:rsidP="00B24C8F">
      <w:pPr>
        <w:shd w:val="clear" w:color="auto" w:fill="FFFFFF" w:themeFill="background1"/>
        <w:rPr>
          <w:i/>
          <w:iCs/>
          <w:szCs w:val="22"/>
        </w:rPr>
      </w:pPr>
      <w:r w:rsidRPr="00596A42">
        <w:rPr>
          <w:i/>
          <w:iCs/>
          <w:szCs w:val="22"/>
        </w:rPr>
        <w:t>Participation</w:t>
      </w:r>
      <w:r>
        <w:rPr>
          <w:i/>
          <w:iCs/>
          <w:szCs w:val="22"/>
        </w:rPr>
        <w:t xml:space="preserve"> in Procurement</w:t>
      </w:r>
      <w:r w:rsidRPr="00596A42">
        <w:rPr>
          <w:i/>
          <w:iCs/>
          <w:szCs w:val="22"/>
        </w:rPr>
        <w:t xml:space="preserve"> and</w:t>
      </w:r>
      <w:r>
        <w:rPr>
          <w:i/>
          <w:iCs/>
          <w:szCs w:val="22"/>
        </w:rPr>
        <w:t>/or</w:t>
      </w:r>
      <w:r w:rsidRPr="00596A42">
        <w:rPr>
          <w:i/>
          <w:iCs/>
          <w:szCs w:val="22"/>
        </w:rPr>
        <w:t xml:space="preserve"> Transition Out (if applicable)</w:t>
      </w:r>
    </w:p>
    <w:p w14:paraId="72341493" w14:textId="30CE4FB1" w:rsidR="006949C8" w:rsidRDefault="006949C8" w:rsidP="00B24C8F">
      <w:pPr>
        <w:shd w:val="clear" w:color="auto" w:fill="FFFFFF" w:themeFill="background1"/>
        <w:rPr>
          <w:szCs w:val="22"/>
        </w:rPr>
      </w:pPr>
      <w:r>
        <w:rPr>
          <w:szCs w:val="22"/>
        </w:rPr>
        <w:t>T</w:t>
      </w:r>
      <w:r w:rsidR="00C42EA2">
        <w:rPr>
          <w:szCs w:val="22"/>
        </w:rPr>
        <w:t xml:space="preserve">o receive funding </w:t>
      </w:r>
      <w:r w:rsidR="007155D0">
        <w:rPr>
          <w:szCs w:val="22"/>
        </w:rPr>
        <w:t xml:space="preserve">under </w:t>
      </w:r>
      <w:r w:rsidR="00C42EA2">
        <w:rPr>
          <w:szCs w:val="22"/>
        </w:rPr>
        <w:t xml:space="preserve">the new TACS program </w:t>
      </w:r>
      <w:r>
        <w:rPr>
          <w:szCs w:val="22"/>
        </w:rPr>
        <w:t>providers</w:t>
      </w:r>
      <w:r w:rsidR="00866955" w:rsidRPr="00866955">
        <w:rPr>
          <w:szCs w:val="22"/>
        </w:rPr>
        <w:t xml:space="preserve"> must </w:t>
      </w:r>
      <w:r w:rsidR="00D02790">
        <w:rPr>
          <w:szCs w:val="22"/>
        </w:rPr>
        <w:t>submit a tender</w:t>
      </w:r>
      <w:r w:rsidR="00D02790" w:rsidRPr="00866955">
        <w:rPr>
          <w:szCs w:val="22"/>
        </w:rPr>
        <w:t xml:space="preserve"> </w:t>
      </w:r>
      <w:r w:rsidR="00C42EA2">
        <w:rPr>
          <w:szCs w:val="22"/>
        </w:rPr>
        <w:t xml:space="preserve">in the forthcoming </w:t>
      </w:r>
      <w:r w:rsidR="00D02790">
        <w:rPr>
          <w:szCs w:val="22"/>
        </w:rPr>
        <w:t xml:space="preserve">open </w:t>
      </w:r>
      <w:r w:rsidR="00C42EA2">
        <w:rPr>
          <w:szCs w:val="22"/>
        </w:rPr>
        <w:t xml:space="preserve">procurement process. </w:t>
      </w:r>
      <w:r w:rsidR="00866955" w:rsidRPr="00866955">
        <w:rPr>
          <w:szCs w:val="22"/>
        </w:rPr>
        <w:t xml:space="preserve">Only successful tenderers will be assured of funding beyond the cessation of current CSS programs. </w:t>
      </w:r>
      <w:r w:rsidR="00C42EA2">
        <w:rPr>
          <w:szCs w:val="22"/>
        </w:rPr>
        <w:t>C</w:t>
      </w:r>
      <w:r w:rsidR="00866955" w:rsidRPr="00866955">
        <w:rPr>
          <w:szCs w:val="22"/>
        </w:rPr>
        <w:t xml:space="preserve">urrent CSS providers are advised to review their Transition Out plans, </w:t>
      </w:r>
      <w:r w:rsidR="00A84618">
        <w:rPr>
          <w:szCs w:val="22"/>
        </w:rPr>
        <w:t xml:space="preserve">which should already be in place under the terms of the </w:t>
      </w:r>
      <w:r w:rsidR="00B42E85">
        <w:rPr>
          <w:szCs w:val="22"/>
        </w:rPr>
        <w:t xml:space="preserve">CSS funding agreements </w:t>
      </w:r>
      <w:r w:rsidR="00866955" w:rsidRPr="00866955">
        <w:rPr>
          <w:szCs w:val="22"/>
        </w:rPr>
        <w:t>(generally Schedule 6)</w:t>
      </w:r>
      <w:r w:rsidR="00E50AB0">
        <w:rPr>
          <w:szCs w:val="22"/>
        </w:rPr>
        <w:t xml:space="preserve">. Organisations that do not </w:t>
      </w:r>
      <w:r w:rsidR="00536243">
        <w:rPr>
          <w:szCs w:val="22"/>
        </w:rPr>
        <w:t>take part in TACS</w:t>
      </w:r>
      <w:r>
        <w:rPr>
          <w:szCs w:val="22"/>
        </w:rPr>
        <w:t xml:space="preserve"> procurement</w:t>
      </w:r>
      <w:r w:rsidR="00536243">
        <w:rPr>
          <w:szCs w:val="22"/>
        </w:rPr>
        <w:t xml:space="preserve"> will </w:t>
      </w:r>
      <w:r w:rsidR="008E4998">
        <w:rPr>
          <w:szCs w:val="22"/>
        </w:rPr>
        <w:t>have to comply with their Transition Out plans</w:t>
      </w:r>
      <w:r w:rsidR="00866955" w:rsidRPr="00866955">
        <w:rPr>
          <w:szCs w:val="22"/>
        </w:rPr>
        <w:t>.</w:t>
      </w:r>
      <w:r w:rsidR="00A3599A">
        <w:rPr>
          <w:szCs w:val="22"/>
        </w:rPr>
        <w:t xml:space="preserve"> </w:t>
      </w:r>
    </w:p>
    <w:p w14:paraId="02D3692D" w14:textId="5B15B228" w:rsidR="00AC71FD" w:rsidRDefault="006949C8" w:rsidP="00B24C8F">
      <w:pPr>
        <w:shd w:val="clear" w:color="auto" w:fill="FFFFFF" w:themeFill="background1"/>
        <w:rPr>
          <w:szCs w:val="22"/>
        </w:rPr>
      </w:pPr>
      <w:r>
        <w:rPr>
          <w:szCs w:val="22"/>
        </w:rPr>
        <w:t>T</w:t>
      </w:r>
      <w:r w:rsidR="00AC71FD">
        <w:rPr>
          <w:szCs w:val="22"/>
        </w:rPr>
        <w:t>ender</w:t>
      </w:r>
      <w:r>
        <w:rPr>
          <w:szCs w:val="22"/>
        </w:rPr>
        <w:t>er</w:t>
      </w:r>
      <w:r w:rsidR="00AC71FD">
        <w:rPr>
          <w:szCs w:val="22"/>
        </w:rPr>
        <w:t xml:space="preserve">s </w:t>
      </w:r>
      <w:r>
        <w:rPr>
          <w:szCs w:val="22"/>
        </w:rPr>
        <w:t>are encouraged to consider</w:t>
      </w:r>
      <w:r w:rsidR="00AC71FD">
        <w:rPr>
          <w:szCs w:val="22"/>
        </w:rPr>
        <w:t xml:space="preserve"> </w:t>
      </w:r>
      <w:r>
        <w:rPr>
          <w:szCs w:val="22"/>
        </w:rPr>
        <w:t>the best mechanism for their proposed future TACS engagement, including individual submissions,</w:t>
      </w:r>
      <w:r w:rsidR="00AC71FD">
        <w:rPr>
          <w:szCs w:val="22"/>
        </w:rPr>
        <w:t xml:space="preserve"> consortiums</w:t>
      </w:r>
      <w:r>
        <w:rPr>
          <w:szCs w:val="22"/>
        </w:rPr>
        <w:t>,</w:t>
      </w:r>
      <w:r w:rsidR="00AC71FD">
        <w:rPr>
          <w:szCs w:val="22"/>
        </w:rPr>
        <w:t xml:space="preserve"> </w:t>
      </w:r>
      <w:r>
        <w:rPr>
          <w:szCs w:val="22"/>
        </w:rPr>
        <w:t>c</w:t>
      </w:r>
      <w:r w:rsidR="00AC71FD">
        <w:rPr>
          <w:szCs w:val="22"/>
        </w:rPr>
        <w:t xml:space="preserve">oalitions of </w:t>
      </w:r>
      <w:r w:rsidR="000E61B1">
        <w:rPr>
          <w:szCs w:val="22"/>
        </w:rPr>
        <w:t xml:space="preserve">multiple </w:t>
      </w:r>
      <w:r w:rsidR="00AC71FD">
        <w:rPr>
          <w:szCs w:val="22"/>
        </w:rPr>
        <w:t>service providers</w:t>
      </w:r>
      <w:r>
        <w:rPr>
          <w:szCs w:val="22"/>
        </w:rPr>
        <w:t xml:space="preserve"> or other arrangements</w:t>
      </w:r>
      <w:r w:rsidR="00DC55B0">
        <w:rPr>
          <w:szCs w:val="22"/>
        </w:rPr>
        <w:t xml:space="preserve">. </w:t>
      </w:r>
      <w:r w:rsidR="00AC71FD">
        <w:rPr>
          <w:szCs w:val="22"/>
        </w:rPr>
        <w:t xml:space="preserve">Commissioning’s focus on outcomes also affords the opportunity for prospective providers to consider new </w:t>
      </w:r>
      <w:r w:rsidR="000E61B1">
        <w:rPr>
          <w:szCs w:val="22"/>
        </w:rPr>
        <w:t xml:space="preserve">programs that might deliver fundable services in innovative new ways.  </w:t>
      </w:r>
    </w:p>
    <w:p w14:paraId="50C4DEAA" w14:textId="77777777" w:rsidR="004A4820" w:rsidRDefault="004A4820" w:rsidP="004A4820">
      <w:pPr>
        <w:shd w:val="clear" w:color="auto" w:fill="FFFFFF" w:themeFill="background1"/>
        <w:rPr>
          <w:szCs w:val="22"/>
        </w:rPr>
      </w:pPr>
      <w:r>
        <w:rPr>
          <w:szCs w:val="22"/>
        </w:rPr>
        <w:t>Tenderer/s are solely financially responsible for the development of their tenders.</w:t>
      </w:r>
    </w:p>
    <w:p w14:paraId="41043E96" w14:textId="76986CA7" w:rsidR="004A4820" w:rsidRPr="00596A42" w:rsidRDefault="004A4820" w:rsidP="00B24C8F">
      <w:pPr>
        <w:shd w:val="clear" w:color="auto" w:fill="FFFFFF" w:themeFill="background1"/>
        <w:rPr>
          <w:i/>
          <w:iCs/>
          <w:szCs w:val="22"/>
        </w:rPr>
      </w:pPr>
      <w:r w:rsidRPr="00596A42">
        <w:rPr>
          <w:i/>
          <w:iCs/>
          <w:szCs w:val="22"/>
        </w:rPr>
        <w:t>Tender Evaluations</w:t>
      </w:r>
    </w:p>
    <w:p w14:paraId="0259331C" w14:textId="7FDCE437" w:rsidR="000E61B1" w:rsidRDefault="0043538A" w:rsidP="00B24C8F">
      <w:pPr>
        <w:shd w:val="clear" w:color="auto" w:fill="FFFFFF" w:themeFill="background1"/>
        <w:rPr>
          <w:szCs w:val="22"/>
        </w:rPr>
      </w:pPr>
      <w:r>
        <w:rPr>
          <w:szCs w:val="22"/>
        </w:rPr>
        <w:t>Tenders</w:t>
      </w:r>
      <w:r w:rsidRPr="0043538A">
        <w:rPr>
          <w:szCs w:val="22"/>
        </w:rPr>
        <w:t xml:space="preserve"> will </w:t>
      </w:r>
      <w:r w:rsidR="001C38F0" w:rsidRPr="0043538A">
        <w:rPr>
          <w:szCs w:val="22"/>
        </w:rPr>
        <w:t>be evaluated</w:t>
      </w:r>
      <w:r w:rsidRPr="0043538A">
        <w:rPr>
          <w:szCs w:val="22"/>
        </w:rPr>
        <w:t xml:space="preserve"> in accordance with the Territory’s value for money principles.</w:t>
      </w:r>
    </w:p>
    <w:p w14:paraId="57D8623F" w14:textId="58F67179" w:rsidR="003F20C5" w:rsidRDefault="003F20C5" w:rsidP="008B14C4">
      <w:pPr>
        <w:pStyle w:val="Heading2"/>
      </w:pPr>
      <w:bookmarkStart w:id="8" w:name="_Toc120843534"/>
      <w:r>
        <w:t>Investment approach</w:t>
      </w:r>
      <w:bookmarkEnd w:id="8"/>
    </w:p>
    <w:p w14:paraId="4435E205" w14:textId="00E3C3D1" w:rsidR="00996AAB" w:rsidRDefault="00996AAB" w:rsidP="00B24C8F">
      <w:pPr>
        <w:shd w:val="clear" w:color="auto" w:fill="FFFFFF" w:themeFill="background1"/>
      </w:pPr>
      <w:r>
        <w:t xml:space="preserve">There will be two </w:t>
      </w:r>
      <w:r w:rsidR="0043538A">
        <w:t xml:space="preserve">elements to the </w:t>
      </w:r>
      <w:r>
        <w:t>procurement</w:t>
      </w:r>
      <w:r w:rsidR="0043538A">
        <w:t xml:space="preserve">, and both will rely on an open tender process: </w:t>
      </w:r>
      <w:r>
        <w:t xml:space="preserve"> </w:t>
      </w:r>
    </w:p>
    <w:p w14:paraId="668773B0" w14:textId="1B9AFED3" w:rsidR="0043538A" w:rsidRPr="00596A42" w:rsidRDefault="0043538A" w:rsidP="0043538A">
      <w:pPr>
        <w:pStyle w:val="ListParagraph"/>
        <w:numPr>
          <w:ilvl w:val="0"/>
          <w:numId w:val="18"/>
        </w:numPr>
        <w:shd w:val="clear" w:color="auto" w:fill="FFFFFF" w:themeFill="background1"/>
        <w:rPr>
          <w:i/>
          <w:iCs/>
        </w:rPr>
      </w:pPr>
      <w:r w:rsidRPr="00596A42">
        <w:rPr>
          <w:i/>
          <w:iCs/>
        </w:rPr>
        <w:t>Programs that deliver against TACS program outcomes</w:t>
      </w:r>
    </w:p>
    <w:p w14:paraId="70B2407E" w14:textId="32681F7B" w:rsidR="0043538A" w:rsidRPr="0043538A" w:rsidRDefault="009373A5" w:rsidP="0043538A">
      <w:pPr>
        <w:shd w:val="clear" w:color="auto" w:fill="FFFFFF" w:themeFill="background1"/>
      </w:pPr>
      <w:r>
        <w:t>P</w:t>
      </w:r>
      <w:r w:rsidR="0043538A">
        <w:t xml:space="preserve">roposals </w:t>
      </w:r>
      <w:r>
        <w:t xml:space="preserve">will be invited </w:t>
      </w:r>
      <w:r w:rsidR="0043538A">
        <w:t>from organisations seeking funding to deliver services that deliver against TACS program outcomes. Tenders will be required to use a program logic approach to demonstrate how the services delivered through a proposed program will contribute to realising the agreed TACS program outcomes (Appendix A).</w:t>
      </w:r>
      <w:r w:rsidR="0043538A" w:rsidRPr="0043538A">
        <w:br/>
      </w:r>
    </w:p>
    <w:p w14:paraId="67B008CE" w14:textId="61890E97" w:rsidR="00996AAB" w:rsidRPr="00596A42" w:rsidRDefault="00996AAB" w:rsidP="00996AAB">
      <w:pPr>
        <w:pStyle w:val="ListParagraph"/>
        <w:numPr>
          <w:ilvl w:val="0"/>
          <w:numId w:val="18"/>
        </w:numPr>
        <w:shd w:val="clear" w:color="auto" w:fill="FFFFFF" w:themeFill="background1"/>
        <w:rPr>
          <w:i/>
          <w:iCs/>
        </w:rPr>
      </w:pPr>
      <w:r w:rsidRPr="00596A42">
        <w:rPr>
          <w:i/>
          <w:iCs/>
        </w:rPr>
        <w:t>Central Intake Function</w:t>
      </w:r>
    </w:p>
    <w:p w14:paraId="5A980D78" w14:textId="709CEB00" w:rsidR="00EF2751" w:rsidRDefault="00EF2751" w:rsidP="00996AAB">
      <w:pPr>
        <w:shd w:val="clear" w:color="auto" w:fill="FFFFFF" w:themeFill="background1"/>
      </w:pPr>
      <w:r>
        <w:t xml:space="preserve"> </w:t>
      </w:r>
      <w:r w:rsidR="009373A5">
        <w:t xml:space="preserve">Proposals will be invited </w:t>
      </w:r>
      <w:r>
        <w:t xml:space="preserve">for the provision of a </w:t>
      </w:r>
      <w:r w:rsidR="009373A5">
        <w:t xml:space="preserve">community support subsector </w:t>
      </w:r>
      <w:r>
        <w:t xml:space="preserve">central intake function (CIF). </w:t>
      </w:r>
    </w:p>
    <w:p w14:paraId="29BD1CCF" w14:textId="7F8E72E5" w:rsidR="00EF2751" w:rsidRDefault="00EF2751" w:rsidP="00996AAB">
      <w:pPr>
        <w:shd w:val="clear" w:color="auto" w:fill="FFFFFF" w:themeFill="background1"/>
      </w:pPr>
      <w:r>
        <w:t>The successful tenderer will be expected to stand</w:t>
      </w:r>
      <w:r w:rsidR="00CC0987">
        <w:t>-</w:t>
      </w:r>
      <w:r>
        <w:t xml:space="preserve">up the CIF prior to commencement of the program on </w:t>
      </w:r>
      <w:r w:rsidR="00CC0987">
        <w:t>1</w:t>
      </w:r>
      <w:r w:rsidR="00D02790">
        <w:t> </w:t>
      </w:r>
      <w:r w:rsidR="00CC0987">
        <w:t>October 2023 and</w:t>
      </w:r>
      <w:r>
        <w:t xml:space="preserve"> will have responsibility for managing referrals to the TACS program from that date</w:t>
      </w:r>
      <w:r w:rsidR="00DC55B0">
        <w:t xml:space="preserve">. </w:t>
      </w:r>
    </w:p>
    <w:p w14:paraId="586AF549" w14:textId="5C01E630" w:rsidR="00EF2751" w:rsidRDefault="00EF2751" w:rsidP="00996AAB">
      <w:pPr>
        <w:shd w:val="clear" w:color="auto" w:fill="FFFFFF" w:themeFill="background1"/>
      </w:pPr>
      <w:r>
        <w:lastRenderedPageBreak/>
        <w:t xml:space="preserve">There will be an expectation that proposals will set out how an organisation will: </w:t>
      </w:r>
    </w:p>
    <w:p w14:paraId="455E026F" w14:textId="19D5A057" w:rsidR="00EF2751" w:rsidRDefault="00CC0987" w:rsidP="00EF2751">
      <w:pPr>
        <w:pStyle w:val="ListParagraph"/>
        <w:numPr>
          <w:ilvl w:val="0"/>
          <w:numId w:val="19"/>
        </w:numPr>
        <w:shd w:val="clear" w:color="auto" w:fill="FFFFFF" w:themeFill="background1"/>
      </w:pPr>
      <w:r>
        <w:t>f</w:t>
      </w:r>
      <w:r w:rsidR="00EF2751">
        <w:t>acilitate referral</w:t>
      </w:r>
      <w:r>
        <w:t>s</w:t>
      </w:r>
      <w:r w:rsidR="00EF2751">
        <w:t>, including through a dedicated website</w:t>
      </w:r>
      <w:r w:rsidR="0031278F">
        <w:t>, social media presence,</w:t>
      </w:r>
      <w:r w:rsidR="00EF2751">
        <w:t xml:space="preserve"> and central intake phone number</w:t>
      </w:r>
      <w:r>
        <w:t>;</w:t>
      </w:r>
      <w:r w:rsidR="00EF2751">
        <w:t xml:space="preserve"> </w:t>
      </w:r>
    </w:p>
    <w:p w14:paraId="4A514C23" w14:textId="38764AE1" w:rsidR="00EF2751" w:rsidRDefault="00EF2751" w:rsidP="00EF2751">
      <w:pPr>
        <w:pStyle w:val="ListParagraph"/>
        <w:numPr>
          <w:ilvl w:val="0"/>
          <w:numId w:val="19"/>
        </w:numPr>
        <w:shd w:val="clear" w:color="auto" w:fill="FFFFFF" w:themeFill="background1"/>
      </w:pPr>
      <w:r>
        <w:t>maximise visibility and accessibility of the TACS program</w:t>
      </w:r>
      <w:r w:rsidR="00CC0987">
        <w:t>;</w:t>
      </w:r>
      <w:r>
        <w:t xml:space="preserve">  </w:t>
      </w:r>
    </w:p>
    <w:p w14:paraId="30FEDFEC" w14:textId="6E9D0E73" w:rsidR="00996AAB" w:rsidRDefault="00EF2751" w:rsidP="00EF2751">
      <w:pPr>
        <w:pStyle w:val="ListParagraph"/>
        <w:numPr>
          <w:ilvl w:val="0"/>
          <w:numId w:val="19"/>
        </w:numPr>
        <w:shd w:val="clear" w:color="auto" w:fill="FFFFFF" w:themeFill="background1"/>
      </w:pPr>
      <w:r>
        <w:t>conduct an initial triage to ensure, prior to referral to a service provider, that another program or scheme is not more appropriate</w:t>
      </w:r>
      <w:r w:rsidR="00CC0987">
        <w:t>;</w:t>
      </w:r>
    </w:p>
    <w:p w14:paraId="1A40404D" w14:textId="07F119B5" w:rsidR="005A4A39" w:rsidRDefault="005A4A39" w:rsidP="00EF2751">
      <w:pPr>
        <w:pStyle w:val="ListParagraph"/>
        <w:numPr>
          <w:ilvl w:val="0"/>
          <w:numId w:val="19"/>
        </w:numPr>
        <w:shd w:val="clear" w:color="auto" w:fill="FFFFFF" w:themeFill="background1"/>
      </w:pPr>
      <w:r>
        <w:t>meet KPIs;</w:t>
      </w:r>
    </w:p>
    <w:p w14:paraId="132D18A6" w14:textId="6AE65226" w:rsidR="00EF2751" w:rsidRDefault="00EF2751" w:rsidP="00EF2751">
      <w:pPr>
        <w:pStyle w:val="ListParagraph"/>
        <w:numPr>
          <w:ilvl w:val="0"/>
          <w:numId w:val="19"/>
        </w:numPr>
        <w:shd w:val="clear" w:color="auto" w:fill="FFFFFF" w:themeFill="background1"/>
      </w:pPr>
      <w:r>
        <w:t>ensure that participants are referred to providers that will cater for relevant cultural and other sensitivities</w:t>
      </w:r>
      <w:r w:rsidR="00CC0987">
        <w:t>;</w:t>
      </w:r>
    </w:p>
    <w:p w14:paraId="37AF5C4A" w14:textId="76FF38F9" w:rsidR="005468AB" w:rsidRDefault="005468AB" w:rsidP="00EF2751">
      <w:pPr>
        <w:pStyle w:val="ListParagraph"/>
        <w:numPr>
          <w:ilvl w:val="0"/>
          <w:numId w:val="19"/>
        </w:numPr>
        <w:shd w:val="clear" w:color="auto" w:fill="FFFFFF" w:themeFill="background1"/>
      </w:pPr>
      <w:r>
        <w:t xml:space="preserve">allocate demand to </w:t>
      </w:r>
      <w:r w:rsidR="00574E5D">
        <w:t>minimise</w:t>
      </w:r>
      <w:r>
        <w:t xml:space="preserve"> oversubscription and under expenditure amongst providers</w:t>
      </w:r>
      <w:r w:rsidR="00CC0987">
        <w:t>;</w:t>
      </w:r>
    </w:p>
    <w:p w14:paraId="0FDD5A2B" w14:textId="3374F44F" w:rsidR="00EF2751" w:rsidRDefault="00EF2751" w:rsidP="00EF2751">
      <w:pPr>
        <w:pStyle w:val="ListParagraph"/>
        <w:numPr>
          <w:ilvl w:val="0"/>
          <w:numId w:val="19"/>
        </w:numPr>
        <w:shd w:val="clear" w:color="auto" w:fill="FFFFFF" w:themeFill="background1"/>
      </w:pPr>
      <w:r>
        <w:t xml:space="preserve">ensure that their data systems can record and provide routine reports on </w:t>
      </w:r>
      <w:r w:rsidR="002F76AB">
        <w:t xml:space="preserve">a range of minimum data elements including those relating to </w:t>
      </w:r>
      <w:r>
        <w:t>service capacities</w:t>
      </w:r>
      <w:r w:rsidR="00CC0987">
        <w:t xml:space="preserve">, </w:t>
      </w:r>
      <w:r>
        <w:t>participant numbers</w:t>
      </w:r>
      <w:r w:rsidR="002F76AB">
        <w:t xml:space="preserve"> and demographics</w:t>
      </w:r>
      <w:r w:rsidR="00CC0987">
        <w:t>; and</w:t>
      </w:r>
    </w:p>
    <w:p w14:paraId="2F2AB583" w14:textId="566985BC" w:rsidR="002F76AB" w:rsidRDefault="002F76AB" w:rsidP="00EF2751">
      <w:pPr>
        <w:pStyle w:val="ListParagraph"/>
        <w:numPr>
          <w:ilvl w:val="0"/>
          <w:numId w:val="19"/>
        </w:numPr>
        <w:shd w:val="clear" w:color="auto" w:fill="FFFFFF" w:themeFill="background1"/>
      </w:pPr>
      <w:r>
        <w:t xml:space="preserve">manage disputes that </w:t>
      </w:r>
      <w:r w:rsidR="00CC0987">
        <w:t xml:space="preserve">may </w:t>
      </w:r>
      <w:r>
        <w:t>arise between the CIF provider and service providers.</w:t>
      </w:r>
    </w:p>
    <w:p w14:paraId="2009DB3E" w14:textId="1A435B62" w:rsidR="00EF2751" w:rsidRDefault="002F76AB" w:rsidP="00EF2751">
      <w:pPr>
        <w:shd w:val="clear" w:color="auto" w:fill="FFFFFF" w:themeFill="background1"/>
      </w:pPr>
      <w:r>
        <w:t xml:space="preserve">Organisations selected to tender for the CIF will also be welcome to tender </w:t>
      </w:r>
      <w:r w:rsidR="00CC0987">
        <w:t xml:space="preserve">for the </w:t>
      </w:r>
      <w:r>
        <w:t xml:space="preserve">delivery of </w:t>
      </w:r>
      <w:r w:rsidR="00CC0987">
        <w:t xml:space="preserve">services in the TAC </w:t>
      </w:r>
      <w:r>
        <w:t>program</w:t>
      </w:r>
      <w:r w:rsidR="00CC0987">
        <w:t>. They</w:t>
      </w:r>
      <w:r>
        <w:t xml:space="preserve"> will be required to demonstrate how the</w:t>
      </w:r>
      <w:r w:rsidR="00CC0987">
        <w:t xml:space="preserve">y will not </w:t>
      </w:r>
      <w:r>
        <w:t xml:space="preserve">favour </w:t>
      </w:r>
      <w:r w:rsidR="00CC0987">
        <w:t xml:space="preserve">their </w:t>
      </w:r>
      <w:r>
        <w:t xml:space="preserve">own service arm to the detriment of other organisations that successfully tender to deliver </w:t>
      </w:r>
      <w:r w:rsidR="00CC0987">
        <w:t xml:space="preserve">services in the TAC </w:t>
      </w:r>
      <w:r>
        <w:t>program.</w:t>
      </w:r>
      <w:r w:rsidR="00EF2751">
        <w:br/>
      </w:r>
    </w:p>
    <w:p w14:paraId="72DF59FB" w14:textId="233DE3D4" w:rsidR="00C06CB9" w:rsidRDefault="00C06CB9" w:rsidP="008B14C4">
      <w:pPr>
        <w:pStyle w:val="Heading2"/>
        <w:rPr>
          <w:bCs/>
        </w:rPr>
      </w:pPr>
      <w:bookmarkStart w:id="9" w:name="_Toc120843535"/>
      <w:r w:rsidRPr="00C06CB9">
        <w:rPr>
          <w:bCs/>
        </w:rPr>
        <w:t>Anticipated procurement timeline</w:t>
      </w:r>
      <w:bookmarkEnd w:id="9"/>
    </w:p>
    <w:p w14:paraId="0F67E4D0" w14:textId="6D9B1C10" w:rsidR="0039418A" w:rsidRDefault="00041E20" w:rsidP="00D329A4">
      <w:pPr>
        <w:keepNext/>
        <w:shd w:val="clear" w:color="auto" w:fill="FFFFFF" w:themeFill="background1"/>
      </w:pPr>
      <w:r>
        <w:t>What follows are the anticipated key dates and milestones that ACT</w:t>
      </w:r>
      <w:r w:rsidR="00D654AD">
        <w:t>HD</w:t>
      </w:r>
      <w:r>
        <w:t xml:space="preserve"> will be working toward during the CSS procurement process</w:t>
      </w:r>
      <w:r w:rsidR="00DC55B0">
        <w:t xml:space="preserve">. </w:t>
      </w:r>
      <w:r w:rsidR="00AA0B93">
        <w:t xml:space="preserve">Any revisions to this timeline will be publicly communicated through the </w:t>
      </w:r>
      <w:hyperlink r:id="rId20" w:history="1">
        <w:r w:rsidR="00AA0B93" w:rsidRPr="00AA0B93">
          <w:rPr>
            <w:rStyle w:val="Hyperlink"/>
          </w:rPr>
          <w:t>Community Support Commissioning webpage</w:t>
        </w:r>
      </w:hyperlink>
      <w:r w:rsidR="00AA0B93">
        <w:t xml:space="preserve">. </w:t>
      </w:r>
    </w:p>
    <w:p w14:paraId="444E50AA" w14:textId="06140F5D" w:rsidR="0039418A" w:rsidRPr="0039418A" w:rsidRDefault="0039418A" w:rsidP="0039418A">
      <w:pPr>
        <w:shd w:val="clear" w:color="auto" w:fill="FFFFFF" w:themeFill="background1"/>
        <w:rPr>
          <w:b/>
          <w:bCs/>
        </w:rPr>
      </w:pPr>
      <w:r w:rsidRPr="0039418A">
        <w:rPr>
          <w:b/>
          <w:bCs/>
        </w:rPr>
        <w:t xml:space="preserve">Table </w:t>
      </w:r>
      <w:r>
        <w:rPr>
          <w:b/>
          <w:bCs/>
        </w:rPr>
        <w:t>2</w:t>
      </w:r>
      <w:r w:rsidRPr="0039418A">
        <w:rPr>
          <w:b/>
          <w:bCs/>
        </w:rPr>
        <w:t xml:space="preserve">: </w:t>
      </w:r>
      <w:r>
        <w:rPr>
          <w:b/>
          <w:bCs/>
        </w:rPr>
        <w:t>Procurement timeline</w:t>
      </w:r>
    </w:p>
    <w:tbl>
      <w:tblPr>
        <w:tblStyle w:val="TableGrid"/>
        <w:tblW w:w="5000" w:type="pct"/>
        <w:tblLook w:val="04A0" w:firstRow="1" w:lastRow="0" w:firstColumn="1" w:lastColumn="0" w:noHBand="0" w:noVBand="1"/>
      </w:tblPr>
      <w:tblGrid>
        <w:gridCol w:w="4106"/>
        <w:gridCol w:w="4954"/>
      </w:tblGrid>
      <w:tr w:rsidR="00596A42" w:rsidRPr="00596A42" w14:paraId="000F8BCD" w14:textId="77777777" w:rsidTr="00372CA4">
        <w:tc>
          <w:tcPr>
            <w:tcW w:w="2266" w:type="pct"/>
          </w:tcPr>
          <w:p w14:paraId="2BF80BC0" w14:textId="6E686A67" w:rsidR="00596A42" w:rsidRPr="00596A42" w:rsidRDefault="00596A42">
            <w:pPr>
              <w:spacing w:line="276" w:lineRule="auto"/>
              <w:rPr>
                <w:b/>
                <w:bCs/>
              </w:rPr>
            </w:pPr>
            <w:r w:rsidRPr="00596A42">
              <w:rPr>
                <w:b/>
                <w:bCs/>
              </w:rPr>
              <w:t>Date</w:t>
            </w:r>
          </w:p>
        </w:tc>
        <w:tc>
          <w:tcPr>
            <w:tcW w:w="2734" w:type="pct"/>
          </w:tcPr>
          <w:p w14:paraId="65E7936C" w14:textId="4D0381EF" w:rsidR="00596A42" w:rsidRPr="00596A42" w:rsidRDefault="00596A42">
            <w:pPr>
              <w:spacing w:line="276" w:lineRule="auto"/>
              <w:rPr>
                <w:b/>
                <w:bCs/>
              </w:rPr>
            </w:pPr>
            <w:r w:rsidRPr="00596A42">
              <w:rPr>
                <w:b/>
                <w:bCs/>
              </w:rPr>
              <w:t>Activity</w:t>
            </w:r>
          </w:p>
        </w:tc>
      </w:tr>
      <w:tr w:rsidR="00596A42" w14:paraId="6DFE3CB4" w14:textId="77777777" w:rsidTr="00372CA4">
        <w:tc>
          <w:tcPr>
            <w:tcW w:w="2266" w:type="pct"/>
          </w:tcPr>
          <w:p w14:paraId="6F72EAB9" w14:textId="6AB1349A" w:rsidR="00596A42" w:rsidRDefault="001437F0">
            <w:pPr>
              <w:spacing w:line="276" w:lineRule="auto"/>
            </w:pPr>
            <w:r>
              <w:t>Thursday</w:t>
            </w:r>
            <w:r w:rsidR="00372CA4">
              <w:t xml:space="preserve">, </w:t>
            </w:r>
            <w:r w:rsidR="008F5678">
              <w:t>15</w:t>
            </w:r>
            <w:r w:rsidR="007B3E3A">
              <w:t xml:space="preserve"> </w:t>
            </w:r>
            <w:r w:rsidR="00372CA4">
              <w:t>December 2022</w:t>
            </w:r>
          </w:p>
        </w:tc>
        <w:tc>
          <w:tcPr>
            <w:tcW w:w="2734" w:type="pct"/>
          </w:tcPr>
          <w:p w14:paraId="26A39E57" w14:textId="7B71DC70" w:rsidR="00596A42" w:rsidRDefault="00372CA4">
            <w:pPr>
              <w:spacing w:line="276" w:lineRule="auto"/>
            </w:pPr>
            <w:r>
              <w:t>Design phase closes and ‘Invest’ phase commences</w:t>
            </w:r>
          </w:p>
        </w:tc>
      </w:tr>
      <w:tr w:rsidR="00596A42" w14:paraId="55CE785B" w14:textId="77777777" w:rsidTr="00372CA4">
        <w:tc>
          <w:tcPr>
            <w:tcW w:w="2266" w:type="pct"/>
          </w:tcPr>
          <w:p w14:paraId="4D6BC212" w14:textId="59EF9D49" w:rsidR="00596A42" w:rsidRDefault="00372CA4">
            <w:pPr>
              <w:spacing w:line="276" w:lineRule="auto"/>
            </w:pPr>
            <w:r>
              <w:t>January / February 2023</w:t>
            </w:r>
          </w:p>
        </w:tc>
        <w:tc>
          <w:tcPr>
            <w:tcW w:w="2734" w:type="pct"/>
          </w:tcPr>
          <w:p w14:paraId="3A010FF8" w14:textId="51DA28CC" w:rsidR="00596A42" w:rsidRDefault="00372CA4">
            <w:pPr>
              <w:spacing w:line="276" w:lineRule="auto"/>
            </w:pPr>
            <w:r>
              <w:t xml:space="preserve">Current SFAs extended from 30 June to 30 Sept ‘23                                                   </w:t>
            </w:r>
          </w:p>
        </w:tc>
      </w:tr>
      <w:tr w:rsidR="00596A42" w14:paraId="49C73A1F" w14:textId="77777777" w:rsidTr="00372CA4">
        <w:tc>
          <w:tcPr>
            <w:tcW w:w="2266" w:type="pct"/>
          </w:tcPr>
          <w:p w14:paraId="6CEC1E09" w14:textId="09B06B06" w:rsidR="00596A42" w:rsidRDefault="00372CA4">
            <w:pPr>
              <w:spacing w:line="276" w:lineRule="auto"/>
            </w:pPr>
            <w:r>
              <w:t>Week commencing 3 April 2023</w:t>
            </w:r>
          </w:p>
        </w:tc>
        <w:tc>
          <w:tcPr>
            <w:tcW w:w="2734" w:type="pct"/>
          </w:tcPr>
          <w:p w14:paraId="39493D73" w14:textId="17803B89" w:rsidR="00596A42" w:rsidRDefault="00372CA4">
            <w:pPr>
              <w:spacing w:line="276" w:lineRule="auto"/>
            </w:pPr>
            <w:r>
              <w:t>Procurement documentation released, tender opens</w:t>
            </w:r>
          </w:p>
        </w:tc>
      </w:tr>
      <w:tr w:rsidR="00596A42" w14:paraId="2E541899" w14:textId="77777777" w:rsidTr="00372CA4">
        <w:tc>
          <w:tcPr>
            <w:tcW w:w="2266" w:type="pct"/>
          </w:tcPr>
          <w:p w14:paraId="7B0D8CD4" w14:textId="40E821D0" w:rsidR="00596A42" w:rsidRDefault="00372CA4">
            <w:pPr>
              <w:spacing w:line="276" w:lineRule="auto"/>
            </w:pPr>
            <w:r>
              <w:t>Week commencing 22 May 2023</w:t>
            </w:r>
          </w:p>
        </w:tc>
        <w:tc>
          <w:tcPr>
            <w:tcW w:w="2734" w:type="pct"/>
          </w:tcPr>
          <w:p w14:paraId="51E08B7D" w14:textId="5E4BAF39" w:rsidR="00596A42" w:rsidRDefault="00372CA4">
            <w:pPr>
              <w:spacing w:line="276" w:lineRule="auto"/>
            </w:pPr>
            <w:r>
              <w:t>Tender closes</w:t>
            </w:r>
          </w:p>
        </w:tc>
      </w:tr>
      <w:tr w:rsidR="00596A42" w14:paraId="5DADCCAF" w14:textId="77777777" w:rsidTr="00372CA4">
        <w:tc>
          <w:tcPr>
            <w:tcW w:w="2266" w:type="pct"/>
          </w:tcPr>
          <w:p w14:paraId="6B40656B" w14:textId="3C0A5891" w:rsidR="00596A42" w:rsidRDefault="00372CA4">
            <w:pPr>
              <w:spacing w:line="276" w:lineRule="auto"/>
            </w:pPr>
            <w:r>
              <w:t>Week commencing 7 August 2023</w:t>
            </w:r>
          </w:p>
        </w:tc>
        <w:tc>
          <w:tcPr>
            <w:tcW w:w="2734" w:type="pct"/>
          </w:tcPr>
          <w:p w14:paraId="207FB0C9" w14:textId="2F65F62F" w:rsidR="00596A42" w:rsidRDefault="00372CA4">
            <w:pPr>
              <w:spacing w:line="276" w:lineRule="auto"/>
            </w:pPr>
            <w:r>
              <w:t>Tender outcomes announced</w:t>
            </w:r>
          </w:p>
        </w:tc>
      </w:tr>
      <w:tr w:rsidR="00596A42" w14:paraId="6DBCDBBB" w14:textId="77777777" w:rsidTr="00372CA4">
        <w:tc>
          <w:tcPr>
            <w:tcW w:w="2266" w:type="pct"/>
          </w:tcPr>
          <w:p w14:paraId="6F924238" w14:textId="310ED7AE" w:rsidR="00596A42" w:rsidRDefault="00372CA4">
            <w:pPr>
              <w:spacing w:line="276" w:lineRule="auto"/>
            </w:pPr>
            <w:r>
              <w:t>30 September 2023</w:t>
            </w:r>
          </w:p>
        </w:tc>
        <w:tc>
          <w:tcPr>
            <w:tcW w:w="2734" w:type="pct"/>
          </w:tcPr>
          <w:p w14:paraId="590346B8" w14:textId="7009D763" w:rsidR="00596A42" w:rsidRDefault="00372CA4">
            <w:pPr>
              <w:spacing w:line="276" w:lineRule="auto"/>
            </w:pPr>
            <w:r>
              <w:t>Extended contracts expire, TACS contracts in place</w:t>
            </w:r>
          </w:p>
        </w:tc>
      </w:tr>
      <w:tr w:rsidR="00596A42" w14:paraId="685A3874" w14:textId="77777777" w:rsidTr="00372CA4">
        <w:tc>
          <w:tcPr>
            <w:tcW w:w="2266" w:type="pct"/>
          </w:tcPr>
          <w:p w14:paraId="54B60862" w14:textId="4F258D1B" w:rsidR="00596A42" w:rsidRDefault="00372CA4">
            <w:pPr>
              <w:spacing w:line="276" w:lineRule="auto"/>
            </w:pPr>
            <w:r>
              <w:t>1 October 2023</w:t>
            </w:r>
          </w:p>
        </w:tc>
        <w:tc>
          <w:tcPr>
            <w:tcW w:w="2734" w:type="pct"/>
          </w:tcPr>
          <w:p w14:paraId="666C6B38" w14:textId="33076E7A" w:rsidR="00596A42" w:rsidRDefault="00372CA4">
            <w:pPr>
              <w:spacing w:line="276" w:lineRule="auto"/>
            </w:pPr>
            <w:r>
              <w:t>TACS program commences</w:t>
            </w:r>
          </w:p>
        </w:tc>
      </w:tr>
    </w:tbl>
    <w:p w14:paraId="2E436EC7" w14:textId="77777777" w:rsidR="005F452C" w:rsidRDefault="005F452C">
      <w:pPr>
        <w:spacing w:line="276" w:lineRule="auto"/>
        <w:rPr>
          <w:rFonts w:eastAsiaTheme="majorEastAsia" w:cstheme="majorBidi"/>
          <w:bCs/>
          <w:caps/>
          <w:color w:val="482D8C" w:themeColor="background2"/>
          <w:spacing w:val="-20"/>
          <w:kern w:val="36"/>
          <w:sz w:val="44"/>
          <w:szCs w:val="48"/>
        </w:rPr>
      </w:pPr>
      <w:r>
        <w:br w:type="page"/>
      </w:r>
    </w:p>
    <w:p w14:paraId="39FDFFAA" w14:textId="7D7257CF" w:rsidR="001F72AD" w:rsidRDefault="005F452C" w:rsidP="001F72AD">
      <w:pPr>
        <w:pStyle w:val="Heading1"/>
      </w:pPr>
      <w:bookmarkStart w:id="10" w:name="_Toc120843536"/>
      <w:r>
        <w:lastRenderedPageBreak/>
        <w:t xml:space="preserve">Appendix a: </w:t>
      </w:r>
      <w:r w:rsidR="001C744C">
        <w:t>TACS</w:t>
      </w:r>
      <w:r w:rsidR="001F72AD">
        <w:t xml:space="preserve"> program outcomes framework</w:t>
      </w:r>
      <w:bookmarkEnd w:id="10"/>
    </w:p>
    <w:p w14:paraId="28C7B9C1" w14:textId="20D3732B" w:rsidR="00060D8B" w:rsidRDefault="00060D8B">
      <w:pPr>
        <w:spacing w:line="276" w:lineRule="auto"/>
      </w:pPr>
      <w:r>
        <w:t>Outcomes are central to commissioning. All proposals will have to use a program logic approach to demonstrate the value of their proposal</w:t>
      </w:r>
      <w:r w:rsidR="005F452C">
        <w:t xml:space="preserve"> with reference to relevant outcomes from the </w:t>
      </w:r>
      <w:r w:rsidR="00D329A4">
        <w:t>outcome’s</w:t>
      </w:r>
      <w:r w:rsidR="005F452C">
        <w:t xml:space="preserve"> framework. </w:t>
      </w:r>
      <w:r w:rsidR="004A4FFB">
        <w:t>P</w:t>
      </w:r>
      <w:r w:rsidR="005F452C">
        <w:t>roviders will have latitude to determine, in collaboration with ACT</w:t>
      </w:r>
      <w:r w:rsidR="004A4FFB">
        <w:t>HD</w:t>
      </w:r>
      <w:r w:rsidR="005F452C">
        <w:t>, which outcomes are relevant to their funded programs and must therefore be measured and reported against</w:t>
      </w:r>
      <w:r>
        <w:t>.</w:t>
      </w:r>
    </w:p>
    <w:p w14:paraId="7CDDEB67" w14:textId="665AD894" w:rsidR="005F452C" w:rsidRDefault="005F452C">
      <w:pPr>
        <w:spacing w:line="276" w:lineRule="auto"/>
      </w:pPr>
      <w:r>
        <w:t>The following outcomes framework incorporates refinements suggested at and following the second CSS Commissioning Roundtable on 24 August 2022.</w:t>
      </w:r>
    </w:p>
    <w:p w14:paraId="2A0D0AD1" w14:textId="5295A59A" w:rsidR="00060D8B" w:rsidRPr="005F452C" w:rsidRDefault="005F452C">
      <w:pPr>
        <w:spacing w:line="276" w:lineRule="auto"/>
        <w:rPr>
          <w:b/>
          <w:bCs/>
        </w:rPr>
      </w:pPr>
      <w:r w:rsidRPr="005F452C">
        <w:rPr>
          <w:b/>
          <w:bCs/>
        </w:rPr>
        <w:t xml:space="preserve">Figure 2: The TACS program outcomes framework </w:t>
      </w:r>
    </w:p>
    <w:p w14:paraId="215F3F16" w14:textId="7B3332E4" w:rsidR="00060D8B" w:rsidRPr="005F452C" w:rsidRDefault="005F452C" w:rsidP="005F452C">
      <w:pPr>
        <w:pStyle w:val="ListParagraph"/>
        <w:numPr>
          <w:ilvl w:val="0"/>
          <w:numId w:val="15"/>
        </w:numPr>
        <w:spacing w:line="276" w:lineRule="auto"/>
        <w:rPr>
          <w:b/>
          <w:bCs/>
        </w:rPr>
      </w:pPr>
      <w:r w:rsidRPr="005F452C">
        <w:rPr>
          <w:b/>
          <w:bCs/>
        </w:rPr>
        <w:t>Healthy Participants</w:t>
      </w:r>
    </w:p>
    <w:tbl>
      <w:tblPr>
        <w:tblStyle w:val="TableGrid"/>
        <w:tblW w:w="0" w:type="auto"/>
        <w:tblBorders>
          <w:top w:val="double" w:sz="4" w:space="0" w:color="323232" w:themeColor="accent1"/>
          <w:left w:val="double" w:sz="4" w:space="0" w:color="323232" w:themeColor="accent1"/>
          <w:bottom w:val="double" w:sz="4" w:space="0" w:color="323232" w:themeColor="accent1"/>
          <w:right w:val="double" w:sz="4" w:space="0" w:color="323232" w:themeColor="accent1"/>
          <w:insideH w:val="double" w:sz="4" w:space="0" w:color="323232" w:themeColor="accent1"/>
          <w:insideV w:val="double" w:sz="4" w:space="0" w:color="323232" w:themeColor="accent1"/>
        </w:tblBorders>
        <w:shd w:val="clear" w:color="auto" w:fill="FAE8D6"/>
        <w:tblLook w:val="04A0" w:firstRow="1" w:lastRow="0" w:firstColumn="1" w:lastColumn="0" w:noHBand="0" w:noVBand="1"/>
      </w:tblPr>
      <w:tblGrid>
        <w:gridCol w:w="8899"/>
      </w:tblGrid>
      <w:tr w:rsidR="00AC6383" w14:paraId="672D1055" w14:textId="77777777" w:rsidTr="00E460AB">
        <w:tc>
          <w:tcPr>
            <w:tcW w:w="8899" w:type="dxa"/>
            <w:shd w:val="clear" w:color="auto" w:fill="FAE8D6"/>
            <w:hideMark/>
          </w:tcPr>
          <w:p w14:paraId="3FBC1344" w14:textId="0D51C652" w:rsidR="00AC6383" w:rsidRDefault="00D964F8" w:rsidP="00E460AB">
            <w:pPr>
              <w:spacing w:before="80" w:after="80"/>
              <w:rPr>
                <w:b/>
                <w:bCs/>
              </w:rPr>
            </w:pPr>
            <w:r>
              <w:rPr>
                <w:noProof/>
              </w:rPr>
              <mc:AlternateContent>
                <mc:Choice Requires="wpi">
                  <w:drawing>
                    <wp:anchor distT="0" distB="0" distL="114300" distR="114300" simplePos="0" relativeHeight="251658249" behindDoc="0" locked="0" layoutInCell="1" allowOverlap="1" wp14:anchorId="12145809" wp14:editId="6115AB48">
                      <wp:simplePos x="0" y="0"/>
                      <wp:positionH relativeFrom="column">
                        <wp:posOffset>174660</wp:posOffset>
                      </wp:positionH>
                      <wp:positionV relativeFrom="paragraph">
                        <wp:posOffset>554506</wp:posOffset>
                      </wp:positionV>
                      <wp:extent cx="360" cy="360"/>
                      <wp:effectExtent l="38100" t="38100" r="57150" b="57150"/>
                      <wp:wrapNone/>
                      <wp:docPr id="14" name="Ink 14"/>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type w14:anchorId="267CDF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13.05pt;margin-top:42.95pt;width:1.45pt;height:1.45pt;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">
                      <v:imagedata r:id="rId27" o:title=""/>
                    </v:shape>
                  </w:pict>
                </mc:Fallback>
              </mc:AlternateContent>
            </w:r>
            <w:r w:rsidR="00AC6383">
              <w:rPr>
                <w:b/>
                <w:bCs/>
              </w:rPr>
              <w:t>Objective</w:t>
            </w:r>
          </w:p>
          <w:p w14:paraId="2D3BF73D" w14:textId="41702A42" w:rsidR="00AC6383" w:rsidRDefault="00AC6383" w:rsidP="00E460AB">
            <w:pPr>
              <w:spacing w:before="80" w:after="80"/>
            </w:pPr>
            <w:r>
              <w:t xml:space="preserve">Provide flexible low intensity supports, assistance and eligible low-cost equipment for eligible participants that: enable people to remain in their home, if appropriate and safe; facilitate safe and timely discharge from hospital to home; are person and family centred and delivered with cultural sensitivity; facilitate health and wellbeing goals, including recovery where applicable; and foster connection to family, friends, </w:t>
            </w:r>
            <w:r w:rsidR="00764040">
              <w:t>carers,</w:t>
            </w:r>
            <w:r>
              <w:t xml:space="preserve"> and the community. </w:t>
            </w:r>
          </w:p>
          <w:p w14:paraId="7088A956" w14:textId="77777777" w:rsidR="00AC6383" w:rsidRDefault="00AC6383" w:rsidP="00E460AB">
            <w:pPr>
              <w:spacing w:before="80" w:after="80"/>
              <w:rPr>
                <w:b/>
                <w:bCs/>
              </w:rPr>
            </w:pPr>
            <w:r>
              <w:rPr>
                <w:b/>
                <w:bCs/>
              </w:rPr>
              <w:t>Outcomes</w:t>
            </w:r>
          </w:p>
          <w:p w14:paraId="45D541B3" w14:textId="14A697E4" w:rsidR="00AC6383" w:rsidRDefault="00AC6383" w:rsidP="00AC6383">
            <w:pPr>
              <w:pStyle w:val="ListParagraph"/>
              <w:numPr>
                <w:ilvl w:val="0"/>
                <w:numId w:val="21"/>
              </w:numPr>
              <w:spacing w:before="80" w:after="80" w:line="240" w:lineRule="auto"/>
              <w:contextualSpacing w:val="0"/>
            </w:pPr>
            <w:r>
              <w:t>Participants remain at home where appropriate and safe</w:t>
            </w:r>
          </w:p>
          <w:p w14:paraId="21465ACD" w14:textId="77777777" w:rsidR="00AC6383" w:rsidRDefault="00AC6383" w:rsidP="00AC6383">
            <w:pPr>
              <w:pStyle w:val="ListParagraph"/>
              <w:numPr>
                <w:ilvl w:val="0"/>
                <w:numId w:val="21"/>
              </w:numPr>
              <w:spacing w:before="80" w:after="80" w:line="240" w:lineRule="auto"/>
              <w:contextualSpacing w:val="0"/>
            </w:pPr>
            <w:r>
              <w:t xml:space="preserve">Safe hospital discharges are supported, and unnecessary rehospitalisation is reduced </w:t>
            </w:r>
          </w:p>
          <w:p w14:paraId="23163E18" w14:textId="77777777" w:rsidR="00AC6383" w:rsidRDefault="00AC6383" w:rsidP="00AC6383">
            <w:pPr>
              <w:pStyle w:val="ListParagraph"/>
              <w:numPr>
                <w:ilvl w:val="0"/>
                <w:numId w:val="21"/>
              </w:numPr>
              <w:spacing w:before="80" w:after="80" w:line="240" w:lineRule="auto"/>
              <w:contextualSpacing w:val="0"/>
            </w:pPr>
            <w:r>
              <w:t>Supports and assistance are person and family/carer centred, culturally sensitive and human rights focused.</w:t>
            </w:r>
          </w:p>
          <w:p w14:paraId="2758ED78" w14:textId="77777777" w:rsidR="00AC6383" w:rsidRDefault="00AC6383" w:rsidP="00AC6383">
            <w:pPr>
              <w:pStyle w:val="ListParagraph"/>
              <w:numPr>
                <w:ilvl w:val="0"/>
                <w:numId w:val="21"/>
              </w:numPr>
              <w:spacing w:before="80" w:after="80" w:line="240" w:lineRule="auto"/>
              <w:contextualSpacing w:val="0"/>
            </w:pPr>
            <w:r>
              <w:t>The health and wellbeing goals of participants, including recovery where applicable, are achieved.</w:t>
            </w:r>
          </w:p>
          <w:p w14:paraId="199AEAC4" w14:textId="04D1FD13" w:rsidR="00AC6383" w:rsidRDefault="00AC6383" w:rsidP="00AC6383">
            <w:pPr>
              <w:pStyle w:val="ListParagraph"/>
              <w:numPr>
                <w:ilvl w:val="0"/>
                <w:numId w:val="21"/>
              </w:numPr>
              <w:spacing w:before="80" w:after="80" w:line="240" w:lineRule="auto"/>
              <w:contextualSpacing w:val="0"/>
            </w:pPr>
            <w:r>
              <w:t xml:space="preserve">Connection to family, friends, </w:t>
            </w:r>
            <w:r w:rsidR="00764040">
              <w:t>carers,</w:t>
            </w:r>
            <w:r>
              <w:t xml:space="preserve"> and the community, is developed and </w:t>
            </w:r>
            <w:r w:rsidR="007D29A9">
              <w:t>continued</w:t>
            </w:r>
            <w:r>
              <w:t>, and social isolation of participants is reduced</w:t>
            </w:r>
            <w:r w:rsidR="007D29A9">
              <w:t>.</w:t>
            </w:r>
          </w:p>
        </w:tc>
      </w:tr>
    </w:tbl>
    <w:p w14:paraId="48E5B2AD" w14:textId="624F5AF4" w:rsidR="005F452C" w:rsidRDefault="005F452C">
      <w:pPr>
        <w:spacing w:line="276" w:lineRule="auto"/>
      </w:pPr>
    </w:p>
    <w:p w14:paraId="598EFF2C" w14:textId="779E9313" w:rsidR="00060D8B" w:rsidRPr="005F452C" w:rsidRDefault="005F452C" w:rsidP="005F452C">
      <w:pPr>
        <w:pStyle w:val="ListParagraph"/>
        <w:numPr>
          <w:ilvl w:val="0"/>
          <w:numId w:val="15"/>
        </w:numPr>
        <w:spacing w:line="276" w:lineRule="auto"/>
        <w:rPr>
          <w:b/>
          <w:bCs/>
        </w:rPr>
      </w:pPr>
      <w:r w:rsidRPr="005F452C">
        <w:rPr>
          <w:b/>
          <w:bCs/>
        </w:rPr>
        <w:t>Supported Carers</w:t>
      </w:r>
    </w:p>
    <w:tbl>
      <w:tblPr>
        <w:tblStyle w:val="EPTableStyle41"/>
        <w:tblW w:w="0" w:type="auto"/>
        <w:tblInd w:w="-15" w:type="dxa"/>
        <w:tblBorders>
          <w:top w:val="double" w:sz="4" w:space="0" w:color="717074"/>
          <w:left w:val="double" w:sz="4" w:space="0" w:color="717074"/>
          <w:bottom w:val="double" w:sz="4" w:space="0" w:color="717074"/>
          <w:right w:val="double" w:sz="4" w:space="0" w:color="717074"/>
          <w:insideH w:val="double" w:sz="4" w:space="0" w:color="717074"/>
          <w:insideV w:val="double" w:sz="4" w:space="0" w:color="717074"/>
        </w:tblBorders>
        <w:tblLook w:val="04A0" w:firstRow="1" w:lastRow="0" w:firstColumn="1" w:lastColumn="0" w:noHBand="0" w:noVBand="1"/>
      </w:tblPr>
      <w:tblGrid>
        <w:gridCol w:w="8899"/>
      </w:tblGrid>
      <w:tr w:rsidR="00AC6383" w:rsidRPr="00E40FC6" w14:paraId="74DC47DD" w14:textId="77777777" w:rsidTr="00E460AB">
        <w:tc>
          <w:tcPr>
            <w:tcW w:w="8899" w:type="dxa"/>
            <w:shd w:val="clear" w:color="auto" w:fill="E2E2E3"/>
            <w:hideMark/>
          </w:tcPr>
          <w:p w14:paraId="3749DA5D" w14:textId="77777777" w:rsidR="00AC6383" w:rsidRPr="00E40FC6" w:rsidRDefault="00AC6383" w:rsidP="00E460AB">
            <w:pPr>
              <w:rPr>
                <w:b/>
                <w:bCs/>
              </w:rPr>
            </w:pPr>
            <w:r w:rsidRPr="00E40FC6">
              <w:rPr>
                <w:b/>
                <w:bCs/>
              </w:rPr>
              <w:t>Objective</w:t>
            </w:r>
          </w:p>
          <w:p w14:paraId="274B030B" w14:textId="5DFA9776" w:rsidR="00AC6383" w:rsidRPr="00E40FC6" w:rsidRDefault="00AC6383" w:rsidP="00E460AB">
            <w:r w:rsidRPr="00E40FC6">
              <w:t xml:space="preserve">Provide supports for carers and family members that nurture the caring relationship and promote the </w:t>
            </w:r>
            <w:r>
              <w:t>health and wellbeing</w:t>
            </w:r>
            <w:r w:rsidRPr="00E40FC6">
              <w:t xml:space="preserve"> of the </w:t>
            </w:r>
            <w:r>
              <w:t>participant</w:t>
            </w:r>
            <w:r w:rsidRPr="00E40FC6">
              <w:t>, carer and family member</w:t>
            </w:r>
            <w:r w:rsidR="007D29A9">
              <w:t>.</w:t>
            </w:r>
          </w:p>
          <w:p w14:paraId="03C08DFF" w14:textId="77777777" w:rsidR="00AC6383" w:rsidRPr="00E40FC6" w:rsidRDefault="00AC6383" w:rsidP="00E460AB">
            <w:pPr>
              <w:rPr>
                <w:b/>
                <w:bCs/>
              </w:rPr>
            </w:pPr>
            <w:r w:rsidRPr="00E40FC6">
              <w:rPr>
                <w:b/>
                <w:bCs/>
              </w:rPr>
              <w:t>Outcomes</w:t>
            </w:r>
          </w:p>
          <w:p w14:paraId="0D1430AE" w14:textId="0DE0A0E6" w:rsidR="00AC6383" w:rsidRPr="00E40FC6" w:rsidRDefault="00AC6383" w:rsidP="00AC6383">
            <w:pPr>
              <w:numPr>
                <w:ilvl w:val="0"/>
                <w:numId w:val="22"/>
              </w:numPr>
              <w:spacing w:before="120" w:line="264" w:lineRule="auto"/>
              <w:contextualSpacing/>
            </w:pPr>
            <w:bookmarkStart w:id="11" w:name="_Hlk112589579"/>
            <w:r w:rsidRPr="00E40FC6">
              <w:t xml:space="preserve">Carers receive the supports and assistance they need to </w:t>
            </w:r>
            <w:r>
              <w:t>support</w:t>
            </w:r>
            <w:r w:rsidRPr="00E40FC6">
              <w:t xml:space="preserve"> their own health and wellbeing and enable them to deliver high quality care</w:t>
            </w:r>
            <w:bookmarkEnd w:id="11"/>
            <w:r w:rsidR="007D29A9">
              <w:t>.</w:t>
            </w:r>
          </w:p>
          <w:p w14:paraId="5A9C29CC" w14:textId="77777777" w:rsidR="00AC6383" w:rsidRDefault="00AC6383" w:rsidP="00AC6383">
            <w:pPr>
              <w:numPr>
                <w:ilvl w:val="0"/>
                <w:numId w:val="22"/>
              </w:numPr>
              <w:spacing w:before="120" w:line="264" w:lineRule="auto"/>
              <w:contextualSpacing/>
            </w:pPr>
            <w:r w:rsidRPr="00E40FC6">
              <w:t xml:space="preserve">Carers are enabled to engage in leisure and meaningful activities beyond their homes and caring responsibilities </w:t>
            </w:r>
          </w:p>
          <w:p w14:paraId="33FC65DB" w14:textId="35FEFA71" w:rsidR="00AC6383" w:rsidRPr="00E40FC6" w:rsidRDefault="00AC6383" w:rsidP="00AC6383">
            <w:pPr>
              <w:numPr>
                <w:ilvl w:val="0"/>
                <w:numId w:val="22"/>
              </w:numPr>
              <w:spacing w:before="120" w:line="264" w:lineRule="auto"/>
              <w:contextualSpacing/>
            </w:pPr>
            <w:r>
              <w:t>Carers can transition out of the caring role where appropriate or necessary</w:t>
            </w:r>
            <w:r w:rsidR="007D29A9">
              <w:t>.</w:t>
            </w:r>
          </w:p>
        </w:tc>
      </w:tr>
    </w:tbl>
    <w:p w14:paraId="60D18D52" w14:textId="2E59A139" w:rsidR="005F452C" w:rsidRDefault="005F452C">
      <w:pPr>
        <w:spacing w:line="276" w:lineRule="auto"/>
      </w:pPr>
    </w:p>
    <w:p w14:paraId="7DEB915A" w14:textId="3CF2EBF7" w:rsidR="005F452C" w:rsidRDefault="005F452C">
      <w:pPr>
        <w:spacing w:line="276" w:lineRule="auto"/>
      </w:pPr>
      <w:r>
        <w:br w:type="page"/>
      </w:r>
    </w:p>
    <w:p w14:paraId="4E5332C1" w14:textId="67BA24E1" w:rsidR="005F452C" w:rsidRPr="005F452C" w:rsidRDefault="005F452C" w:rsidP="005F452C">
      <w:pPr>
        <w:pStyle w:val="ListParagraph"/>
        <w:numPr>
          <w:ilvl w:val="0"/>
          <w:numId w:val="15"/>
        </w:numPr>
        <w:spacing w:line="276" w:lineRule="auto"/>
        <w:rPr>
          <w:b/>
          <w:bCs/>
        </w:rPr>
      </w:pPr>
      <w:r w:rsidRPr="005F452C">
        <w:rPr>
          <w:b/>
          <w:bCs/>
        </w:rPr>
        <w:lastRenderedPageBreak/>
        <w:t>Sustainable Delivery</w:t>
      </w:r>
    </w:p>
    <w:tbl>
      <w:tblPr>
        <w:tblStyle w:val="TableGrid"/>
        <w:tblW w:w="0" w:type="auto"/>
        <w:tblBorders>
          <w:top w:val="double" w:sz="4" w:space="0" w:color="0076BE"/>
          <w:left w:val="double" w:sz="4" w:space="0" w:color="0076BE"/>
          <w:bottom w:val="double" w:sz="4" w:space="0" w:color="0076BE"/>
          <w:right w:val="double" w:sz="4" w:space="0" w:color="0076BE"/>
          <w:insideH w:val="double" w:sz="4" w:space="0" w:color="0076BE"/>
          <w:insideV w:val="double" w:sz="4" w:space="0" w:color="0076BE"/>
        </w:tblBorders>
        <w:shd w:val="clear" w:color="auto" w:fill="C2DAF4"/>
        <w:tblLook w:val="04A0" w:firstRow="1" w:lastRow="0" w:firstColumn="1" w:lastColumn="0" w:noHBand="0" w:noVBand="1"/>
      </w:tblPr>
      <w:tblGrid>
        <w:gridCol w:w="9016"/>
      </w:tblGrid>
      <w:tr w:rsidR="00AC6383" w14:paraId="66334335" w14:textId="77777777" w:rsidTr="00E460AB">
        <w:tc>
          <w:tcPr>
            <w:tcW w:w="9016" w:type="dxa"/>
            <w:shd w:val="clear" w:color="auto" w:fill="C2DAF4"/>
            <w:hideMark/>
          </w:tcPr>
          <w:p w14:paraId="3EAEF008" w14:textId="77777777" w:rsidR="00AC6383" w:rsidRDefault="00AC6383" w:rsidP="00E460AB">
            <w:pPr>
              <w:rPr>
                <w:b/>
                <w:bCs/>
              </w:rPr>
            </w:pPr>
            <w:r>
              <w:rPr>
                <w:b/>
                <w:bCs/>
              </w:rPr>
              <w:t>Objective</w:t>
            </w:r>
          </w:p>
          <w:p w14:paraId="583B485C" w14:textId="702321C8" w:rsidR="00AC6383" w:rsidRDefault="00AC6383" w:rsidP="00E460AB">
            <w:r>
              <w:t xml:space="preserve">Support sustainability in the subsector by enabling subsector capacity-building through such mechanisms as funding for indirect costs; reducing the cost of mainstream health services by minimising interactions between </w:t>
            </w:r>
            <w:r>
              <w:rPr>
                <w:lang w:val="en-GB"/>
              </w:rPr>
              <w:t xml:space="preserve">participants </w:t>
            </w:r>
            <w:r>
              <w:t xml:space="preserve">and hospitals, and by facilitating timely and safe hospital discharges for eligible people; and facilitating the transfer of </w:t>
            </w:r>
            <w:r>
              <w:rPr>
                <w:lang w:val="en-GB"/>
              </w:rPr>
              <w:t xml:space="preserve">participants </w:t>
            </w:r>
            <w:r>
              <w:t xml:space="preserve">to more appropriate </w:t>
            </w:r>
            <w:r w:rsidR="007D29A9">
              <w:t>C</w:t>
            </w:r>
            <w:r>
              <w:t>ommonwealth programs (</w:t>
            </w:r>
            <w:r w:rsidR="00D329A4">
              <w:t>i.e.,</w:t>
            </w:r>
            <w:r>
              <w:t xml:space="preserve"> NDIS and CHSP) </w:t>
            </w:r>
            <w:r w:rsidRPr="00916A37">
              <w:t>or other alternate services based on identified need.</w:t>
            </w:r>
          </w:p>
          <w:p w14:paraId="2C79B35C" w14:textId="77777777" w:rsidR="00AC6383" w:rsidRDefault="00AC6383" w:rsidP="00E460AB"/>
          <w:p w14:paraId="7553C903" w14:textId="77777777" w:rsidR="00AC6383" w:rsidRDefault="00AC6383" w:rsidP="00E460AB">
            <w:pPr>
              <w:rPr>
                <w:b/>
                <w:bCs/>
              </w:rPr>
            </w:pPr>
            <w:r>
              <w:rPr>
                <w:b/>
                <w:bCs/>
              </w:rPr>
              <w:t>Outcomes</w:t>
            </w:r>
          </w:p>
          <w:p w14:paraId="2A535EE5" w14:textId="30ABFA44" w:rsidR="00AC6383" w:rsidRDefault="00AC6383" w:rsidP="00AC6383">
            <w:pPr>
              <w:pStyle w:val="ListParagraph"/>
              <w:numPr>
                <w:ilvl w:val="0"/>
                <w:numId w:val="23"/>
              </w:numPr>
              <w:spacing w:before="120" w:after="60" w:line="264" w:lineRule="auto"/>
            </w:pPr>
            <w:r>
              <w:t>Hospitalisations and average length of stay are minimised</w:t>
            </w:r>
            <w:r w:rsidR="007D29A9">
              <w:t>.</w:t>
            </w:r>
          </w:p>
          <w:p w14:paraId="5B6C32C2" w14:textId="77777777" w:rsidR="00AC6383" w:rsidRDefault="00AC6383" w:rsidP="00AC6383">
            <w:pPr>
              <w:pStyle w:val="ListParagraph"/>
              <w:numPr>
                <w:ilvl w:val="0"/>
                <w:numId w:val="23"/>
              </w:numPr>
              <w:spacing w:before="120" w:after="60" w:line="264" w:lineRule="auto"/>
            </w:pPr>
            <w:r>
              <w:t>Participants are supported while they apply, or appeal rejected applications, for assistance through more appropriate programs such as the NDIS, CHSP or other alternative services based on identified need</w:t>
            </w:r>
          </w:p>
          <w:p w14:paraId="60E425D3" w14:textId="00073EBC" w:rsidR="00AC6383" w:rsidRDefault="00AC6383" w:rsidP="00AC6383">
            <w:pPr>
              <w:pStyle w:val="ListParagraph"/>
              <w:numPr>
                <w:ilvl w:val="0"/>
                <w:numId w:val="23"/>
              </w:numPr>
              <w:spacing w:before="120" w:after="60" w:line="264" w:lineRule="auto"/>
            </w:pPr>
            <w:r>
              <w:t>Participants are successfully transferred to more appropriate programs where possible, and their rights are upheld throughout the transfer</w:t>
            </w:r>
            <w:r w:rsidR="007D29A9">
              <w:t>.</w:t>
            </w:r>
          </w:p>
          <w:p w14:paraId="2B8BF854" w14:textId="765F5A46" w:rsidR="00AC6383" w:rsidRDefault="00AC6383" w:rsidP="00AC6383">
            <w:pPr>
              <w:pStyle w:val="ListParagraph"/>
              <w:numPr>
                <w:ilvl w:val="0"/>
                <w:numId w:val="23"/>
              </w:numPr>
              <w:spacing w:before="120" w:after="60" w:line="264" w:lineRule="auto"/>
            </w:pPr>
            <w:r>
              <w:t>Service providers are adequately funded to deliver services, including for more complex participants</w:t>
            </w:r>
            <w:r w:rsidR="007D29A9">
              <w:t>.</w:t>
            </w:r>
          </w:p>
          <w:p w14:paraId="33C27ED7" w14:textId="42FDF8EC" w:rsidR="00AC6383" w:rsidRDefault="00AC6383" w:rsidP="00AC6383">
            <w:pPr>
              <w:pStyle w:val="ListParagraph"/>
              <w:numPr>
                <w:ilvl w:val="0"/>
                <w:numId w:val="23"/>
              </w:numPr>
              <w:spacing w:before="120" w:after="60" w:line="264" w:lineRule="auto"/>
            </w:pPr>
            <w:r>
              <w:t>Service providers are enabled to innovate and engage in organisational capacity building in the interests of participants</w:t>
            </w:r>
            <w:r w:rsidR="007D29A9">
              <w:t>.</w:t>
            </w:r>
          </w:p>
          <w:p w14:paraId="4788CD28" w14:textId="77777777" w:rsidR="00AC6383" w:rsidRDefault="00AC6383" w:rsidP="00AC6383">
            <w:pPr>
              <w:pStyle w:val="ListParagraph"/>
              <w:numPr>
                <w:ilvl w:val="0"/>
                <w:numId w:val="23"/>
              </w:numPr>
              <w:spacing w:before="60" w:line="264" w:lineRule="auto"/>
            </w:pPr>
            <w:r w:rsidRPr="00EE349D">
              <w:t>Service</w:t>
            </w:r>
            <w:r>
              <w:t xml:space="preserve"> providers </w:t>
            </w:r>
            <w:r w:rsidRPr="00EE349D">
              <w:t>have access to, and use, referral mechanisms for other services</w:t>
            </w:r>
          </w:p>
        </w:tc>
      </w:tr>
    </w:tbl>
    <w:p w14:paraId="6B25B8E8" w14:textId="12428467" w:rsidR="005F452C" w:rsidRDefault="005F452C" w:rsidP="005F452C">
      <w:pPr>
        <w:spacing w:line="276" w:lineRule="auto"/>
      </w:pPr>
    </w:p>
    <w:p w14:paraId="5A4C21E3" w14:textId="4AE3FA0C" w:rsidR="005F452C" w:rsidRPr="005F452C" w:rsidRDefault="005F452C" w:rsidP="005F452C">
      <w:pPr>
        <w:pStyle w:val="ListParagraph"/>
        <w:numPr>
          <w:ilvl w:val="0"/>
          <w:numId w:val="15"/>
        </w:numPr>
        <w:spacing w:line="276" w:lineRule="auto"/>
        <w:rPr>
          <w:b/>
          <w:bCs/>
        </w:rPr>
      </w:pPr>
      <w:r w:rsidRPr="005F452C">
        <w:rPr>
          <w:b/>
          <w:bCs/>
        </w:rPr>
        <w:t>Responsive Programs</w:t>
      </w:r>
    </w:p>
    <w:tbl>
      <w:tblPr>
        <w:tblStyle w:val="TableGrid"/>
        <w:tblW w:w="0" w:type="auto"/>
        <w:tblBorders>
          <w:top w:val="double" w:sz="4" w:space="0" w:color="AB4399" w:themeColor="accent3"/>
          <w:left w:val="double" w:sz="4" w:space="0" w:color="AB4399" w:themeColor="accent3"/>
          <w:bottom w:val="double" w:sz="4" w:space="0" w:color="AB4399" w:themeColor="accent3"/>
          <w:right w:val="double" w:sz="4" w:space="0" w:color="AB4399" w:themeColor="accent3"/>
          <w:insideH w:val="double" w:sz="4" w:space="0" w:color="AB4399" w:themeColor="accent3"/>
          <w:insideV w:val="double" w:sz="4" w:space="0" w:color="AB4399" w:themeColor="accent3"/>
        </w:tblBorders>
        <w:shd w:val="clear" w:color="auto" w:fill="C4F2D7"/>
        <w:tblLook w:val="04A0" w:firstRow="1" w:lastRow="0" w:firstColumn="1" w:lastColumn="0" w:noHBand="0" w:noVBand="1"/>
      </w:tblPr>
      <w:tblGrid>
        <w:gridCol w:w="9016"/>
      </w:tblGrid>
      <w:tr w:rsidR="00AC6383" w14:paraId="0F7EE338" w14:textId="77777777" w:rsidTr="00E460AB">
        <w:tc>
          <w:tcPr>
            <w:tcW w:w="9016" w:type="dxa"/>
            <w:shd w:val="clear" w:color="auto" w:fill="C4F2D7"/>
            <w:hideMark/>
          </w:tcPr>
          <w:p w14:paraId="6C1F8B64" w14:textId="77777777" w:rsidR="00AC6383" w:rsidRDefault="00AC6383" w:rsidP="00E460AB">
            <w:pPr>
              <w:rPr>
                <w:b/>
                <w:bCs/>
              </w:rPr>
            </w:pPr>
            <w:r>
              <w:rPr>
                <w:b/>
                <w:bCs/>
              </w:rPr>
              <w:t>Objective</w:t>
            </w:r>
          </w:p>
          <w:p w14:paraId="1133643B" w14:textId="77777777" w:rsidR="00AC6383" w:rsidRDefault="00AC6383" w:rsidP="00E460AB">
            <w:r>
              <w:t>Provide mechanisms for participants and their carers and family members to report feedback on providers’ programs and services, thereby facilitating continuous evaluation and improvement, and enabling meaningful partnerships between ACTHD and its subsector partners in the ‘deliver outcomes’ phase of commissioning.</w:t>
            </w:r>
          </w:p>
          <w:p w14:paraId="7B98EA4C" w14:textId="77777777" w:rsidR="00AC6383" w:rsidRDefault="00AC6383" w:rsidP="00E460AB">
            <w:pPr>
              <w:rPr>
                <w:b/>
                <w:bCs/>
              </w:rPr>
            </w:pPr>
            <w:r>
              <w:rPr>
                <w:b/>
                <w:bCs/>
              </w:rPr>
              <w:t>Outcomes</w:t>
            </w:r>
          </w:p>
          <w:p w14:paraId="34614EA9" w14:textId="3C3E8704" w:rsidR="00AC6383" w:rsidRDefault="00AC6383" w:rsidP="00AC6383">
            <w:pPr>
              <w:pStyle w:val="ListParagraph"/>
              <w:numPr>
                <w:ilvl w:val="0"/>
                <w:numId w:val="24"/>
              </w:numPr>
              <w:spacing w:before="120" w:after="60" w:line="264" w:lineRule="auto"/>
            </w:pPr>
            <w:r>
              <w:t>Participants and their carers and family members are empowered to report feedback on providers’ programs and services</w:t>
            </w:r>
            <w:r w:rsidR="001E04AB">
              <w:t>.</w:t>
            </w:r>
          </w:p>
          <w:p w14:paraId="14137659" w14:textId="3304DCC5" w:rsidR="00AC6383" w:rsidRDefault="00AC6383" w:rsidP="00AC6383">
            <w:pPr>
              <w:pStyle w:val="ListParagraph"/>
              <w:numPr>
                <w:ilvl w:val="0"/>
                <w:numId w:val="24"/>
              </w:numPr>
              <w:spacing w:before="120" w:after="60" w:line="264" w:lineRule="auto"/>
            </w:pPr>
            <w:r>
              <w:t>The outcomes of provider’s programs and services are accurately and thoroughly measured and reported</w:t>
            </w:r>
            <w:r w:rsidR="001E04AB">
              <w:t>.</w:t>
            </w:r>
          </w:p>
          <w:p w14:paraId="49AFFCB6" w14:textId="680F5227" w:rsidR="00AC6383" w:rsidRDefault="00AC6383" w:rsidP="00AC6383">
            <w:pPr>
              <w:pStyle w:val="ListParagraph"/>
              <w:numPr>
                <w:ilvl w:val="0"/>
                <w:numId w:val="24"/>
              </w:numPr>
              <w:spacing w:before="120" w:after="60" w:line="264" w:lineRule="auto"/>
            </w:pPr>
            <w:r>
              <w:t xml:space="preserve">Providers’ programs and services are continually evaluated </w:t>
            </w:r>
            <w:proofErr w:type="gramStart"/>
            <w:r>
              <w:t>on the basis of</w:t>
            </w:r>
            <w:proofErr w:type="gramEnd"/>
            <w:r>
              <w:t xml:space="preserve"> outcomes data and refined to better meet the needs of participant</w:t>
            </w:r>
            <w:r w:rsidR="001E04AB">
              <w:t>s.</w:t>
            </w:r>
          </w:p>
          <w:p w14:paraId="7F7EBDC9" w14:textId="50CA3817" w:rsidR="00AC6383" w:rsidRDefault="00AC6383" w:rsidP="00AC6383">
            <w:pPr>
              <w:pStyle w:val="ListParagraph"/>
              <w:numPr>
                <w:ilvl w:val="0"/>
                <w:numId w:val="24"/>
              </w:numPr>
              <w:spacing w:before="120" w:after="60" w:line="264" w:lineRule="auto"/>
            </w:pPr>
            <w:r>
              <w:t xml:space="preserve">Service design is </w:t>
            </w:r>
            <w:r w:rsidR="00E344A0">
              <w:t>participant</w:t>
            </w:r>
            <w:r>
              <w:t xml:space="preserve"> led </w:t>
            </w:r>
            <w:r w:rsidRPr="009F670C">
              <w:t xml:space="preserve">to enable </w:t>
            </w:r>
            <w:r>
              <w:t>participant</w:t>
            </w:r>
            <w:r w:rsidRPr="009F670C">
              <w:t xml:space="preserve"> choice</w:t>
            </w:r>
            <w:r>
              <w:t xml:space="preserve"> and involvement in continuous improvement processes</w:t>
            </w:r>
            <w:r w:rsidR="001E04AB">
              <w:t>.</w:t>
            </w:r>
          </w:p>
          <w:p w14:paraId="3C43C8E6" w14:textId="0AA4D678" w:rsidR="00AC6383" w:rsidRDefault="00AC6383" w:rsidP="00AC6383">
            <w:pPr>
              <w:pStyle w:val="ListParagraph"/>
              <w:numPr>
                <w:ilvl w:val="0"/>
                <w:numId w:val="24"/>
              </w:numPr>
              <w:spacing w:before="120" w:after="60" w:line="264" w:lineRule="auto"/>
            </w:pPr>
            <w:r>
              <w:t>S</w:t>
            </w:r>
            <w:r w:rsidRPr="009F670C">
              <w:t xml:space="preserve">ervice delivery </w:t>
            </w:r>
            <w:r>
              <w:t>responds to</w:t>
            </w:r>
            <w:r w:rsidRPr="009F670C">
              <w:t xml:space="preserve"> identified </w:t>
            </w:r>
            <w:r>
              <w:t xml:space="preserve">changes, </w:t>
            </w:r>
            <w:r w:rsidR="00764040">
              <w:t>gaps,</w:t>
            </w:r>
            <w:r>
              <w:t xml:space="preserve"> and needs in</w:t>
            </w:r>
            <w:r w:rsidRPr="009F670C">
              <w:t xml:space="preserve"> the broader service system</w:t>
            </w:r>
            <w:r w:rsidR="001E04AB">
              <w:t>.</w:t>
            </w:r>
          </w:p>
        </w:tc>
      </w:tr>
    </w:tbl>
    <w:p w14:paraId="26FC7F52" w14:textId="10A27CDE" w:rsidR="005F452C" w:rsidRDefault="005F452C" w:rsidP="005F452C">
      <w:pPr>
        <w:spacing w:line="276" w:lineRule="auto"/>
      </w:pPr>
    </w:p>
    <w:p w14:paraId="28643A73" w14:textId="28232119" w:rsidR="005F452C" w:rsidRDefault="005F452C">
      <w:pPr>
        <w:spacing w:line="276" w:lineRule="auto"/>
      </w:pPr>
    </w:p>
    <w:p w14:paraId="1E0C64AF" w14:textId="5C7F42EC" w:rsidR="00060D8B" w:rsidRDefault="00060D8B">
      <w:pPr>
        <w:spacing w:line="276" w:lineRule="auto"/>
      </w:pPr>
    </w:p>
    <w:p w14:paraId="19373E2A" w14:textId="77589058" w:rsidR="00060D8B" w:rsidRDefault="00060D8B">
      <w:pPr>
        <w:spacing w:line="276" w:lineRule="auto"/>
      </w:pPr>
    </w:p>
    <w:p w14:paraId="1BA67DED" w14:textId="5D39AD9C" w:rsidR="00060D8B" w:rsidRDefault="00060D8B">
      <w:pPr>
        <w:spacing w:line="276" w:lineRule="auto"/>
      </w:pPr>
    </w:p>
    <w:p w14:paraId="08C62293" w14:textId="77777777" w:rsidR="00060D8B" w:rsidRDefault="00060D8B">
      <w:pPr>
        <w:spacing w:line="276" w:lineRule="auto"/>
      </w:pPr>
    </w:p>
    <w:p w14:paraId="1F1291EE" w14:textId="15EF53DC" w:rsidR="00B72470" w:rsidRPr="00B72470" w:rsidRDefault="002F76AB" w:rsidP="00764040">
      <w:pPr>
        <w:pStyle w:val="Heading1"/>
      </w:pPr>
      <w:bookmarkStart w:id="12" w:name="_Toc120843537"/>
      <w:r>
        <w:t xml:space="preserve">Appendix B: TACS program </w:t>
      </w:r>
      <w:r w:rsidR="00B72470">
        <w:t>eligibility criteria</w:t>
      </w:r>
      <w:bookmarkEnd w:id="12"/>
    </w:p>
    <w:tbl>
      <w:tblPr>
        <w:tblStyle w:val="TableGrid"/>
        <w:tblW w:w="0" w:type="auto"/>
        <w:shd w:val="clear" w:color="auto" w:fill="D1EDFF"/>
        <w:tblLook w:val="04A0" w:firstRow="1" w:lastRow="0" w:firstColumn="1" w:lastColumn="0" w:noHBand="0" w:noVBand="1"/>
      </w:tblPr>
      <w:tblGrid>
        <w:gridCol w:w="9016"/>
      </w:tblGrid>
      <w:tr w:rsidR="00AC6383" w14:paraId="354764A8" w14:textId="77777777" w:rsidTr="00E460AB">
        <w:trPr>
          <w:trHeight w:val="5544"/>
        </w:trPr>
        <w:tc>
          <w:tcPr>
            <w:tcW w:w="9016" w:type="dxa"/>
            <w:tcBorders>
              <w:top w:val="double" w:sz="4" w:space="0" w:color="0076BE"/>
              <w:left w:val="double" w:sz="4" w:space="0" w:color="0076BE"/>
              <w:bottom w:val="double" w:sz="4" w:space="0" w:color="0076BE"/>
              <w:right w:val="double" w:sz="4" w:space="0" w:color="0076BE"/>
            </w:tcBorders>
            <w:shd w:val="clear" w:color="auto" w:fill="D1EDFF"/>
            <w:hideMark/>
          </w:tcPr>
          <w:p w14:paraId="12AE689A" w14:textId="4271DC4C" w:rsidR="00AC6383" w:rsidRDefault="00AC6383" w:rsidP="00E460AB">
            <w:r>
              <w:t xml:space="preserve">People who are proposed to be eligible for the </w:t>
            </w:r>
            <w:r w:rsidR="001E04AB">
              <w:t xml:space="preserve">TACS </w:t>
            </w:r>
            <w:r>
              <w:t>Program must:</w:t>
            </w:r>
          </w:p>
          <w:p w14:paraId="47EF9EA2" w14:textId="77777777" w:rsidR="00AC6383" w:rsidRPr="002C0A79" w:rsidRDefault="00AC6383" w:rsidP="00AC6383">
            <w:pPr>
              <w:pStyle w:val="ListParagraph"/>
              <w:numPr>
                <w:ilvl w:val="0"/>
                <w:numId w:val="25"/>
              </w:numPr>
              <w:spacing w:before="120" w:line="240" w:lineRule="auto"/>
              <w:ind w:left="714" w:hanging="357"/>
              <w:contextualSpacing w:val="0"/>
              <w:rPr>
                <w:rFonts w:cs="Arial"/>
              </w:rPr>
            </w:pPr>
            <w:r w:rsidRPr="002C0A79">
              <w:rPr>
                <w:rFonts w:cs="Arial"/>
              </w:rPr>
              <w:t xml:space="preserve">be a resident of the Australian Capital Territory; and </w:t>
            </w:r>
          </w:p>
          <w:p w14:paraId="4EA579A7" w14:textId="77777777" w:rsidR="00AC6383" w:rsidRDefault="00AC6383" w:rsidP="00E460AB">
            <w:r>
              <w:rPr>
                <w:lang w:val="en-GB"/>
              </w:rPr>
              <w:tab/>
            </w:r>
            <w:r>
              <w:rPr>
                <w:lang w:val="en-GB"/>
              </w:rPr>
              <w:tab/>
              <w:t xml:space="preserve"> either: </w:t>
            </w:r>
          </w:p>
          <w:p w14:paraId="3D38DC7A" w14:textId="251D1C90" w:rsidR="00AC6383" w:rsidRDefault="00AC6383" w:rsidP="00AC6383">
            <w:pPr>
              <w:numPr>
                <w:ilvl w:val="2"/>
                <w:numId w:val="26"/>
              </w:numPr>
              <w:tabs>
                <w:tab w:val="clear" w:pos="2160"/>
                <w:tab w:val="num" w:pos="1800"/>
              </w:tabs>
              <w:spacing w:before="120" w:after="60" w:line="264" w:lineRule="auto"/>
              <w:ind w:left="1576" w:hanging="567"/>
            </w:pPr>
            <w:r>
              <w:rPr>
                <w:lang w:val="en-GB"/>
              </w:rPr>
              <w:t>be clinically ready for discharge from hospital</w:t>
            </w:r>
            <w:r w:rsidR="001E04AB">
              <w:rPr>
                <w:lang w:val="en-GB"/>
              </w:rPr>
              <w:t>,</w:t>
            </w:r>
            <w:r>
              <w:rPr>
                <w:lang w:val="en-GB"/>
              </w:rPr>
              <w:t xml:space="preserve"> but unable to access the bridging supports necessary to facilitate a safe and timely return to home through an existing program (e.g., NDIS, CHSP, Australian Government Transition Care Programme); or </w:t>
            </w:r>
          </w:p>
          <w:p w14:paraId="496F01DF" w14:textId="68DD88B1" w:rsidR="00AC6383" w:rsidRDefault="00AC6383" w:rsidP="00AC6383">
            <w:pPr>
              <w:numPr>
                <w:ilvl w:val="2"/>
                <w:numId w:val="26"/>
              </w:numPr>
              <w:tabs>
                <w:tab w:val="clear" w:pos="2160"/>
                <w:tab w:val="num" w:pos="1800"/>
              </w:tabs>
              <w:spacing w:before="120" w:after="60" w:line="264" w:lineRule="auto"/>
              <w:ind w:left="1576" w:hanging="567"/>
            </w:pPr>
            <w:r w:rsidRPr="00053CAC">
              <w:rPr>
                <w:color w:val="000000" w:themeColor="text1"/>
              </w:rPr>
              <w:t>have a mental health condition that is temporary and/or a health condition that is temporary or terminal</w:t>
            </w:r>
            <w:r w:rsidRPr="00053CAC">
              <w:rPr>
                <w:color w:val="000000" w:themeColor="text1"/>
                <w:lang w:val="en-GB"/>
              </w:rPr>
              <w:t xml:space="preserve">, </w:t>
            </w:r>
            <w:r>
              <w:rPr>
                <w:lang w:val="en-GB"/>
              </w:rPr>
              <w:t xml:space="preserve">and which is not of a nature that would be likely to attract support or assistance through another program (e.g., NDIS and CHSP); or </w:t>
            </w:r>
          </w:p>
          <w:p w14:paraId="42A7A1C7" w14:textId="15D1D9FA" w:rsidR="00AC6383" w:rsidRDefault="00AC6383" w:rsidP="00AC6383">
            <w:pPr>
              <w:numPr>
                <w:ilvl w:val="2"/>
                <w:numId w:val="26"/>
              </w:numPr>
              <w:tabs>
                <w:tab w:val="clear" w:pos="2160"/>
                <w:tab w:val="num" w:pos="1800"/>
              </w:tabs>
              <w:spacing w:before="120" w:after="60" w:line="264" w:lineRule="auto"/>
              <w:ind w:left="1576" w:hanging="567"/>
            </w:pPr>
            <w:r>
              <w:rPr>
                <w:lang w:val="en-GB"/>
              </w:rPr>
              <w:t xml:space="preserve">have a health and/or mental health condition that is significant and permanent and be in the process of applying, or appealing an unsuccessful application, for supports through another program (e.g., NDIS and CHSP). </w:t>
            </w:r>
          </w:p>
          <w:p w14:paraId="33F619FF" w14:textId="77777777" w:rsidR="00AC6383" w:rsidRDefault="00AC6383" w:rsidP="00E460AB">
            <w:r>
              <w:rPr>
                <w:lang w:val="en-GB"/>
              </w:rPr>
              <w:tab/>
              <w:t xml:space="preserve"> or</w:t>
            </w:r>
          </w:p>
          <w:p w14:paraId="03502927" w14:textId="77777777" w:rsidR="00AC6383" w:rsidRDefault="00AC6383" w:rsidP="00AC6383">
            <w:pPr>
              <w:numPr>
                <w:ilvl w:val="2"/>
                <w:numId w:val="26"/>
              </w:numPr>
              <w:tabs>
                <w:tab w:val="clear" w:pos="2160"/>
                <w:tab w:val="num" w:pos="1800"/>
              </w:tabs>
              <w:spacing w:before="120" w:after="60" w:line="264" w:lineRule="auto"/>
              <w:ind w:left="1576" w:hanging="567"/>
            </w:pPr>
            <w:r>
              <w:rPr>
                <w:lang w:val="en-GB"/>
              </w:rPr>
              <w:t>be the carer or a member of the family unit of an eligible participant.</w:t>
            </w:r>
          </w:p>
        </w:tc>
      </w:tr>
    </w:tbl>
    <w:p w14:paraId="6932B545" w14:textId="2C51123E" w:rsidR="00B72470" w:rsidRDefault="00B72470">
      <w:pPr>
        <w:spacing w:line="276" w:lineRule="auto"/>
        <w:rPr>
          <w:b/>
          <w:sz w:val="32"/>
          <w:szCs w:val="28"/>
        </w:rPr>
      </w:pPr>
    </w:p>
    <w:p w14:paraId="79DF03E9" w14:textId="77777777" w:rsidR="00B72470" w:rsidRPr="00B72470" w:rsidRDefault="00B72470" w:rsidP="00B72470">
      <w:pPr>
        <w:pStyle w:val="Heading3"/>
      </w:pPr>
    </w:p>
    <w:p w14:paraId="3C4B6DAD" w14:textId="77777777" w:rsidR="001927EF" w:rsidRDefault="001927EF" w:rsidP="00B72470">
      <w:pPr>
        <w:pStyle w:val="Heading1"/>
        <w:sectPr w:rsidR="001927EF" w:rsidSect="00404EB1">
          <w:headerReference w:type="default" r:id="rId28"/>
          <w:footerReference w:type="default" r:id="rId29"/>
          <w:type w:val="continuous"/>
          <w:pgSz w:w="11906" w:h="16838" w:code="9"/>
          <w:pgMar w:top="426" w:right="1418" w:bottom="1843" w:left="1418" w:header="567" w:footer="709" w:gutter="0"/>
          <w:cols w:space="708"/>
          <w:docGrid w:linePitch="360"/>
        </w:sectPr>
      </w:pPr>
    </w:p>
    <w:p w14:paraId="2BD265DF" w14:textId="66E1CB1A" w:rsidR="00B72470" w:rsidRDefault="00B72470" w:rsidP="00B72470">
      <w:pPr>
        <w:pStyle w:val="Heading1"/>
      </w:pPr>
      <w:bookmarkStart w:id="13" w:name="_Toc120843538"/>
      <w:r>
        <w:lastRenderedPageBreak/>
        <w:t>Appendix C: non-comprehensive guide to eligible and ineligible services</w:t>
      </w:r>
      <w:bookmarkEnd w:id="13"/>
      <w:r>
        <w:t xml:space="preserve"> </w:t>
      </w:r>
    </w:p>
    <w:p w14:paraId="7F399848" w14:textId="77777777" w:rsidR="00B72470" w:rsidRPr="00B72470" w:rsidRDefault="00B72470" w:rsidP="00B72470">
      <w:pPr>
        <w:pStyle w:val="Heading2"/>
      </w:pPr>
    </w:p>
    <w:p w14:paraId="308243EE" w14:textId="18207229" w:rsidR="00B72470" w:rsidRDefault="001927EF">
      <w:pPr>
        <w:spacing w:line="276" w:lineRule="auto"/>
      </w:pPr>
      <w:r>
        <w:rPr>
          <w:noProof/>
        </w:rPr>
        <w:drawing>
          <wp:inline distT="0" distB="0" distL="0" distR="0" wp14:anchorId="7360AF04" wp14:editId="60565AC7">
            <wp:extent cx="6164999" cy="4464945"/>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86755" cy="4480702"/>
                    </a:xfrm>
                    <a:prstGeom prst="rect">
                      <a:avLst/>
                    </a:prstGeom>
                  </pic:spPr>
                </pic:pic>
              </a:graphicData>
            </a:graphic>
          </wp:inline>
        </w:drawing>
      </w:r>
    </w:p>
    <w:p w14:paraId="6135090F" w14:textId="6D996345" w:rsidR="001F72AD" w:rsidRDefault="001F72AD">
      <w:pPr>
        <w:spacing w:line="276" w:lineRule="auto"/>
        <w:rPr>
          <w:rFonts w:eastAsiaTheme="majorEastAsia" w:cstheme="majorBidi"/>
          <w:bCs/>
          <w:caps/>
          <w:color w:val="482D8C" w:themeColor="background2"/>
          <w:spacing w:val="-20"/>
          <w:kern w:val="36"/>
          <w:sz w:val="44"/>
          <w:szCs w:val="48"/>
        </w:rPr>
      </w:pPr>
      <w:r>
        <w:br w:type="page"/>
      </w:r>
    </w:p>
    <w:p w14:paraId="7CDD079F" w14:textId="77777777" w:rsidR="00FF2AB4" w:rsidRPr="001F72AD" w:rsidRDefault="00FF2AB4" w:rsidP="001F72AD">
      <w:pPr>
        <w:pStyle w:val="Heading1"/>
      </w:pPr>
    </w:p>
    <w:p w14:paraId="274C8B51" w14:textId="29D9DF8C" w:rsidR="00A56436" w:rsidRDefault="006D2273" w:rsidP="00860B3E">
      <w:pPr>
        <w:spacing w:line="276" w:lineRule="auto"/>
      </w:pPr>
      <w:r>
        <w:rPr>
          <w:noProof/>
        </w:rPr>
        <w:drawing>
          <wp:anchor distT="0" distB="0" distL="114300" distR="114300" simplePos="0" relativeHeight="251658246" behindDoc="1" locked="0" layoutInCell="1" allowOverlap="1" wp14:anchorId="3A4BC6DD" wp14:editId="72182157">
            <wp:simplePos x="0" y="0"/>
            <wp:positionH relativeFrom="page">
              <wp:posOffset>1834</wp:posOffset>
            </wp:positionH>
            <wp:positionV relativeFrom="page">
              <wp:posOffset>0</wp:posOffset>
            </wp:positionV>
            <wp:extent cx="7628332" cy="10790399"/>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7628332" cy="10790399"/>
                    </a:xfrm>
                    <a:prstGeom prst="rect">
                      <a:avLst/>
                    </a:prstGeom>
                    <a:noFill/>
                  </pic:spPr>
                </pic:pic>
              </a:graphicData>
            </a:graphic>
          </wp:anchor>
        </w:drawing>
      </w:r>
    </w:p>
    <w:p w14:paraId="3E896EDA" w14:textId="41800609" w:rsidR="00B70B52" w:rsidRDefault="00B70B52">
      <w:pPr>
        <w:spacing w:line="276" w:lineRule="auto"/>
        <w:rPr>
          <w:rFonts w:eastAsia="TimesNewRomanPS-ItalicMT"/>
        </w:rPr>
      </w:pPr>
    </w:p>
    <w:p w14:paraId="396E8586" w14:textId="3BCC76FD" w:rsidR="007903B1" w:rsidRDefault="007903B1">
      <w:pPr>
        <w:spacing w:line="276" w:lineRule="auto"/>
        <w:rPr>
          <w:rFonts w:eastAsia="TimesNewRomanPS-ItalicMT"/>
        </w:rPr>
      </w:pPr>
    </w:p>
    <w:p w14:paraId="45A1B4A2" w14:textId="2C7CB725" w:rsidR="00632F54" w:rsidRPr="00632F54" w:rsidRDefault="00632F54" w:rsidP="001C38F0">
      <w:pPr>
        <w:pStyle w:val="BodyText0"/>
      </w:pPr>
    </w:p>
    <w:sectPr w:rsidR="00632F54" w:rsidRPr="00632F54" w:rsidSect="001927EF">
      <w:pgSz w:w="11906" w:h="16838" w:code="9"/>
      <w:pgMar w:top="426" w:right="1418" w:bottom="1843"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29109" w14:textId="77777777" w:rsidR="00920255" w:rsidRDefault="00920255" w:rsidP="00665B9F">
      <w:pPr>
        <w:spacing w:after="0" w:line="240" w:lineRule="auto"/>
      </w:pPr>
      <w:r>
        <w:separator/>
      </w:r>
    </w:p>
  </w:endnote>
  <w:endnote w:type="continuationSeparator" w:id="0">
    <w:p w14:paraId="56D1E345" w14:textId="77777777" w:rsidR="00920255" w:rsidRDefault="00920255" w:rsidP="00665B9F">
      <w:pPr>
        <w:spacing w:after="0" w:line="240" w:lineRule="auto"/>
      </w:pPr>
      <w:r>
        <w:continuationSeparator/>
      </w:r>
    </w:p>
  </w:endnote>
  <w:endnote w:type="continuationNotice" w:id="1">
    <w:p w14:paraId="60A55AE0" w14:textId="77777777" w:rsidR="00920255" w:rsidRDefault="009202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Medium">
    <w:charset w:val="00"/>
    <w:family w:val="auto"/>
    <w:pitch w:val="variable"/>
    <w:sig w:usb0="A00000FF" w:usb1="5000E07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Work Sans Light">
    <w:altName w:val="Work Sans Light"/>
    <w:charset w:val="00"/>
    <w:family w:val="auto"/>
    <w:pitch w:val="variable"/>
    <w:sig w:usb0="A00000FF" w:usb1="5000E07B" w:usb2="00000000" w:usb3="00000000" w:csb0="00000193" w:csb1="00000000"/>
  </w:font>
  <w:font w:name="TimesNewRomanPS-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B194" w14:textId="1EDB1FB2" w:rsidR="00B728D8" w:rsidRPr="000A6B63" w:rsidRDefault="00B728D8" w:rsidP="00731AE2">
    <w:pPr>
      <w:pStyle w:val="Intro"/>
      <w:tabs>
        <w:tab w:val="right" w:pos="8789"/>
        <w:tab w:val="right" w:pos="9070"/>
      </w:tabs>
    </w:pPr>
    <w:r>
      <w:rPr>
        <w:noProof/>
        <w:sz w:val="18"/>
        <w:szCs w:val="18"/>
      </w:rPr>
      <mc:AlternateContent>
        <mc:Choice Requires="wps">
          <w:drawing>
            <wp:anchor distT="0" distB="0" distL="114300" distR="114300" simplePos="0" relativeHeight="251656192" behindDoc="0" locked="0" layoutInCell="1" allowOverlap="1" wp14:anchorId="36C41653" wp14:editId="0F41A151">
              <wp:simplePos x="0" y="0"/>
              <wp:positionH relativeFrom="column">
                <wp:posOffset>-900430</wp:posOffset>
              </wp:positionH>
              <wp:positionV relativeFrom="paragraph">
                <wp:posOffset>-179705</wp:posOffset>
              </wp:positionV>
              <wp:extent cx="7560945" cy="0"/>
              <wp:effectExtent l="9525" t="10160" r="11430" b="8890"/>
              <wp:wrapNone/>
              <wp:docPr id="27"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12F3CB" id="_x0000_t32" coordsize="21600,21600" o:spt="32" o:oned="t" path="m,l21600,21600e" filled="f">
              <v:path arrowok="t" fillok="f" o:connecttype="none"/>
              <o:lock v:ext="edit" shapetype="t"/>
            </v:shapetype>
            <v:shape id="AutoShape 6" o:spid="_x0000_s1026" type="#_x0000_t32" alt="&quot;&quot;" style="position:absolute;margin-left:-70.9pt;margin-top:-14.15pt;width:595.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1xuAEAAFYDAAAOAAAAZHJzL2Uyb0RvYy54bWysU8Fu2zAMvQ/YPwi6L3aCpVu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"/>
          </w:pict>
        </mc:Fallback>
      </mc:AlternateContent>
    </w:r>
    <w:r w:rsidR="001025D3">
      <w:rPr>
        <w:sz w:val="18"/>
        <w:szCs w:val="18"/>
      </w:rPr>
      <w:t xml:space="preserve">Commissioning for Outcomes – </w:t>
    </w:r>
    <w:r w:rsidR="006649A3">
      <w:rPr>
        <w:sz w:val="18"/>
        <w:szCs w:val="18"/>
      </w:rPr>
      <w:t>Community Support Subsector</w:t>
    </w:r>
    <w:r w:rsidR="001654C8">
      <w:rPr>
        <w:sz w:val="18"/>
        <w:szCs w:val="18"/>
      </w:rPr>
      <w:t xml:space="preserve"> </w:t>
    </w:r>
    <w:r w:rsidR="001025D3">
      <w:rPr>
        <w:sz w:val="18"/>
        <w:szCs w:val="18"/>
      </w:rPr>
      <w:t xml:space="preserve"> </w:t>
    </w:r>
    <w:r>
      <w:rPr>
        <w:sz w:val="18"/>
        <w:szCs w:val="18"/>
      </w:rPr>
      <w:br/>
    </w:r>
    <w:r w:rsidR="006649A3">
      <w:rPr>
        <w:sz w:val="18"/>
        <w:szCs w:val="18"/>
      </w:rPr>
      <w:t>Investment Strategy</w:t>
    </w:r>
    <w:r w:rsidR="001025D3">
      <w:rPr>
        <w:sz w:val="18"/>
        <w:szCs w:val="18"/>
      </w:rPr>
      <w:t xml:space="preserve"> </w:t>
    </w:r>
    <w:r>
      <w:tab/>
    </w:r>
    <w:r w:rsidRPr="00B02277">
      <w:rPr>
        <w:sz w:val="20"/>
        <w:szCs w:val="20"/>
      </w:rPr>
      <w:fldChar w:fldCharType="begin"/>
    </w:r>
    <w:r w:rsidRPr="00B02277">
      <w:rPr>
        <w:sz w:val="20"/>
        <w:szCs w:val="20"/>
      </w:rPr>
      <w:instrText xml:space="preserve"> PAGE   \* MERGEFORMAT </w:instrText>
    </w:r>
    <w:r w:rsidRPr="00B02277">
      <w:rPr>
        <w:sz w:val="20"/>
        <w:szCs w:val="20"/>
      </w:rPr>
      <w:fldChar w:fldCharType="separate"/>
    </w:r>
    <w:r>
      <w:rPr>
        <w:noProof/>
        <w:sz w:val="20"/>
        <w:szCs w:val="20"/>
      </w:rPr>
      <w:t>1</w:t>
    </w:r>
    <w:r w:rsidRPr="00B0227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BAAAE" w14:textId="77777777" w:rsidR="00920255" w:rsidRDefault="00920255" w:rsidP="00665B9F">
      <w:pPr>
        <w:spacing w:after="0" w:line="240" w:lineRule="auto"/>
      </w:pPr>
      <w:r>
        <w:separator/>
      </w:r>
    </w:p>
  </w:footnote>
  <w:footnote w:type="continuationSeparator" w:id="0">
    <w:p w14:paraId="4F6C8843" w14:textId="77777777" w:rsidR="00920255" w:rsidRDefault="00920255" w:rsidP="00665B9F">
      <w:pPr>
        <w:spacing w:after="0" w:line="240" w:lineRule="auto"/>
      </w:pPr>
      <w:r>
        <w:continuationSeparator/>
      </w:r>
    </w:p>
  </w:footnote>
  <w:footnote w:type="continuationNotice" w:id="1">
    <w:p w14:paraId="4E3722BC" w14:textId="77777777" w:rsidR="00920255" w:rsidRDefault="009202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C4B5" w14:textId="1542382D" w:rsidR="00B728D8" w:rsidRPr="006046FF" w:rsidRDefault="00484040" w:rsidP="002009BA">
    <w:pPr>
      <w:pStyle w:val="Intro"/>
      <w:rPr>
        <w:b/>
        <w:caps/>
        <w:color w:val="000000" w:themeColor="text1"/>
      </w:rPr>
    </w:pPr>
    <w:r>
      <w:rPr>
        <w:b/>
        <w:caps/>
        <w:noProof/>
        <w:color w:val="000000" w:themeColor="text1"/>
        <w:w w:val="100"/>
      </w:rPr>
      <mc:AlternateContent>
        <mc:Choice Requires="wps">
          <w:drawing>
            <wp:anchor distT="0" distB="0" distL="114300" distR="114300" simplePos="0" relativeHeight="251658240" behindDoc="0" locked="0" layoutInCell="0" allowOverlap="1" wp14:anchorId="396042CD" wp14:editId="3E159EB1">
              <wp:simplePos x="0" y="0"/>
              <wp:positionH relativeFrom="page">
                <wp:posOffset>0</wp:posOffset>
              </wp:positionH>
              <wp:positionV relativeFrom="page">
                <wp:posOffset>190500</wp:posOffset>
              </wp:positionV>
              <wp:extent cx="7560310" cy="273050"/>
              <wp:effectExtent l="0" t="0" r="0" b="12700"/>
              <wp:wrapNone/>
              <wp:docPr id="26" name="MSIPCM84f746bbaeda3c40a8c027a1" descr="{&quot;HashCode&quot;:-14232433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CBFAC9" w14:textId="762E8FB2" w:rsidR="00484040" w:rsidRPr="00484040" w:rsidRDefault="00484040" w:rsidP="00484040">
                          <w:pPr>
                            <w:spacing w:after="0"/>
                            <w:jc w:val="center"/>
                            <w:rPr>
                              <w:rFonts w:ascii="Calibri" w:hAnsi="Calibri" w:cs="Calibri"/>
                              <w:color w:val="FF0000"/>
                              <w:sz w:val="24"/>
                            </w:rPr>
                          </w:pPr>
                          <w:r w:rsidRPr="00484040">
                            <w:rPr>
                              <w:rFonts w:ascii="Calibri" w:hAnsi="Calibri" w:cs="Calibri"/>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6042CD" id="_x0000_t202" coordsize="21600,21600" o:spt="202" path="m,l,21600r21600,l21600,xe">
              <v:stroke joinstyle="miter"/>
              <v:path gradientshapeok="t" o:connecttype="rect"/>
            </v:shapetype>
            <v:shape id="MSIPCM84f746bbaeda3c40a8c027a1" o:spid="_x0000_s1030" type="#_x0000_t202" alt="{&quot;HashCode&quot;:-1423243343,&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CCBFAC9" w14:textId="762E8FB2" w:rsidR="00484040" w:rsidRPr="00484040" w:rsidRDefault="00484040" w:rsidP="00484040">
                    <w:pPr>
                      <w:spacing w:after="0"/>
                      <w:jc w:val="center"/>
                      <w:rPr>
                        <w:rFonts w:ascii="Calibri" w:hAnsi="Calibri" w:cs="Calibri"/>
                        <w:color w:val="FF0000"/>
                        <w:sz w:val="24"/>
                      </w:rPr>
                    </w:pPr>
                    <w:r w:rsidRPr="00484040">
                      <w:rPr>
                        <w:rFonts w:ascii="Calibri" w:hAnsi="Calibri" w:cs="Calibri"/>
                        <w:color w:val="FF0000"/>
                        <w:sz w:val="24"/>
                      </w:rPr>
                      <w:t>OFFICIAL</w:t>
                    </w:r>
                  </w:p>
                </w:txbxContent>
              </v:textbox>
              <w10:wrap anchorx="page" anchory="page"/>
            </v:shape>
          </w:pict>
        </mc:Fallback>
      </mc:AlternateContent>
    </w:r>
    <w:r w:rsidR="00B728D8" w:rsidRPr="006046FF">
      <w:rPr>
        <w:b/>
        <w:caps/>
        <w:noProof/>
        <w:color w:val="000000" w:themeColor="text1"/>
      </w:rPr>
      <w:drawing>
        <wp:anchor distT="0" distB="0" distL="114300" distR="114300" simplePos="0" relativeHeight="251657216" behindDoc="1" locked="0" layoutInCell="1" allowOverlap="1" wp14:anchorId="73009263" wp14:editId="63996842">
          <wp:simplePos x="0" y="0"/>
          <wp:positionH relativeFrom="page">
            <wp:posOffset>534035</wp:posOffset>
          </wp:positionH>
          <wp:positionV relativeFrom="page">
            <wp:posOffset>-584200</wp:posOffset>
          </wp:positionV>
          <wp:extent cx="7632000" cy="903600"/>
          <wp:effectExtent l="38100" t="0" r="7620" b="640080"/>
          <wp:wrapNone/>
          <wp:docPr id="12"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0">
                    <a:extLst>
                      <a:ext uri="{C183D7F6-B498-43B3-948B-1728B52AA6E4}">
                        <adec:decorative xmlns:adec="http://schemas.microsoft.com/office/drawing/2017/decorative" val="1"/>
                      </a:ext>
                    </a:extLst>
                  </pic:cNvPr>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rsidR="00B728D8">
      <w:rPr>
        <w:b/>
        <w:caps/>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E52DB9"/>
    <w:multiLevelType w:val="hybridMultilevel"/>
    <w:tmpl w:val="8E50FB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E421EC1"/>
    <w:multiLevelType w:val="hybridMultilevel"/>
    <w:tmpl w:val="69B6CE7C"/>
    <w:lvl w:ilvl="0" w:tplc="4BD22276">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0570B9D"/>
    <w:multiLevelType w:val="hybridMultilevel"/>
    <w:tmpl w:val="0142837A"/>
    <w:lvl w:ilvl="0" w:tplc="FFFFFFFF">
      <w:start w:val="1"/>
      <w:numFmt w:val="bullet"/>
      <w:lvlText w:val="○"/>
      <w:lvlJc w:val="left"/>
      <w:pPr>
        <w:tabs>
          <w:tab w:val="num" w:pos="720"/>
        </w:tabs>
        <w:ind w:left="720" w:hanging="360"/>
      </w:pPr>
      <w:rPr>
        <w:rFonts w:ascii="Arial" w:hAnsi="Arial" w:cs="Times New Roman" w:hint="default"/>
      </w:rPr>
    </w:lvl>
    <w:lvl w:ilvl="1" w:tplc="A8122B5A">
      <w:start w:val="1"/>
      <w:numFmt w:val="bullet"/>
      <w:lvlText w:val="○"/>
      <w:lvlJc w:val="left"/>
      <w:pPr>
        <w:ind w:left="720" w:hanging="360"/>
      </w:pPr>
      <w:rPr>
        <w:rFonts w:ascii="Arial" w:hAnsi="Arial" w:hint="default"/>
        <w:b/>
        <w:i w:val="0"/>
        <w:color w:val="0076BE"/>
        <w:sz w:val="24"/>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12C95059"/>
    <w:multiLevelType w:val="multilevel"/>
    <w:tmpl w:val="9206654A"/>
    <w:numStyleLink w:val="FigureNumbers"/>
  </w:abstractNum>
  <w:abstractNum w:abstractNumId="5" w15:restartNumberingAfterBreak="0">
    <w:nsid w:val="15AD5158"/>
    <w:multiLevelType w:val="hybridMultilevel"/>
    <w:tmpl w:val="F67EEFB4"/>
    <w:lvl w:ilvl="0" w:tplc="F18AFB2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88A1E0F"/>
    <w:multiLevelType w:val="hybridMultilevel"/>
    <w:tmpl w:val="CAFCBA1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CC862E1"/>
    <w:multiLevelType w:val="multilevel"/>
    <w:tmpl w:val="9206654A"/>
    <w:styleLink w:val="FigureNumbers"/>
    <w:lvl w:ilvl="0">
      <w:start w:val="1"/>
      <w:numFmt w:val="decimal"/>
      <w:pStyle w:val="FigureTitle"/>
      <w:lvlText w:val="Figure %1."/>
      <w:lvlJc w:val="left"/>
      <w:pPr>
        <w:ind w:left="1134" w:hanging="1134"/>
      </w:pPr>
      <w:rPr>
        <w:rFonts w:ascii="Work Sans Medium" w:hAnsi="Work Sans Medium" w:hint="default"/>
        <w:b w:val="0"/>
        <w:i w:val="0"/>
        <w:caps w:val="0"/>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7968A0"/>
    <w:multiLevelType w:val="hybridMultilevel"/>
    <w:tmpl w:val="A204F2B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ED787C"/>
    <w:multiLevelType w:val="hybridMultilevel"/>
    <w:tmpl w:val="8EC254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F8130A"/>
    <w:multiLevelType w:val="hybridMultilevel"/>
    <w:tmpl w:val="11BE24A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73D618E"/>
    <w:multiLevelType w:val="hybridMultilevel"/>
    <w:tmpl w:val="BB509C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133220"/>
    <w:multiLevelType w:val="hybridMultilevel"/>
    <w:tmpl w:val="CC929292"/>
    <w:lvl w:ilvl="0" w:tplc="11D0959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42296888"/>
    <w:multiLevelType w:val="multilevel"/>
    <w:tmpl w:val="AE323C52"/>
    <w:numStyleLink w:val="DefaultBullets"/>
  </w:abstractNum>
  <w:abstractNum w:abstractNumId="15"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47D921B9"/>
    <w:multiLevelType w:val="hybridMultilevel"/>
    <w:tmpl w:val="F5F6A0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0733E8"/>
    <w:multiLevelType w:val="hybridMultilevel"/>
    <w:tmpl w:val="F64C4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0"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F0B6F15"/>
    <w:multiLevelType w:val="hybridMultilevel"/>
    <w:tmpl w:val="E72E81EC"/>
    <w:lvl w:ilvl="0" w:tplc="A8122B5A">
      <w:start w:val="1"/>
      <w:numFmt w:val="bullet"/>
      <w:lvlText w:val="○"/>
      <w:lvlJc w:val="left"/>
      <w:pPr>
        <w:ind w:left="720" w:hanging="360"/>
      </w:pPr>
      <w:rPr>
        <w:rFonts w:ascii="Arial" w:hAnsi="Arial" w:hint="default"/>
        <w:b/>
        <w:i w:val="0"/>
        <w:color w:val="0076BE"/>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8C80192"/>
    <w:multiLevelType w:val="hybridMultilevel"/>
    <w:tmpl w:val="70D29BBC"/>
    <w:lvl w:ilvl="0" w:tplc="51545F8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738A4D83"/>
    <w:multiLevelType w:val="multilevel"/>
    <w:tmpl w:val="AE323C52"/>
    <w:styleLink w:val="DefaultBullets"/>
    <w:lvl w:ilvl="0">
      <w:start w:val="1"/>
      <w:numFmt w:val="bullet"/>
      <w:lvlText w:val=""/>
      <w:lvlJc w:val="left"/>
      <w:pPr>
        <w:ind w:left="227" w:hanging="227"/>
      </w:pPr>
      <w:rPr>
        <w:rFonts w:ascii="Symbol" w:hAnsi="Symbol" w:hint="default"/>
        <w:color w:val="323232" w:themeColor="accent1"/>
      </w:rPr>
    </w:lvl>
    <w:lvl w:ilvl="1">
      <w:start w:val="1"/>
      <w:numFmt w:val="bullet"/>
      <w:lvlText w:val="–"/>
      <w:lvlJc w:val="left"/>
      <w:pPr>
        <w:ind w:left="454" w:hanging="227"/>
      </w:pPr>
      <w:rPr>
        <w:rFonts w:ascii="Arial" w:hAnsi="Arial" w:hint="default"/>
        <w:color w:val="323232" w:themeColor="accent1"/>
      </w:rPr>
    </w:lvl>
    <w:lvl w:ilvl="2">
      <w:start w:val="1"/>
      <w:numFmt w:val="bullet"/>
      <w:lvlText w:val="»"/>
      <w:lvlJc w:val="left"/>
      <w:pPr>
        <w:ind w:left="681" w:hanging="227"/>
      </w:pPr>
      <w:rPr>
        <w:rFonts w:ascii="Arial" w:hAnsi="Arial" w:hint="default"/>
        <w:color w:val="323232" w:themeColor="accent1"/>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num w:numId="1" w16cid:durableId="30498402">
    <w:abstractNumId w:val="22"/>
  </w:num>
  <w:num w:numId="2" w16cid:durableId="1116407084">
    <w:abstractNumId w:val="19"/>
  </w:num>
  <w:num w:numId="3" w16cid:durableId="1854876873">
    <w:abstractNumId w:val="15"/>
  </w:num>
  <w:num w:numId="4" w16cid:durableId="781610345">
    <w:abstractNumId w:val="9"/>
  </w:num>
  <w:num w:numId="5" w16cid:durableId="1488941562">
    <w:abstractNumId w:val="18"/>
  </w:num>
  <w:num w:numId="6" w16cid:durableId="543450124">
    <w:abstractNumId w:val="0"/>
  </w:num>
  <w:num w:numId="7" w16cid:durableId="1430739025">
    <w:abstractNumId w:val="24"/>
  </w:num>
  <w:num w:numId="8" w16cid:durableId="1576162056">
    <w:abstractNumId w:val="14"/>
  </w:num>
  <w:num w:numId="9" w16cid:durableId="536043276">
    <w:abstractNumId w:val="20"/>
  </w:num>
  <w:num w:numId="10" w16cid:durableId="199754963">
    <w:abstractNumId w:val="7"/>
  </w:num>
  <w:num w:numId="11" w16cid:durableId="1280988750">
    <w:abstractNumId w:val="4"/>
  </w:num>
  <w:num w:numId="12" w16cid:durableId="532808248">
    <w:abstractNumId w:val="16"/>
  </w:num>
  <w:num w:numId="13" w16cid:durableId="1076129376">
    <w:abstractNumId w:val="12"/>
  </w:num>
  <w:num w:numId="14" w16cid:durableId="1453666785">
    <w:abstractNumId w:val="8"/>
  </w:num>
  <w:num w:numId="15" w16cid:durableId="2039155160">
    <w:abstractNumId w:val="10"/>
  </w:num>
  <w:num w:numId="16" w16cid:durableId="2131508740">
    <w:abstractNumId w:val="11"/>
  </w:num>
  <w:num w:numId="17" w16cid:durableId="1733120439">
    <w:abstractNumId w:val="11"/>
  </w:num>
  <w:num w:numId="18" w16cid:durableId="149488073">
    <w:abstractNumId w:val="6"/>
  </w:num>
  <w:num w:numId="19" w16cid:durableId="893808228">
    <w:abstractNumId w:val="17"/>
  </w:num>
  <w:num w:numId="20" w16cid:durableId="1274437454">
    <w:abstractNumId w:val="11"/>
  </w:num>
  <w:num w:numId="21" w16cid:durableId="1821923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7427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3343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1413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1333060">
    <w:abstractNumId w:val="21"/>
  </w:num>
  <w:num w:numId="26" w16cid:durableId="494615646">
    <w:abstractNumId w:val="3"/>
  </w:num>
  <w:num w:numId="27" w16cid:durableId="1790467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95"/>
    <w:rsid w:val="000016B9"/>
    <w:rsid w:val="00001A6D"/>
    <w:rsid w:val="00003A5D"/>
    <w:rsid w:val="000068D5"/>
    <w:rsid w:val="00007195"/>
    <w:rsid w:val="00010174"/>
    <w:rsid w:val="000169A3"/>
    <w:rsid w:val="00017BF0"/>
    <w:rsid w:val="00021DF4"/>
    <w:rsid w:val="00022B64"/>
    <w:rsid w:val="0002384D"/>
    <w:rsid w:val="0002520B"/>
    <w:rsid w:val="000269A7"/>
    <w:rsid w:val="00030790"/>
    <w:rsid w:val="00030CC1"/>
    <w:rsid w:val="0003225B"/>
    <w:rsid w:val="000323E0"/>
    <w:rsid w:val="00032423"/>
    <w:rsid w:val="00034546"/>
    <w:rsid w:val="00035A10"/>
    <w:rsid w:val="00035A7A"/>
    <w:rsid w:val="00035D6B"/>
    <w:rsid w:val="00036B92"/>
    <w:rsid w:val="000419C1"/>
    <w:rsid w:val="00041E20"/>
    <w:rsid w:val="00043B50"/>
    <w:rsid w:val="00043EA6"/>
    <w:rsid w:val="0004464A"/>
    <w:rsid w:val="000446A5"/>
    <w:rsid w:val="00046192"/>
    <w:rsid w:val="0004792D"/>
    <w:rsid w:val="0005196D"/>
    <w:rsid w:val="00053356"/>
    <w:rsid w:val="0005445D"/>
    <w:rsid w:val="00056217"/>
    <w:rsid w:val="00060D8B"/>
    <w:rsid w:val="00062D20"/>
    <w:rsid w:val="000644C7"/>
    <w:rsid w:val="000650AF"/>
    <w:rsid w:val="00065CEA"/>
    <w:rsid w:val="000677A2"/>
    <w:rsid w:val="00070067"/>
    <w:rsid w:val="00071985"/>
    <w:rsid w:val="0007453E"/>
    <w:rsid w:val="00075AAB"/>
    <w:rsid w:val="00076803"/>
    <w:rsid w:val="00077D25"/>
    <w:rsid w:val="000805B4"/>
    <w:rsid w:val="00084ABF"/>
    <w:rsid w:val="00087564"/>
    <w:rsid w:val="00090A83"/>
    <w:rsid w:val="00090D90"/>
    <w:rsid w:val="000A0154"/>
    <w:rsid w:val="000A0745"/>
    <w:rsid w:val="000A2FFC"/>
    <w:rsid w:val="000A34D6"/>
    <w:rsid w:val="000A3AB6"/>
    <w:rsid w:val="000A44A2"/>
    <w:rsid w:val="000A6B63"/>
    <w:rsid w:val="000B01FD"/>
    <w:rsid w:val="000B040F"/>
    <w:rsid w:val="000B13CB"/>
    <w:rsid w:val="000B1613"/>
    <w:rsid w:val="000B4111"/>
    <w:rsid w:val="000B7AC3"/>
    <w:rsid w:val="000C19CE"/>
    <w:rsid w:val="000C3F1E"/>
    <w:rsid w:val="000C670A"/>
    <w:rsid w:val="000C6C34"/>
    <w:rsid w:val="000D011F"/>
    <w:rsid w:val="000D0167"/>
    <w:rsid w:val="000E0BEB"/>
    <w:rsid w:val="000E1E53"/>
    <w:rsid w:val="000E4E40"/>
    <w:rsid w:val="000E5692"/>
    <w:rsid w:val="000E61B1"/>
    <w:rsid w:val="000E64C7"/>
    <w:rsid w:val="000E678D"/>
    <w:rsid w:val="000F2D6E"/>
    <w:rsid w:val="000F5CCD"/>
    <w:rsid w:val="000F5D86"/>
    <w:rsid w:val="000F778F"/>
    <w:rsid w:val="001025D3"/>
    <w:rsid w:val="00104CC9"/>
    <w:rsid w:val="00110885"/>
    <w:rsid w:val="00111F39"/>
    <w:rsid w:val="001147B3"/>
    <w:rsid w:val="0011798B"/>
    <w:rsid w:val="00120BF1"/>
    <w:rsid w:val="00121388"/>
    <w:rsid w:val="00121D3B"/>
    <w:rsid w:val="00121F13"/>
    <w:rsid w:val="0012216D"/>
    <w:rsid w:val="00125DA0"/>
    <w:rsid w:val="00126628"/>
    <w:rsid w:val="00126CD3"/>
    <w:rsid w:val="00132B24"/>
    <w:rsid w:val="001354DE"/>
    <w:rsid w:val="00137E69"/>
    <w:rsid w:val="00142430"/>
    <w:rsid w:val="001431D4"/>
    <w:rsid w:val="001437F0"/>
    <w:rsid w:val="001444F4"/>
    <w:rsid w:val="00147C5D"/>
    <w:rsid w:val="0015010B"/>
    <w:rsid w:val="00152EB7"/>
    <w:rsid w:val="00153631"/>
    <w:rsid w:val="00156693"/>
    <w:rsid w:val="0016080C"/>
    <w:rsid w:val="00161010"/>
    <w:rsid w:val="00161673"/>
    <w:rsid w:val="001623DE"/>
    <w:rsid w:val="00164ACF"/>
    <w:rsid w:val="001652A2"/>
    <w:rsid w:val="001654C8"/>
    <w:rsid w:val="001715C7"/>
    <w:rsid w:val="001720C8"/>
    <w:rsid w:val="001756CF"/>
    <w:rsid w:val="0018123F"/>
    <w:rsid w:val="001820A7"/>
    <w:rsid w:val="0018224F"/>
    <w:rsid w:val="00183757"/>
    <w:rsid w:val="001843C9"/>
    <w:rsid w:val="001874AA"/>
    <w:rsid w:val="00190DDC"/>
    <w:rsid w:val="001912A2"/>
    <w:rsid w:val="00192632"/>
    <w:rsid w:val="001927EF"/>
    <w:rsid w:val="001931A1"/>
    <w:rsid w:val="00193AFC"/>
    <w:rsid w:val="001963B0"/>
    <w:rsid w:val="001966FA"/>
    <w:rsid w:val="00197666"/>
    <w:rsid w:val="001A0139"/>
    <w:rsid w:val="001A0956"/>
    <w:rsid w:val="001A1BA4"/>
    <w:rsid w:val="001A3494"/>
    <w:rsid w:val="001A3B47"/>
    <w:rsid w:val="001A424B"/>
    <w:rsid w:val="001A5854"/>
    <w:rsid w:val="001A698D"/>
    <w:rsid w:val="001B2344"/>
    <w:rsid w:val="001B438B"/>
    <w:rsid w:val="001B48D7"/>
    <w:rsid w:val="001B59A6"/>
    <w:rsid w:val="001B7D00"/>
    <w:rsid w:val="001C1FF2"/>
    <w:rsid w:val="001C2931"/>
    <w:rsid w:val="001C38F0"/>
    <w:rsid w:val="001C41B5"/>
    <w:rsid w:val="001C5AF2"/>
    <w:rsid w:val="001C67A5"/>
    <w:rsid w:val="001C744C"/>
    <w:rsid w:val="001D4E51"/>
    <w:rsid w:val="001D6D8A"/>
    <w:rsid w:val="001E04AB"/>
    <w:rsid w:val="001E2684"/>
    <w:rsid w:val="001E3840"/>
    <w:rsid w:val="001E7690"/>
    <w:rsid w:val="001E76BA"/>
    <w:rsid w:val="001F14C8"/>
    <w:rsid w:val="001F2BDC"/>
    <w:rsid w:val="001F72AD"/>
    <w:rsid w:val="001F7901"/>
    <w:rsid w:val="002009BA"/>
    <w:rsid w:val="00200C99"/>
    <w:rsid w:val="00203525"/>
    <w:rsid w:val="00205295"/>
    <w:rsid w:val="00205F60"/>
    <w:rsid w:val="00207039"/>
    <w:rsid w:val="00214A8E"/>
    <w:rsid w:val="00215465"/>
    <w:rsid w:val="00222C33"/>
    <w:rsid w:val="002246CB"/>
    <w:rsid w:val="0022562E"/>
    <w:rsid w:val="0023043A"/>
    <w:rsid w:val="00232717"/>
    <w:rsid w:val="00232932"/>
    <w:rsid w:val="00233486"/>
    <w:rsid w:val="00234FBF"/>
    <w:rsid w:val="0023743C"/>
    <w:rsid w:val="00240F23"/>
    <w:rsid w:val="00242598"/>
    <w:rsid w:val="002439BC"/>
    <w:rsid w:val="002441E5"/>
    <w:rsid w:val="002449E8"/>
    <w:rsid w:val="00246AAC"/>
    <w:rsid w:val="0024738F"/>
    <w:rsid w:val="00247587"/>
    <w:rsid w:val="002479CE"/>
    <w:rsid w:val="0025678A"/>
    <w:rsid w:val="00257F69"/>
    <w:rsid w:val="0026005A"/>
    <w:rsid w:val="002618C0"/>
    <w:rsid w:val="0026303C"/>
    <w:rsid w:val="00265656"/>
    <w:rsid w:val="00266340"/>
    <w:rsid w:val="0026688E"/>
    <w:rsid w:val="00270239"/>
    <w:rsid w:val="002769A6"/>
    <w:rsid w:val="00283C2C"/>
    <w:rsid w:val="002846D8"/>
    <w:rsid w:val="002856DD"/>
    <w:rsid w:val="00292A23"/>
    <w:rsid w:val="00293368"/>
    <w:rsid w:val="0029668D"/>
    <w:rsid w:val="002A02AE"/>
    <w:rsid w:val="002A0832"/>
    <w:rsid w:val="002A093C"/>
    <w:rsid w:val="002A0AF5"/>
    <w:rsid w:val="002A22A1"/>
    <w:rsid w:val="002A5458"/>
    <w:rsid w:val="002A579A"/>
    <w:rsid w:val="002B22E5"/>
    <w:rsid w:val="002B39CC"/>
    <w:rsid w:val="002C6B74"/>
    <w:rsid w:val="002C6F76"/>
    <w:rsid w:val="002C7874"/>
    <w:rsid w:val="002D0F73"/>
    <w:rsid w:val="002D33BC"/>
    <w:rsid w:val="002D3600"/>
    <w:rsid w:val="002D6623"/>
    <w:rsid w:val="002D6BB2"/>
    <w:rsid w:val="002D7C42"/>
    <w:rsid w:val="002E63C1"/>
    <w:rsid w:val="002E7655"/>
    <w:rsid w:val="002F18E3"/>
    <w:rsid w:val="002F3300"/>
    <w:rsid w:val="002F409A"/>
    <w:rsid w:val="002F4EB5"/>
    <w:rsid w:val="002F66B7"/>
    <w:rsid w:val="002F76AB"/>
    <w:rsid w:val="00300F1F"/>
    <w:rsid w:val="003010B0"/>
    <w:rsid w:val="00301274"/>
    <w:rsid w:val="00302634"/>
    <w:rsid w:val="00302EF8"/>
    <w:rsid w:val="00303451"/>
    <w:rsid w:val="00305821"/>
    <w:rsid w:val="00305CA3"/>
    <w:rsid w:val="00307B98"/>
    <w:rsid w:val="0031278F"/>
    <w:rsid w:val="00313DA0"/>
    <w:rsid w:val="003201FD"/>
    <w:rsid w:val="00321224"/>
    <w:rsid w:val="003238CE"/>
    <w:rsid w:val="003279CB"/>
    <w:rsid w:val="00327A96"/>
    <w:rsid w:val="003370D6"/>
    <w:rsid w:val="0033771D"/>
    <w:rsid w:val="00340B07"/>
    <w:rsid w:val="003439ED"/>
    <w:rsid w:val="003504B0"/>
    <w:rsid w:val="003529D7"/>
    <w:rsid w:val="00354F6D"/>
    <w:rsid w:val="00361FE5"/>
    <w:rsid w:val="00363284"/>
    <w:rsid w:val="003633F5"/>
    <w:rsid w:val="00363A20"/>
    <w:rsid w:val="0037090E"/>
    <w:rsid w:val="00372CA4"/>
    <w:rsid w:val="00374BA0"/>
    <w:rsid w:val="00375334"/>
    <w:rsid w:val="00375904"/>
    <w:rsid w:val="00376A58"/>
    <w:rsid w:val="0038649F"/>
    <w:rsid w:val="003866F4"/>
    <w:rsid w:val="00387BC0"/>
    <w:rsid w:val="00387BD0"/>
    <w:rsid w:val="00387F5E"/>
    <w:rsid w:val="00390EDC"/>
    <w:rsid w:val="00392B8E"/>
    <w:rsid w:val="0039418A"/>
    <w:rsid w:val="00396147"/>
    <w:rsid w:val="00397998"/>
    <w:rsid w:val="003A0BAF"/>
    <w:rsid w:val="003A1AB9"/>
    <w:rsid w:val="003A4C52"/>
    <w:rsid w:val="003A641C"/>
    <w:rsid w:val="003A68C6"/>
    <w:rsid w:val="003A76AB"/>
    <w:rsid w:val="003B13F4"/>
    <w:rsid w:val="003B1741"/>
    <w:rsid w:val="003B2B76"/>
    <w:rsid w:val="003B3003"/>
    <w:rsid w:val="003B3B75"/>
    <w:rsid w:val="003B61F5"/>
    <w:rsid w:val="003C0A18"/>
    <w:rsid w:val="003C1601"/>
    <w:rsid w:val="003C2377"/>
    <w:rsid w:val="003C7911"/>
    <w:rsid w:val="003C7923"/>
    <w:rsid w:val="003D4DBC"/>
    <w:rsid w:val="003D7FEB"/>
    <w:rsid w:val="003F0F48"/>
    <w:rsid w:val="003F1220"/>
    <w:rsid w:val="003F20C5"/>
    <w:rsid w:val="003F76D9"/>
    <w:rsid w:val="00401D19"/>
    <w:rsid w:val="00404EB1"/>
    <w:rsid w:val="0040602C"/>
    <w:rsid w:val="00410F74"/>
    <w:rsid w:val="00411009"/>
    <w:rsid w:val="004114E7"/>
    <w:rsid w:val="00411937"/>
    <w:rsid w:val="00411A3D"/>
    <w:rsid w:val="00417333"/>
    <w:rsid w:val="00420BB6"/>
    <w:rsid w:val="00431085"/>
    <w:rsid w:val="004316AF"/>
    <w:rsid w:val="004349EB"/>
    <w:rsid w:val="004351E6"/>
    <w:rsid w:val="0043538A"/>
    <w:rsid w:val="00436B9A"/>
    <w:rsid w:val="004413EA"/>
    <w:rsid w:val="00443947"/>
    <w:rsid w:val="004439BD"/>
    <w:rsid w:val="004449A1"/>
    <w:rsid w:val="00445097"/>
    <w:rsid w:val="00446CA8"/>
    <w:rsid w:val="004476B7"/>
    <w:rsid w:val="004502A1"/>
    <w:rsid w:val="00450E16"/>
    <w:rsid w:val="0045175D"/>
    <w:rsid w:val="00452B15"/>
    <w:rsid w:val="00452C01"/>
    <w:rsid w:val="00455C5F"/>
    <w:rsid w:val="00455F6C"/>
    <w:rsid w:val="004563B4"/>
    <w:rsid w:val="00460581"/>
    <w:rsid w:val="0046067C"/>
    <w:rsid w:val="0046193A"/>
    <w:rsid w:val="00462EA4"/>
    <w:rsid w:val="004645E4"/>
    <w:rsid w:val="00465865"/>
    <w:rsid w:val="00472A4A"/>
    <w:rsid w:val="004732EC"/>
    <w:rsid w:val="004778B2"/>
    <w:rsid w:val="00481CE3"/>
    <w:rsid w:val="00482E0B"/>
    <w:rsid w:val="00484040"/>
    <w:rsid w:val="004846A7"/>
    <w:rsid w:val="0048515F"/>
    <w:rsid w:val="00487E80"/>
    <w:rsid w:val="00490652"/>
    <w:rsid w:val="004933FF"/>
    <w:rsid w:val="00494D4D"/>
    <w:rsid w:val="00496C0F"/>
    <w:rsid w:val="00496CD4"/>
    <w:rsid w:val="004A1145"/>
    <w:rsid w:val="004A131A"/>
    <w:rsid w:val="004A1683"/>
    <w:rsid w:val="004A3998"/>
    <w:rsid w:val="004A4820"/>
    <w:rsid w:val="004A4FFB"/>
    <w:rsid w:val="004A7AAB"/>
    <w:rsid w:val="004B2D11"/>
    <w:rsid w:val="004B35E5"/>
    <w:rsid w:val="004B4981"/>
    <w:rsid w:val="004C10AE"/>
    <w:rsid w:val="004C12B2"/>
    <w:rsid w:val="004C1925"/>
    <w:rsid w:val="004C4C1D"/>
    <w:rsid w:val="004C551F"/>
    <w:rsid w:val="004D4331"/>
    <w:rsid w:val="004D7E4F"/>
    <w:rsid w:val="004E18DF"/>
    <w:rsid w:val="004E1988"/>
    <w:rsid w:val="004E19D3"/>
    <w:rsid w:val="004E22DA"/>
    <w:rsid w:val="004E26B9"/>
    <w:rsid w:val="004E26CD"/>
    <w:rsid w:val="004E368A"/>
    <w:rsid w:val="004E4AD3"/>
    <w:rsid w:val="004E69B5"/>
    <w:rsid w:val="004E7B1B"/>
    <w:rsid w:val="004F07B3"/>
    <w:rsid w:val="004F131E"/>
    <w:rsid w:val="004F13D7"/>
    <w:rsid w:val="004F15A1"/>
    <w:rsid w:val="004F3D35"/>
    <w:rsid w:val="004F3D98"/>
    <w:rsid w:val="004F5B70"/>
    <w:rsid w:val="004F5EF3"/>
    <w:rsid w:val="004F6714"/>
    <w:rsid w:val="004F6DE0"/>
    <w:rsid w:val="004F74DA"/>
    <w:rsid w:val="005014D9"/>
    <w:rsid w:val="005017CC"/>
    <w:rsid w:val="00501A6C"/>
    <w:rsid w:val="00503E7E"/>
    <w:rsid w:val="005056E5"/>
    <w:rsid w:val="0050632B"/>
    <w:rsid w:val="005115E8"/>
    <w:rsid w:val="005126F9"/>
    <w:rsid w:val="00512E77"/>
    <w:rsid w:val="0051403A"/>
    <w:rsid w:val="00514693"/>
    <w:rsid w:val="00516656"/>
    <w:rsid w:val="00517506"/>
    <w:rsid w:val="00522017"/>
    <w:rsid w:val="00523F2A"/>
    <w:rsid w:val="00530106"/>
    <w:rsid w:val="005308A1"/>
    <w:rsid w:val="00536243"/>
    <w:rsid w:val="00536B2B"/>
    <w:rsid w:val="0053763A"/>
    <w:rsid w:val="005468AB"/>
    <w:rsid w:val="00546C1F"/>
    <w:rsid w:val="00550050"/>
    <w:rsid w:val="00552850"/>
    <w:rsid w:val="0055695C"/>
    <w:rsid w:val="005638F1"/>
    <w:rsid w:val="00563CEF"/>
    <w:rsid w:val="005654E8"/>
    <w:rsid w:val="00566387"/>
    <w:rsid w:val="00572D40"/>
    <w:rsid w:val="005735B2"/>
    <w:rsid w:val="00574E5D"/>
    <w:rsid w:val="00575A4E"/>
    <w:rsid w:val="00576D35"/>
    <w:rsid w:val="00577A42"/>
    <w:rsid w:val="00577AA3"/>
    <w:rsid w:val="00580A91"/>
    <w:rsid w:val="00581514"/>
    <w:rsid w:val="00583595"/>
    <w:rsid w:val="005835CA"/>
    <w:rsid w:val="0058377A"/>
    <w:rsid w:val="00584E20"/>
    <w:rsid w:val="00585ECD"/>
    <w:rsid w:val="0058624E"/>
    <w:rsid w:val="00586AC8"/>
    <w:rsid w:val="00592FEB"/>
    <w:rsid w:val="005946A9"/>
    <w:rsid w:val="00596A42"/>
    <w:rsid w:val="005A34FE"/>
    <w:rsid w:val="005A475D"/>
    <w:rsid w:val="005A4A39"/>
    <w:rsid w:val="005A590C"/>
    <w:rsid w:val="005A60DB"/>
    <w:rsid w:val="005B369E"/>
    <w:rsid w:val="005B47DE"/>
    <w:rsid w:val="005B750A"/>
    <w:rsid w:val="005C0557"/>
    <w:rsid w:val="005C1728"/>
    <w:rsid w:val="005C3084"/>
    <w:rsid w:val="005C3240"/>
    <w:rsid w:val="005C54B5"/>
    <w:rsid w:val="005C66E8"/>
    <w:rsid w:val="005C69DF"/>
    <w:rsid w:val="005C72CC"/>
    <w:rsid w:val="005C76A8"/>
    <w:rsid w:val="005E2837"/>
    <w:rsid w:val="005E47F8"/>
    <w:rsid w:val="005E5305"/>
    <w:rsid w:val="005E7A13"/>
    <w:rsid w:val="005F44A4"/>
    <w:rsid w:val="005F452C"/>
    <w:rsid w:val="005F6002"/>
    <w:rsid w:val="005F7473"/>
    <w:rsid w:val="0060124C"/>
    <w:rsid w:val="006046FF"/>
    <w:rsid w:val="00604BB6"/>
    <w:rsid w:val="00605461"/>
    <w:rsid w:val="00610CD6"/>
    <w:rsid w:val="0061261B"/>
    <w:rsid w:val="00615852"/>
    <w:rsid w:val="0062167D"/>
    <w:rsid w:val="00621988"/>
    <w:rsid w:val="00622565"/>
    <w:rsid w:val="0063036E"/>
    <w:rsid w:val="00632F54"/>
    <w:rsid w:val="00633AF4"/>
    <w:rsid w:val="006355FB"/>
    <w:rsid w:val="00635C80"/>
    <w:rsid w:val="00642298"/>
    <w:rsid w:val="00642E82"/>
    <w:rsid w:val="00643D4E"/>
    <w:rsid w:val="00647786"/>
    <w:rsid w:val="006515F5"/>
    <w:rsid w:val="00654157"/>
    <w:rsid w:val="0065780C"/>
    <w:rsid w:val="006610FF"/>
    <w:rsid w:val="00662345"/>
    <w:rsid w:val="006649A3"/>
    <w:rsid w:val="00665B9F"/>
    <w:rsid w:val="00665CB9"/>
    <w:rsid w:val="00665CEF"/>
    <w:rsid w:val="00667EEB"/>
    <w:rsid w:val="006779C5"/>
    <w:rsid w:val="00680C6F"/>
    <w:rsid w:val="00682772"/>
    <w:rsid w:val="00683185"/>
    <w:rsid w:val="00685229"/>
    <w:rsid w:val="006875BB"/>
    <w:rsid w:val="006878C8"/>
    <w:rsid w:val="006902BC"/>
    <w:rsid w:val="00692A5B"/>
    <w:rsid w:val="006949C8"/>
    <w:rsid w:val="0069624A"/>
    <w:rsid w:val="006A1F97"/>
    <w:rsid w:val="006A2843"/>
    <w:rsid w:val="006A3784"/>
    <w:rsid w:val="006A4E6C"/>
    <w:rsid w:val="006A58DD"/>
    <w:rsid w:val="006A5EBE"/>
    <w:rsid w:val="006A6360"/>
    <w:rsid w:val="006B0F85"/>
    <w:rsid w:val="006B23CE"/>
    <w:rsid w:val="006B2583"/>
    <w:rsid w:val="006B27FA"/>
    <w:rsid w:val="006B4134"/>
    <w:rsid w:val="006C0021"/>
    <w:rsid w:val="006C0302"/>
    <w:rsid w:val="006C1037"/>
    <w:rsid w:val="006C13E4"/>
    <w:rsid w:val="006C389C"/>
    <w:rsid w:val="006C6368"/>
    <w:rsid w:val="006D2273"/>
    <w:rsid w:val="006D448E"/>
    <w:rsid w:val="006D4E0F"/>
    <w:rsid w:val="006D4F15"/>
    <w:rsid w:val="006D5CDC"/>
    <w:rsid w:val="006E556B"/>
    <w:rsid w:val="006F00EF"/>
    <w:rsid w:val="006F0147"/>
    <w:rsid w:val="006F3158"/>
    <w:rsid w:val="006F31A9"/>
    <w:rsid w:val="006F56E2"/>
    <w:rsid w:val="006F68FF"/>
    <w:rsid w:val="006F7929"/>
    <w:rsid w:val="006F7B69"/>
    <w:rsid w:val="00701B42"/>
    <w:rsid w:val="00704D5A"/>
    <w:rsid w:val="00705B39"/>
    <w:rsid w:val="007155D0"/>
    <w:rsid w:val="007157D1"/>
    <w:rsid w:val="0071798D"/>
    <w:rsid w:val="00722917"/>
    <w:rsid w:val="00723F5F"/>
    <w:rsid w:val="00723FC3"/>
    <w:rsid w:val="0073089A"/>
    <w:rsid w:val="00731AE2"/>
    <w:rsid w:val="00733D53"/>
    <w:rsid w:val="00737226"/>
    <w:rsid w:val="00740A38"/>
    <w:rsid w:val="00741169"/>
    <w:rsid w:val="007457CA"/>
    <w:rsid w:val="00751754"/>
    <w:rsid w:val="00751D6F"/>
    <w:rsid w:val="00751EDE"/>
    <w:rsid w:val="00752EAD"/>
    <w:rsid w:val="0075381E"/>
    <w:rsid w:val="00756778"/>
    <w:rsid w:val="00762DCC"/>
    <w:rsid w:val="0076392F"/>
    <w:rsid w:val="00764040"/>
    <w:rsid w:val="00770404"/>
    <w:rsid w:val="00771149"/>
    <w:rsid w:val="00775FF0"/>
    <w:rsid w:val="0078700C"/>
    <w:rsid w:val="007903B1"/>
    <w:rsid w:val="00790577"/>
    <w:rsid w:val="0079069F"/>
    <w:rsid w:val="0079197F"/>
    <w:rsid w:val="00794CBC"/>
    <w:rsid w:val="007A07B0"/>
    <w:rsid w:val="007A12C3"/>
    <w:rsid w:val="007A1CA9"/>
    <w:rsid w:val="007A1EE1"/>
    <w:rsid w:val="007A6A50"/>
    <w:rsid w:val="007A7CC4"/>
    <w:rsid w:val="007B0093"/>
    <w:rsid w:val="007B28C0"/>
    <w:rsid w:val="007B3E3A"/>
    <w:rsid w:val="007B3F0E"/>
    <w:rsid w:val="007B585B"/>
    <w:rsid w:val="007B5DBB"/>
    <w:rsid w:val="007C1C19"/>
    <w:rsid w:val="007C3D52"/>
    <w:rsid w:val="007C6B69"/>
    <w:rsid w:val="007C6D9A"/>
    <w:rsid w:val="007D1FEC"/>
    <w:rsid w:val="007D26DC"/>
    <w:rsid w:val="007D28F0"/>
    <w:rsid w:val="007D29A9"/>
    <w:rsid w:val="007D343A"/>
    <w:rsid w:val="007D5985"/>
    <w:rsid w:val="007D6E62"/>
    <w:rsid w:val="007E0B56"/>
    <w:rsid w:val="007E0E87"/>
    <w:rsid w:val="007E2FD7"/>
    <w:rsid w:val="007E4458"/>
    <w:rsid w:val="007E45FE"/>
    <w:rsid w:val="007E76A2"/>
    <w:rsid w:val="007F0BC5"/>
    <w:rsid w:val="00810221"/>
    <w:rsid w:val="00810233"/>
    <w:rsid w:val="00810457"/>
    <w:rsid w:val="008106AD"/>
    <w:rsid w:val="008156FB"/>
    <w:rsid w:val="00815AAF"/>
    <w:rsid w:val="00815CBC"/>
    <w:rsid w:val="00822C2E"/>
    <w:rsid w:val="00823946"/>
    <w:rsid w:val="0082428C"/>
    <w:rsid w:val="00824966"/>
    <w:rsid w:val="008266EE"/>
    <w:rsid w:val="00826BB3"/>
    <w:rsid w:val="00826D36"/>
    <w:rsid w:val="00826FDC"/>
    <w:rsid w:val="00832B4A"/>
    <w:rsid w:val="008367EA"/>
    <w:rsid w:val="00837AEB"/>
    <w:rsid w:val="008459DC"/>
    <w:rsid w:val="008504DD"/>
    <w:rsid w:val="00851998"/>
    <w:rsid w:val="00851B87"/>
    <w:rsid w:val="0085390E"/>
    <w:rsid w:val="00853B1C"/>
    <w:rsid w:val="008545F3"/>
    <w:rsid w:val="00856C44"/>
    <w:rsid w:val="0086024E"/>
    <w:rsid w:val="00860B3E"/>
    <w:rsid w:val="0086140F"/>
    <w:rsid w:val="00863042"/>
    <w:rsid w:val="0086358D"/>
    <w:rsid w:val="008640BD"/>
    <w:rsid w:val="008648D5"/>
    <w:rsid w:val="00866955"/>
    <w:rsid w:val="00872145"/>
    <w:rsid w:val="00875C35"/>
    <w:rsid w:val="00876015"/>
    <w:rsid w:val="0087670C"/>
    <w:rsid w:val="00876AEE"/>
    <w:rsid w:val="00882F4E"/>
    <w:rsid w:val="00884422"/>
    <w:rsid w:val="00886A94"/>
    <w:rsid w:val="008915F3"/>
    <w:rsid w:val="0089332C"/>
    <w:rsid w:val="0089718D"/>
    <w:rsid w:val="008A1F2E"/>
    <w:rsid w:val="008A2D11"/>
    <w:rsid w:val="008A593B"/>
    <w:rsid w:val="008A668F"/>
    <w:rsid w:val="008A7EB2"/>
    <w:rsid w:val="008B14C4"/>
    <w:rsid w:val="008B1C03"/>
    <w:rsid w:val="008B25E0"/>
    <w:rsid w:val="008B354E"/>
    <w:rsid w:val="008B4BF0"/>
    <w:rsid w:val="008B5317"/>
    <w:rsid w:val="008C278D"/>
    <w:rsid w:val="008C30BA"/>
    <w:rsid w:val="008C3923"/>
    <w:rsid w:val="008C440E"/>
    <w:rsid w:val="008C4951"/>
    <w:rsid w:val="008C68D0"/>
    <w:rsid w:val="008C7464"/>
    <w:rsid w:val="008D1D24"/>
    <w:rsid w:val="008D2D94"/>
    <w:rsid w:val="008D308A"/>
    <w:rsid w:val="008D37D2"/>
    <w:rsid w:val="008D760B"/>
    <w:rsid w:val="008E0CAD"/>
    <w:rsid w:val="008E190D"/>
    <w:rsid w:val="008E4998"/>
    <w:rsid w:val="008E6747"/>
    <w:rsid w:val="008F0C3B"/>
    <w:rsid w:val="008F41A9"/>
    <w:rsid w:val="008F4351"/>
    <w:rsid w:val="008F537A"/>
    <w:rsid w:val="008F5678"/>
    <w:rsid w:val="008F5FD2"/>
    <w:rsid w:val="008F5FD6"/>
    <w:rsid w:val="008F7D31"/>
    <w:rsid w:val="00902365"/>
    <w:rsid w:val="00910E4D"/>
    <w:rsid w:val="00910EF7"/>
    <w:rsid w:val="00912254"/>
    <w:rsid w:val="00914D03"/>
    <w:rsid w:val="00920255"/>
    <w:rsid w:val="00924405"/>
    <w:rsid w:val="00924890"/>
    <w:rsid w:val="0092592D"/>
    <w:rsid w:val="0092711B"/>
    <w:rsid w:val="0092793F"/>
    <w:rsid w:val="009343B7"/>
    <w:rsid w:val="00935E83"/>
    <w:rsid w:val="00936F16"/>
    <w:rsid w:val="009373A5"/>
    <w:rsid w:val="00937744"/>
    <w:rsid w:val="00937B2B"/>
    <w:rsid w:val="0094182B"/>
    <w:rsid w:val="00941A30"/>
    <w:rsid w:val="00942045"/>
    <w:rsid w:val="009438AE"/>
    <w:rsid w:val="009449F6"/>
    <w:rsid w:val="00947539"/>
    <w:rsid w:val="00947AAE"/>
    <w:rsid w:val="00954301"/>
    <w:rsid w:val="00955AC1"/>
    <w:rsid w:val="009564E4"/>
    <w:rsid w:val="0095762B"/>
    <w:rsid w:val="00957BFC"/>
    <w:rsid w:val="0096313F"/>
    <w:rsid w:val="00964D0D"/>
    <w:rsid w:val="00966ABA"/>
    <w:rsid w:val="00975520"/>
    <w:rsid w:val="009806C2"/>
    <w:rsid w:val="00983BF2"/>
    <w:rsid w:val="00983E0B"/>
    <w:rsid w:val="00983F32"/>
    <w:rsid w:val="009850EF"/>
    <w:rsid w:val="009859A8"/>
    <w:rsid w:val="00995BD6"/>
    <w:rsid w:val="00996AAB"/>
    <w:rsid w:val="009972DF"/>
    <w:rsid w:val="00997BA9"/>
    <w:rsid w:val="00997BC7"/>
    <w:rsid w:val="009A11B6"/>
    <w:rsid w:val="009B7419"/>
    <w:rsid w:val="009C0369"/>
    <w:rsid w:val="009C2051"/>
    <w:rsid w:val="009C4EC8"/>
    <w:rsid w:val="009D0581"/>
    <w:rsid w:val="009D245A"/>
    <w:rsid w:val="009D6202"/>
    <w:rsid w:val="009E0E15"/>
    <w:rsid w:val="009E391E"/>
    <w:rsid w:val="009E4EC4"/>
    <w:rsid w:val="009F591D"/>
    <w:rsid w:val="009F6CAF"/>
    <w:rsid w:val="00A00C61"/>
    <w:rsid w:val="00A00F9A"/>
    <w:rsid w:val="00A03161"/>
    <w:rsid w:val="00A03AD0"/>
    <w:rsid w:val="00A064BF"/>
    <w:rsid w:val="00A07F10"/>
    <w:rsid w:val="00A13F50"/>
    <w:rsid w:val="00A1460E"/>
    <w:rsid w:val="00A25BA9"/>
    <w:rsid w:val="00A27F94"/>
    <w:rsid w:val="00A311CE"/>
    <w:rsid w:val="00A3599A"/>
    <w:rsid w:val="00A4155B"/>
    <w:rsid w:val="00A43514"/>
    <w:rsid w:val="00A53F9C"/>
    <w:rsid w:val="00A541B9"/>
    <w:rsid w:val="00A54CFC"/>
    <w:rsid w:val="00A56436"/>
    <w:rsid w:val="00A56818"/>
    <w:rsid w:val="00A60BDE"/>
    <w:rsid w:val="00A61C0B"/>
    <w:rsid w:val="00A628A4"/>
    <w:rsid w:val="00A66E30"/>
    <w:rsid w:val="00A6785E"/>
    <w:rsid w:val="00A71428"/>
    <w:rsid w:val="00A71462"/>
    <w:rsid w:val="00A7771C"/>
    <w:rsid w:val="00A80023"/>
    <w:rsid w:val="00A80C2F"/>
    <w:rsid w:val="00A84618"/>
    <w:rsid w:val="00A87D5B"/>
    <w:rsid w:val="00A87DB0"/>
    <w:rsid w:val="00A914B7"/>
    <w:rsid w:val="00AA0B93"/>
    <w:rsid w:val="00AA1D41"/>
    <w:rsid w:val="00AA3539"/>
    <w:rsid w:val="00AA3785"/>
    <w:rsid w:val="00AA386B"/>
    <w:rsid w:val="00AA4FC7"/>
    <w:rsid w:val="00AA618D"/>
    <w:rsid w:val="00AA65D6"/>
    <w:rsid w:val="00AA66C0"/>
    <w:rsid w:val="00AA6E5F"/>
    <w:rsid w:val="00AB1CF1"/>
    <w:rsid w:val="00AB1F93"/>
    <w:rsid w:val="00AB2A92"/>
    <w:rsid w:val="00AB3779"/>
    <w:rsid w:val="00AB4AFD"/>
    <w:rsid w:val="00AB6DED"/>
    <w:rsid w:val="00AB7D32"/>
    <w:rsid w:val="00AC1ECB"/>
    <w:rsid w:val="00AC3801"/>
    <w:rsid w:val="00AC573D"/>
    <w:rsid w:val="00AC5820"/>
    <w:rsid w:val="00AC6383"/>
    <w:rsid w:val="00AC71FD"/>
    <w:rsid w:val="00AD0CAC"/>
    <w:rsid w:val="00AD181A"/>
    <w:rsid w:val="00AD34AF"/>
    <w:rsid w:val="00AD5B6A"/>
    <w:rsid w:val="00AD606C"/>
    <w:rsid w:val="00AD6293"/>
    <w:rsid w:val="00AD656D"/>
    <w:rsid w:val="00AD69D7"/>
    <w:rsid w:val="00AD720B"/>
    <w:rsid w:val="00AE03F2"/>
    <w:rsid w:val="00AE2693"/>
    <w:rsid w:val="00AE3905"/>
    <w:rsid w:val="00AE3E57"/>
    <w:rsid w:val="00AE4800"/>
    <w:rsid w:val="00AE48DD"/>
    <w:rsid w:val="00AE507F"/>
    <w:rsid w:val="00AE6BD7"/>
    <w:rsid w:val="00AF112C"/>
    <w:rsid w:val="00AF4273"/>
    <w:rsid w:val="00AF4E7F"/>
    <w:rsid w:val="00AF5859"/>
    <w:rsid w:val="00AF5DDC"/>
    <w:rsid w:val="00B02277"/>
    <w:rsid w:val="00B02FC4"/>
    <w:rsid w:val="00B053C4"/>
    <w:rsid w:val="00B071C5"/>
    <w:rsid w:val="00B10D41"/>
    <w:rsid w:val="00B131B5"/>
    <w:rsid w:val="00B167BC"/>
    <w:rsid w:val="00B167C0"/>
    <w:rsid w:val="00B16C7F"/>
    <w:rsid w:val="00B20990"/>
    <w:rsid w:val="00B23196"/>
    <w:rsid w:val="00B2361D"/>
    <w:rsid w:val="00B24C8F"/>
    <w:rsid w:val="00B268A1"/>
    <w:rsid w:val="00B301A8"/>
    <w:rsid w:val="00B329A2"/>
    <w:rsid w:val="00B40987"/>
    <w:rsid w:val="00B40CCC"/>
    <w:rsid w:val="00B4101A"/>
    <w:rsid w:val="00B42E85"/>
    <w:rsid w:val="00B45E09"/>
    <w:rsid w:val="00B4797E"/>
    <w:rsid w:val="00B4799A"/>
    <w:rsid w:val="00B5066C"/>
    <w:rsid w:val="00B5194F"/>
    <w:rsid w:val="00B51C5D"/>
    <w:rsid w:val="00B525C2"/>
    <w:rsid w:val="00B52648"/>
    <w:rsid w:val="00B5320B"/>
    <w:rsid w:val="00B56DB8"/>
    <w:rsid w:val="00B57CD3"/>
    <w:rsid w:val="00B619C6"/>
    <w:rsid w:val="00B6508B"/>
    <w:rsid w:val="00B65B5C"/>
    <w:rsid w:val="00B70B52"/>
    <w:rsid w:val="00B71D00"/>
    <w:rsid w:val="00B72277"/>
    <w:rsid w:val="00B72470"/>
    <w:rsid w:val="00B728D8"/>
    <w:rsid w:val="00B72F03"/>
    <w:rsid w:val="00B80495"/>
    <w:rsid w:val="00B8082C"/>
    <w:rsid w:val="00B81968"/>
    <w:rsid w:val="00B92520"/>
    <w:rsid w:val="00BA3456"/>
    <w:rsid w:val="00BA5836"/>
    <w:rsid w:val="00BB3989"/>
    <w:rsid w:val="00BB5655"/>
    <w:rsid w:val="00BB58FD"/>
    <w:rsid w:val="00BC057E"/>
    <w:rsid w:val="00BC213E"/>
    <w:rsid w:val="00BC21E9"/>
    <w:rsid w:val="00BC3349"/>
    <w:rsid w:val="00BC523C"/>
    <w:rsid w:val="00BC6211"/>
    <w:rsid w:val="00BC751F"/>
    <w:rsid w:val="00BC762D"/>
    <w:rsid w:val="00BD079C"/>
    <w:rsid w:val="00BD1A75"/>
    <w:rsid w:val="00BD76C0"/>
    <w:rsid w:val="00BE283F"/>
    <w:rsid w:val="00BE34DB"/>
    <w:rsid w:val="00BE5687"/>
    <w:rsid w:val="00BE754E"/>
    <w:rsid w:val="00BE7FA0"/>
    <w:rsid w:val="00BF0997"/>
    <w:rsid w:val="00BF1EFC"/>
    <w:rsid w:val="00BF272D"/>
    <w:rsid w:val="00BF332E"/>
    <w:rsid w:val="00BF50F4"/>
    <w:rsid w:val="00C0015F"/>
    <w:rsid w:val="00C009E1"/>
    <w:rsid w:val="00C02219"/>
    <w:rsid w:val="00C04A3E"/>
    <w:rsid w:val="00C06CB9"/>
    <w:rsid w:val="00C130E9"/>
    <w:rsid w:val="00C140C2"/>
    <w:rsid w:val="00C160A8"/>
    <w:rsid w:val="00C17AE1"/>
    <w:rsid w:val="00C17C06"/>
    <w:rsid w:val="00C23204"/>
    <w:rsid w:val="00C26C4F"/>
    <w:rsid w:val="00C30FA2"/>
    <w:rsid w:val="00C31AF0"/>
    <w:rsid w:val="00C33415"/>
    <w:rsid w:val="00C348AF"/>
    <w:rsid w:val="00C34A60"/>
    <w:rsid w:val="00C34BAA"/>
    <w:rsid w:val="00C34F4D"/>
    <w:rsid w:val="00C37DE6"/>
    <w:rsid w:val="00C401A6"/>
    <w:rsid w:val="00C40BDB"/>
    <w:rsid w:val="00C41736"/>
    <w:rsid w:val="00C42EA2"/>
    <w:rsid w:val="00C45CD7"/>
    <w:rsid w:val="00C45D07"/>
    <w:rsid w:val="00C46C17"/>
    <w:rsid w:val="00C52054"/>
    <w:rsid w:val="00C56D3C"/>
    <w:rsid w:val="00C61F5F"/>
    <w:rsid w:val="00C635AD"/>
    <w:rsid w:val="00C66B15"/>
    <w:rsid w:val="00C7078A"/>
    <w:rsid w:val="00C708D7"/>
    <w:rsid w:val="00C70BFD"/>
    <w:rsid w:val="00C70FE9"/>
    <w:rsid w:val="00C72D22"/>
    <w:rsid w:val="00C777B3"/>
    <w:rsid w:val="00C77BA2"/>
    <w:rsid w:val="00C82173"/>
    <w:rsid w:val="00C837F2"/>
    <w:rsid w:val="00C85938"/>
    <w:rsid w:val="00C85E6D"/>
    <w:rsid w:val="00C869BD"/>
    <w:rsid w:val="00C869D5"/>
    <w:rsid w:val="00C87B1B"/>
    <w:rsid w:val="00C90857"/>
    <w:rsid w:val="00C949B4"/>
    <w:rsid w:val="00C973B7"/>
    <w:rsid w:val="00C97D73"/>
    <w:rsid w:val="00CA271E"/>
    <w:rsid w:val="00CA602D"/>
    <w:rsid w:val="00CB1471"/>
    <w:rsid w:val="00CB2693"/>
    <w:rsid w:val="00CB47E7"/>
    <w:rsid w:val="00CB5B48"/>
    <w:rsid w:val="00CB6116"/>
    <w:rsid w:val="00CB6B9D"/>
    <w:rsid w:val="00CB7CEE"/>
    <w:rsid w:val="00CC0559"/>
    <w:rsid w:val="00CC0987"/>
    <w:rsid w:val="00CC34FE"/>
    <w:rsid w:val="00CD3FAE"/>
    <w:rsid w:val="00CD6C76"/>
    <w:rsid w:val="00CD7002"/>
    <w:rsid w:val="00CD7337"/>
    <w:rsid w:val="00CD7669"/>
    <w:rsid w:val="00CE0997"/>
    <w:rsid w:val="00CE428F"/>
    <w:rsid w:val="00CE485E"/>
    <w:rsid w:val="00CE487A"/>
    <w:rsid w:val="00CE5298"/>
    <w:rsid w:val="00CE5B67"/>
    <w:rsid w:val="00CE5EF8"/>
    <w:rsid w:val="00CE654C"/>
    <w:rsid w:val="00CE6558"/>
    <w:rsid w:val="00CE7DA4"/>
    <w:rsid w:val="00CF5A26"/>
    <w:rsid w:val="00D02790"/>
    <w:rsid w:val="00D05E52"/>
    <w:rsid w:val="00D06BDF"/>
    <w:rsid w:val="00D0799B"/>
    <w:rsid w:val="00D12DBB"/>
    <w:rsid w:val="00D12E19"/>
    <w:rsid w:val="00D147E8"/>
    <w:rsid w:val="00D14A68"/>
    <w:rsid w:val="00D163F4"/>
    <w:rsid w:val="00D2026C"/>
    <w:rsid w:val="00D239F9"/>
    <w:rsid w:val="00D245D5"/>
    <w:rsid w:val="00D249CA"/>
    <w:rsid w:val="00D24F1A"/>
    <w:rsid w:val="00D25A92"/>
    <w:rsid w:val="00D27AC9"/>
    <w:rsid w:val="00D304F0"/>
    <w:rsid w:val="00D306FD"/>
    <w:rsid w:val="00D32769"/>
    <w:rsid w:val="00D329A4"/>
    <w:rsid w:val="00D330C8"/>
    <w:rsid w:val="00D345AF"/>
    <w:rsid w:val="00D37989"/>
    <w:rsid w:val="00D41C9D"/>
    <w:rsid w:val="00D42167"/>
    <w:rsid w:val="00D45F10"/>
    <w:rsid w:val="00D4606F"/>
    <w:rsid w:val="00D50DC5"/>
    <w:rsid w:val="00D51138"/>
    <w:rsid w:val="00D51B7A"/>
    <w:rsid w:val="00D52C9C"/>
    <w:rsid w:val="00D53E3C"/>
    <w:rsid w:val="00D5471F"/>
    <w:rsid w:val="00D54B27"/>
    <w:rsid w:val="00D557CE"/>
    <w:rsid w:val="00D56979"/>
    <w:rsid w:val="00D62612"/>
    <w:rsid w:val="00D63564"/>
    <w:rsid w:val="00D64002"/>
    <w:rsid w:val="00D654AD"/>
    <w:rsid w:val="00D65974"/>
    <w:rsid w:val="00D705A5"/>
    <w:rsid w:val="00D71B58"/>
    <w:rsid w:val="00D72E45"/>
    <w:rsid w:val="00D760F0"/>
    <w:rsid w:val="00D76AD9"/>
    <w:rsid w:val="00D81658"/>
    <w:rsid w:val="00D81FF1"/>
    <w:rsid w:val="00D83B8F"/>
    <w:rsid w:val="00D905F6"/>
    <w:rsid w:val="00D92860"/>
    <w:rsid w:val="00D93F36"/>
    <w:rsid w:val="00D93FCB"/>
    <w:rsid w:val="00D952D1"/>
    <w:rsid w:val="00D9612B"/>
    <w:rsid w:val="00D964F8"/>
    <w:rsid w:val="00DA0715"/>
    <w:rsid w:val="00DA4920"/>
    <w:rsid w:val="00DA53A5"/>
    <w:rsid w:val="00DA5618"/>
    <w:rsid w:val="00DA6C8F"/>
    <w:rsid w:val="00DB04F9"/>
    <w:rsid w:val="00DB064A"/>
    <w:rsid w:val="00DB1222"/>
    <w:rsid w:val="00DB21FF"/>
    <w:rsid w:val="00DB6120"/>
    <w:rsid w:val="00DB6DB6"/>
    <w:rsid w:val="00DB76EC"/>
    <w:rsid w:val="00DC10F8"/>
    <w:rsid w:val="00DC48CA"/>
    <w:rsid w:val="00DC51A0"/>
    <w:rsid w:val="00DC55B0"/>
    <w:rsid w:val="00DC5BC4"/>
    <w:rsid w:val="00DD1627"/>
    <w:rsid w:val="00DD23D1"/>
    <w:rsid w:val="00DD30A4"/>
    <w:rsid w:val="00DD35A4"/>
    <w:rsid w:val="00DD6496"/>
    <w:rsid w:val="00DD7FA7"/>
    <w:rsid w:val="00DE0206"/>
    <w:rsid w:val="00DE1C02"/>
    <w:rsid w:val="00E020B6"/>
    <w:rsid w:val="00E07F6D"/>
    <w:rsid w:val="00E10233"/>
    <w:rsid w:val="00E1295F"/>
    <w:rsid w:val="00E16AFE"/>
    <w:rsid w:val="00E177BF"/>
    <w:rsid w:val="00E202C1"/>
    <w:rsid w:val="00E20794"/>
    <w:rsid w:val="00E25F01"/>
    <w:rsid w:val="00E27E63"/>
    <w:rsid w:val="00E30105"/>
    <w:rsid w:val="00E30268"/>
    <w:rsid w:val="00E344A0"/>
    <w:rsid w:val="00E42C82"/>
    <w:rsid w:val="00E43F8B"/>
    <w:rsid w:val="00E4473D"/>
    <w:rsid w:val="00E47122"/>
    <w:rsid w:val="00E50AB0"/>
    <w:rsid w:val="00E516CD"/>
    <w:rsid w:val="00E539A3"/>
    <w:rsid w:val="00E53EFD"/>
    <w:rsid w:val="00E561E7"/>
    <w:rsid w:val="00E63E74"/>
    <w:rsid w:val="00E65432"/>
    <w:rsid w:val="00E663FA"/>
    <w:rsid w:val="00E666BB"/>
    <w:rsid w:val="00E670FD"/>
    <w:rsid w:val="00E7143C"/>
    <w:rsid w:val="00E7183D"/>
    <w:rsid w:val="00E73B61"/>
    <w:rsid w:val="00E753AA"/>
    <w:rsid w:val="00E75434"/>
    <w:rsid w:val="00E80C63"/>
    <w:rsid w:val="00E817B2"/>
    <w:rsid w:val="00E84254"/>
    <w:rsid w:val="00E84689"/>
    <w:rsid w:val="00E849C4"/>
    <w:rsid w:val="00E850F8"/>
    <w:rsid w:val="00E9077B"/>
    <w:rsid w:val="00E91910"/>
    <w:rsid w:val="00E9242B"/>
    <w:rsid w:val="00E92BD5"/>
    <w:rsid w:val="00E93F07"/>
    <w:rsid w:val="00E94CA8"/>
    <w:rsid w:val="00E94E1B"/>
    <w:rsid w:val="00EA1970"/>
    <w:rsid w:val="00EA2844"/>
    <w:rsid w:val="00EA4CE1"/>
    <w:rsid w:val="00EB12B1"/>
    <w:rsid w:val="00EB1873"/>
    <w:rsid w:val="00EB2041"/>
    <w:rsid w:val="00EB422E"/>
    <w:rsid w:val="00EC4028"/>
    <w:rsid w:val="00EC4675"/>
    <w:rsid w:val="00EC7585"/>
    <w:rsid w:val="00EC76C2"/>
    <w:rsid w:val="00ED032F"/>
    <w:rsid w:val="00ED5F1E"/>
    <w:rsid w:val="00ED6C6A"/>
    <w:rsid w:val="00EE074F"/>
    <w:rsid w:val="00EF0008"/>
    <w:rsid w:val="00EF2751"/>
    <w:rsid w:val="00EF4793"/>
    <w:rsid w:val="00EF540C"/>
    <w:rsid w:val="00EF597A"/>
    <w:rsid w:val="00EF63A6"/>
    <w:rsid w:val="00F0041A"/>
    <w:rsid w:val="00F04053"/>
    <w:rsid w:val="00F05DF2"/>
    <w:rsid w:val="00F05E53"/>
    <w:rsid w:val="00F11E01"/>
    <w:rsid w:val="00F13BF7"/>
    <w:rsid w:val="00F141C9"/>
    <w:rsid w:val="00F15362"/>
    <w:rsid w:val="00F15969"/>
    <w:rsid w:val="00F20A44"/>
    <w:rsid w:val="00F24093"/>
    <w:rsid w:val="00F247F9"/>
    <w:rsid w:val="00F25411"/>
    <w:rsid w:val="00F26364"/>
    <w:rsid w:val="00F2672E"/>
    <w:rsid w:val="00F26DE6"/>
    <w:rsid w:val="00F30339"/>
    <w:rsid w:val="00F31BAB"/>
    <w:rsid w:val="00F348BB"/>
    <w:rsid w:val="00F3631B"/>
    <w:rsid w:val="00F40200"/>
    <w:rsid w:val="00F43792"/>
    <w:rsid w:val="00F43E6B"/>
    <w:rsid w:val="00F4404F"/>
    <w:rsid w:val="00F44684"/>
    <w:rsid w:val="00F449C5"/>
    <w:rsid w:val="00F44D8F"/>
    <w:rsid w:val="00F44EF0"/>
    <w:rsid w:val="00F4599B"/>
    <w:rsid w:val="00F47ECA"/>
    <w:rsid w:val="00F5066C"/>
    <w:rsid w:val="00F52549"/>
    <w:rsid w:val="00F53D3C"/>
    <w:rsid w:val="00F53D46"/>
    <w:rsid w:val="00F5458E"/>
    <w:rsid w:val="00F55CD6"/>
    <w:rsid w:val="00F56C05"/>
    <w:rsid w:val="00F60AE8"/>
    <w:rsid w:val="00F611ED"/>
    <w:rsid w:val="00F63E56"/>
    <w:rsid w:val="00F6564A"/>
    <w:rsid w:val="00F6590B"/>
    <w:rsid w:val="00F65D04"/>
    <w:rsid w:val="00F66C6E"/>
    <w:rsid w:val="00F72891"/>
    <w:rsid w:val="00F73044"/>
    <w:rsid w:val="00F7770C"/>
    <w:rsid w:val="00F826ED"/>
    <w:rsid w:val="00F83D60"/>
    <w:rsid w:val="00F875BD"/>
    <w:rsid w:val="00F90CA1"/>
    <w:rsid w:val="00F9346E"/>
    <w:rsid w:val="00F9783F"/>
    <w:rsid w:val="00FA10CF"/>
    <w:rsid w:val="00FA2796"/>
    <w:rsid w:val="00FA2922"/>
    <w:rsid w:val="00FA5AC3"/>
    <w:rsid w:val="00FA6A47"/>
    <w:rsid w:val="00FB1226"/>
    <w:rsid w:val="00FB2517"/>
    <w:rsid w:val="00FB2BEE"/>
    <w:rsid w:val="00FB3938"/>
    <w:rsid w:val="00FB403E"/>
    <w:rsid w:val="00FB48E7"/>
    <w:rsid w:val="00FB4F76"/>
    <w:rsid w:val="00FB6EAB"/>
    <w:rsid w:val="00FC0623"/>
    <w:rsid w:val="00FC1972"/>
    <w:rsid w:val="00FC2EC9"/>
    <w:rsid w:val="00FC4ACB"/>
    <w:rsid w:val="00FC52BF"/>
    <w:rsid w:val="00FC70CA"/>
    <w:rsid w:val="00FC7A7C"/>
    <w:rsid w:val="00FD08F5"/>
    <w:rsid w:val="00FD0FA4"/>
    <w:rsid w:val="00FD2472"/>
    <w:rsid w:val="00FD318F"/>
    <w:rsid w:val="00FD37A0"/>
    <w:rsid w:val="00FE0459"/>
    <w:rsid w:val="00FE631C"/>
    <w:rsid w:val="00FF0784"/>
    <w:rsid w:val="00FF0789"/>
    <w:rsid w:val="00FF0A9E"/>
    <w:rsid w:val="00FF1407"/>
    <w:rsid w:val="00FF1853"/>
    <w:rsid w:val="00FF2AB4"/>
    <w:rsid w:val="00FF2F70"/>
    <w:rsid w:val="00FF4D27"/>
    <w:rsid w:val="06EC265E"/>
    <w:rsid w:val="120C56E2"/>
    <w:rsid w:val="14590DD8"/>
    <w:rsid w:val="17C738F1"/>
    <w:rsid w:val="1DA99D33"/>
    <w:rsid w:val="2B347591"/>
    <w:rsid w:val="333D54C2"/>
    <w:rsid w:val="369855BB"/>
    <w:rsid w:val="3EF2C88C"/>
    <w:rsid w:val="3F4A2566"/>
    <w:rsid w:val="5325C3A3"/>
    <w:rsid w:val="620EB17E"/>
    <w:rsid w:val="6274063F"/>
    <w:rsid w:val="714B031E"/>
    <w:rsid w:val="76B8AC51"/>
    <w:rsid w:val="7999DD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CC1BB"/>
  <w15:docId w15:val="{629D5F06-D8F3-47DE-BC61-469C8C12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2AD"/>
    <w:pPr>
      <w:spacing w:line="250" w:lineRule="exact"/>
    </w:pPr>
    <w:rPr>
      <w:rFonts w:cs="Times New Roman"/>
      <w:sz w:val="21"/>
      <w:szCs w:val="21"/>
      <w:lang w:eastAsia="en-AU"/>
    </w:rPr>
  </w:style>
  <w:style w:type="paragraph" w:styleId="Heading1">
    <w:name w:val="heading 1"/>
    <w:next w:val="Heading2"/>
    <w:link w:val="Heading1Char"/>
    <w:uiPriority w:val="9"/>
    <w:qFormat/>
    <w:rsid w:val="005115E8"/>
    <w:pPr>
      <w:keepNext/>
      <w:suppressAutoHyphens/>
      <w:spacing w:before="360" w:after="120" w:line="440" w:lineRule="exact"/>
      <w:outlineLvl w:val="0"/>
    </w:pPr>
    <w:rPr>
      <w:rFonts w:eastAsiaTheme="majorEastAsia" w:cstheme="majorBidi"/>
      <w:bCs/>
      <w:caps/>
      <w:color w:val="482D8C" w:themeColor="background2"/>
      <w:spacing w:val="-20"/>
      <w:kern w:val="36"/>
      <w:sz w:val="44"/>
      <w:szCs w:val="48"/>
      <w:lang w:eastAsia="en-AU"/>
    </w:rPr>
  </w:style>
  <w:style w:type="paragraph" w:styleId="Heading2">
    <w:name w:val="heading 2"/>
    <w:basedOn w:val="Normal"/>
    <w:next w:val="Heading3"/>
    <w:link w:val="Heading2Char"/>
    <w:uiPriority w:val="9"/>
    <w:unhideWhenUsed/>
    <w:qFormat/>
    <w:rsid w:val="00E666BB"/>
    <w:pPr>
      <w:keepNext/>
      <w:suppressAutoHyphens/>
      <w:spacing w:before="240" w:after="60" w:line="300" w:lineRule="exact"/>
      <w:outlineLvl w:val="1"/>
    </w:pPr>
    <w:rPr>
      <w:b/>
      <w:color w:val="AB4399"/>
      <w:sz w:val="38"/>
      <w:szCs w:val="36"/>
    </w:rPr>
  </w:style>
  <w:style w:type="paragraph" w:styleId="Heading3">
    <w:name w:val="heading 3"/>
    <w:basedOn w:val="Normal"/>
    <w:next w:val="Normal"/>
    <w:link w:val="Heading3Char"/>
    <w:uiPriority w:val="9"/>
    <w:unhideWhenUsed/>
    <w:qFormat/>
    <w:rsid w:val="005115E8"/>
    <w:pPr>
      <w:keepNext/>
      <w:suppressAutoHyphens/>
      <w:spacing w:before="200" w:after="60" w:line="240" w:lineRule="exact"/>
      <w:outlineLvl w:val="2"/>
    </w:pPr>
    <w:rPr>
      <w:b/>
      <w:sz w:val="32"/>
      <w:szCs w:val="28"/>
    </w:rPr>
  </w:style>
  <w:style w:type="paragraph" w:styleId="Heading4">
    <w:name w:val="heading 4"/>
    <w:basedOn w:val="Normal"/>
    <w:link w:val="Heading4Char"/>
    <w:uiPriority w:val="9"/>
    <w:unhideWhenUsed/>
    <w:qFormat/>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iPriority w:val="9"/>
    <w:unhideWhenUsed/>
    <w:qFormat/>
    <w:rsid w:val="00731AE2"/>
    <w:pPr>
      <w:keepNext/>
      <w:keepLines/>
      <w:spacing w:before="40" w:after="0"/>
      <w:outlineLvl w:val="4"/>
    </w:pPr>
    <w:rPr>
      <w:rFonts w:asciiTheme="majorHAnsi" w:eastAsiaTheme="majorEastAsia" w:hAnsiTheme="majorHAnsi" w:cstheme="majorBidi"/>
      <w:color w:val="2525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E8"/>
    <w:rPr>
      <w:rFonts w:eastAsiaTheme="majorEastAsia" w:cstheme="majorBidi"/>
      <w:bCs/>
      <w:caps/>
      <w:color w:val="482D8C" w:themeColor="background2"/>
      <w:spacing w:val="-20"/>
      <w:kern w:val="36"/>
      <w:sz w:val="44"/>
      <w:szCs w:val="48"/>
      <w:lang w:eastAsia="en-AU"/>
    </w:rPr>
  </w:style>
  <w:style w:type="character" w:customStyle="1" w:styleId="Heading2Char">
    <w:name w:val="Heading 2 Char"/>
    <w:basedOn w:val="DefaultParagraphFont"/>
    <w:link w:val="Heading2"/>
    <w:uiPriority w:val="9"/>
    <w:rsid w:val="00E666BB"/>
    <w:rPr>
      <w:rFonts w:cs="Times New Roman"/>
      <w:b/>
      <w:color w:val="AB4399"/>
      <w:sz w:val="38"/>
      <w:szCs w:val="36"/>
      <w:lang w:eastAsia="en-AU"/>
    </w:rPr>
  </w:style>
  <w:style w:type="character" w:customStyle="1" w:styleId="Heading3Char">
    <w:name w:val="Heading 3 Char"/>
    <w:basedOn w:val="DefaultParagraphFont"/>
    <w:link w:val="Heading3"/>
    <w:uiPriority w:val="9"/>
    <w:rsid w:val="005115E8"/>
    <w:rPr>
      <w:rFonts w:cs="Times New Roman"/>
      <w:b/>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7B3F0E"/>
    <w:pPr>
      <w:keepNext/>
      <w:tabs>
        <w:tab w:val="right" w:leader="dot" w:pos="9060"/>
      </w:tabs>
      <w:spacing w:before="360" w:after="120" w:line="440" w:lineRule="exact"/>
    </w:pPr>
    <w:rPr>
      <w:b/>
      <w:caps/>
      <w:noProof/>
      <w:color w:val="482D8C" w:themeColor="background2"/>
      <w:sz w:val="32"/>
      <w:szCs w:val="40"/>
    </w:rPr>
  </w:style>
  <w:style w:type="paragraph" w:styleId="TOC2">
    <w:name w:val="toc 2"/>
    <w:basedOn w:val="Normal"/>
    <w:autoRedefine/>
    <w:uiPriority w:val="39"/>
    <w:unhideWhenUsed/>
    <w:rsid w:val="007B3F0E"/>
    <w:pPr>
      <w:keepNext/>
      <w:tabs>
        <w:tab w:val="right" w:leader="dot" w:pos="9060"/>
      </w:tabs>
      <w:spacing w:before="200" w:after="120" w:line="320" w:lineRule="exact"/>
      <w:ind w:left="210"/>
    </w:pPr>
    <w:rPr>
      <w:noProof/>
      <w:color w:val="AB4399"/>
      <w:sz w:val="28"/>
      <w:szCs w:val="32"/>
    </w:rPr>
  </w:style>
  <w:style w:type="paragraph" w:styleId="TOC3">
    <w:name w:val="toc 3"/>
    <w:basedOn w:val="Normal"/>
    <w:autoRedefine/>
    <w:uiPriority w:val="39"/>
    <w:unhideWhenUsed/>
    <w:rsid w:val="005115E8"/>
    <w:pPr>
      <w:keepNext/>
      <w:spacing w:before="200" w:after="120" w:line="240" w:lineRule="exact"/>
      <w:ind w:left="420"/>
    </w:pPr>
    <w:rPr>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5"/>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aliases w:val="UDP Grid,Advisian new 5,E&amp;P Style 5,E&amp;P Table Style 4"/>
    <w:basedOn w:val="TableNormal"/>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0446A5"/>
    <w:rPr>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aliases w:val="bullet1,bullet 1,MA Bullet 1,Alt.,Bullet for no #'s,Bullet for no ...,body Char Char,body Char Char Char5,body Char Char Char Char,body Char Char Char Char Char Char Char Char,body Char Char Char Char Char Char Char,B1,b Char Char2,b1,Bullet"/>
    <w:basedOn w:val="Normal"/>
    <w:link w:val="Bullet1Char"/>
    <w:uiPriority w:val="2"/>
    <w:qFormat/>
    <w:rsid w:val="00F53D3C"/>
    <w:pPr>
      <w:numPr>
        <w:numId w:val="1"/>
      </w:numPr>
      <w:spacing w:after="60" w:line="240" w:lineRule="auto"/>
      <w:ind w:left="357" w:hanging="357"/>
    </w:pPr>
    <w:rPr>
      <w:rFonts w:eastAsia="Times New Roman"/>
      <w:sz w:val="22"/>
      <w:szCs w:val="20"/>
      <w:lang w:eastAsia="en-US"/>
    </w:rPr>
  </w:style>
  <w:style w:type="character" w:customStyle="1" w:styleId="Bullet1Char">
    <w:name w:val="Bullet 1 Char"/>
    <w:basedOn w:val="DefaultParagraphFont"/>
    <w:link w:val="Bullet1"/>
    <w:uiPriority w:val="2"/>
    <w:rsid w:val="00F53D3C"/>
    <w:rPr>
      <w:rFonts w:eastAsia="Times New Roman" w:cs="Times New Roman"/>
      <w:szCs w:val="20"/>
    </w:rPr>
  </w:style>
  <w:style w:type="paragraph" w:customStyle="1" w:styleId="Bullet2">
    <w:name w:val="Bullet 2"/>
    <w:basedOn w:val="Bullet1"/>
    <w:link w:val="Bullet2Char"/>
    <w:uiPriority w:val="2"/>
    <w:qFormat/>
    <w:rsid w:val="002A5458"/>
    <w:pPr>
      <w:numPr>
        <w:numId w:val="2"/>
      </w:numPr>
      <w:ind w:left="630" w:hanging="273"/>
    </w:pPr>
  </w:style>
  <w:style w:type="character" w:customStyle="1" w:styleId="Bullet2Char">
    <w:name w:val="Bullet 2 Char"/>
    <w:basedOn w:val="Bullet1Char"/>
    <w:link w:val="Bullet2"/>
    <w:uiPriority w:val="2"/>
    <w:rsid w:val="002A5458"/>
    <w:rPr>
      <w:rFonts w:eastAsia="Times New Roman" w:cs="Times New Roman"/>
      <w:szCs w:val="20"/>
    </w:rPr>
  </w:style>
  <w:style w:type="paragraph" w:customStyle="1" w:styleId="Bullet3">
    <w:name w:val="Bullet 3"/>
    <w:basedOn w:val="Bullet2"/>
    <w:uiPriority w:val="2"/>
    <w:qFormat/>
    <w:rsid w:val="002A5458"/>
    <w:pPr>
      <w:numPr>
        <w:numId w:val="3"/>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qFormat/>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6"/>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 w:type="character" w:styleId="UnresolvedMention">
    <w:name w:val="Unresolved Mention"/>
    <w:basedOn w:val="DefaultParagraphFont"/>
    <w:uiPriority w:val="99"/>
    <w:unhideWhenUsed/>
    <w:rsid w:val="008A1F2E"/>
    <w:rPr>
      <w:color w:val="605E5C"/>
      <w:shd w:val="clear" w:color="auto" w:fill="E1DFDD"/>
    </w:rPr>
  </w:style>
  <w:style w:type="character" w:styleId="FollowedHyperlink">
    <w:name w:val="FollowedHyperlink"/>
    <w:basedOn w:val="DefaultParagraphFont"/>
    <w:uiPriority w:val="99"/>
    <w:semiHidden/>
    <w:unhideWhenUsed/>
    <w:rsid w:val="0045175D"/>
    <w:rPr>
      <w:color w:val="7F7F7F" w:themeColor="followedHyperlink"/>
      <w:u w:val="single"/>
    </w:rPr>
  </w:style>
  <w:style w:type="character" w:styleId="CommentReference">
    <w:name w:val="annotation reference"/>
    <w:basedOn w:val="DefaultParagraphFont"/>
    <w:uiPriority w:val="99"/>
    <w:semiHidden/>
    <w:unhideWhenUsed/>
    <w:rsid w:val="00EF597A"/>
    <w:rPr>
      <w:sz w:val="16"/>
      <w:szCs w:val="16"/>
    </w:rPr>
  </w:style>
  <w:style w:type="paragraph" w:styleId="CommentText">
    <w:name w:val="annotation text"/>
    <w:basedOn w:val="Normal"/>
    <w:link w:val="CommentTextChar"/>
    <w:uiPriority w:val="99"/>
    <w:semiHidden/>
    <w:unhideWhenUsed/>
    <w:rsid w:val="00EF597A"/>
    <w:pPr>
      <w:spacing w:line="240" w:lineRule="auto"/>
    </w:pPr>
    <w:rPr>
      <w:sz w:val="20"/>
      <w:szCs w:val="20"/>
    </w:rPr>
  </w:style>
  <w:style w:type="character" w:customStyle="1" w:styleId="CommentTextChar">
    <w:name w:val="Comment Text Char"/>
    <w:basedOn w:val="DefaultParagraphFont"/>
    <w:link w:val="CommentText"/>
    <w:uiPriority w:val="99"/>
    <w:semiHidden/>
    <w:rsid w:val="00EF597A"/>
    <w:rPr>
      <w:rFont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F597A"/>
    <w:rPr>
      <w:b/>
      <w:bCs/>
    </w:rPr>
  </w:style>
  <w:style w:type="character" w:customStyle="1" w:styleId="CommentSubjectChar">
    <w:name w:val="Comment Subject Char"/>
    <w:basedOn w:val="CommentTextChar"/>
    <w:link w:val="CommentSubject"/>
    <w:uiPriority w:val="99"/>
    <w:semiHidden/>
    <w:rsid w:val="00EF597A"/>
    <w:rPr>
      <w:rFonts w:cs="Times New Roman"/>
      <w:b/>
      <w:bCs/>
      <w:sz w:val="20"/>
      <w:szCs w:val="20"/>
      <w:lang w:eastAsia="en-AU"/>
    </w:rPr>
  </w:style>
  <w:style w:type="paragraph" w:styleId="FootnoteText">
    <w:name w:val="footnote text"/>
    <w:basedOn w:val="Normal"/>
    <w:link w:val="FootnoteTextChar"/>
    <w:uiPriority w:val="99"/>
    <w:semiHidden/>
    <w:unhideWhenUsed/>
    <w:rsid w:val="00BC75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751F"/>
    <w:rPr>
      <w:rFonts w:cs="Times New Roman"/>
      <w:sz w:val="20"/>
      <w:szCs w:val="20"/>
      <w:lang w:eastAsia="en-AU"/>
    </w:rPr>
  </w:style>
  <w:style w:type="character" w:styleId="FootnoteReference">
    <w:name w:val="footnote reference"/>
    <w:basedOn w:val="DefaultParagraphFont"/>
    <w:uiPriority w:val="99"/>
    <w:semiHidden/>
    <w:unhideWhenUsed/>
    <w:rsid w:val="00BC751F"/>
    <w:rPr>
      <w:vertAlign w:val="superscript"/>
    </w:rPr>
  </w:style>
  <w:style w:type="table" w:styleId="GridTable2-Accent3">
    <w:name w:val="Grid Table 2 Accent 3"/>
    <w:basedOn w:val="TableNormal"/>
    <w:uiPriority w:val="47"/>
    <w:rsid w:val="001025D3"/>
    <w:pPr>
      <w:spacing w:after="0" w:line="240" w:lineRule="auto"/>
    </w:pPr>
    <w:tblPr>
      <w:tblStyleRowBandSize w:val="1"/>
      <w:tblStyleColBandSize w:val="1"/>
      <w:tblBorders>
        <w:top w:val="single" w:sz="2" w:space="0" w:color="D189C4" w:themeColor="accent3" w:themeTint="99"/>
        <w:bottom w:val="single" w:sz="2" w:space="0" w:color="D189C4" w:themeColor="accent3" w:themeTint="99"/>
        <w:insideH w:val="single" w:sz="2" w:space="0" w:color="D189C4" w:themeColor="accent3" w:themeTint="99"/>
        <w:insideV w:val="single" w:sz="2" w:space="0" w:color="D189C4" w:themeColor="accent3" w:themeTint="99"/>
      </w:tblBorders>
    </w:tblPr>
    <w:tblStylePr w:type="firstRow">
      <w:rPr>
        <w:b/>
        <w:bCs/>
      </w:rPr>
      <w:tblPr/>
      <w:tcPr>
        <w:tcBorders>
          <w:top w:val="nil"/>
          <w:bottom w:val="single" w:sz="12" w:space="0" w:color="D189C4" w:themeColor="accent3" w:themeTint="99"/>
          <w:insideH w:val="nil"/>
          <w:insideV w:val="nil"/>
        </w:tcBorders>
        <w:shd w:val="clear" w:color="auto" w:fill="FFFFFF" w:themeFill="background1"/>
      </w:tcPr>
    </w:tblStylePr>
    <w:tblStylePr w:type="lastRow">
      <w:rPr>
        <w:b/>
        <w:bCs/>
      </w:rPr>
      <w:tblPr/>
      <w:tcPr>
        <w:tcBorders>
          <w:top w:val="double" w:sz="2" w:space="0" w:color="D189C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7EB" w:themeFill="accent3" w:themeFillTint="33"/>
      </w:tcPr>
    </w:tblStylePr>
    <w:tblStylePr w:type="band1Horz">
      <w:tblPr/>
      <w:tcPr>
        <w:shd w:val="clear" w:color="auto" w:fill="EFD7EB" w:themeFill="accent3" w:themeFillTint="33"/>
      </w:tcPr>
    </w:tblStylePr>
  </w:style>
  <w:style w:type="paragraph" w:customStyle="1" w:styleId="NormalIndent5mm">
    <w:name w:val="Normal Indent 5mm"/>
    <w:basedOn w:val="Normal"/>
    <w:qFormat/>
    <w:rsid w:val="001025D3"/>
    <w:pPr>
      <w:suppressAutoHyphens/>
      <w:spacing w:before="120" w:after="60" w:line="260" w:lineRule="atLeast"/>
      <w:ind w:left="284"/>
    </w:pPr>
    <w:rPr>
      <w:rFonts w:ascii="Work Sans Light" w:hAnsi="Work Sans Light" w:cstheme="minorBidi"/>
      <w:color w:val="000000" w:themeColor="text1"/>
      <w:sz w:val="20"/>
      <w:szCs w:val="20"/>
      <w:lang w:eastAsia="en-US"/>
    </w:rPr>
  </w:style>
  <w:style w:type="numbering" w:customStyle="1" w:styleId="DefaultBullets">
    <w:name w:val="Default Bullets"/>
    <w:uiPriority w:val="99"/>
    <w:rsid w:val="001025D3"/>
    <w:pPr>
      <w:numPr>
        <w:numId w:val="7"/>
      </w:numPr>
    </w:pPr>
  </w:style>
  <w:style w:type="paragraph" w:customStyle="1" w:styleId="BodyText0">
    <w:name w:val="_BodyText"/>
    <w:basedOn w:val="Normal"/>
    <w:link w:val="BodyTextChar0"/>
    <w:qFormat/>
    <w:rsid w:val="001025D3"/>
    <w:pPr>
      <w:spacing w:before="240" w:after="180" w:line="240" w:lineRule="auto"/>
      <w:ind w:right="57"/>
      <w:jc w:val="both"/>
    </w:pPr>
    <w:rPr>
      <w:rFonts w:ascii="Calibri" w:eastAsia="Times New Roman" w:hAnsi="Calibri"/>
      <w:sz w:val="22"/>
      <w:szCs w:val="24"/>
      <w:lang w:eastAsia="en-US"/>
    </w:rPr>
  </w:style>
  <w:style w:type="character" w:customStyle="1" w:styleId="BodyTextChar0">
    <w:name w:val="_BodyText Char"/>
    <w:link w:val="BodyText0"/>
    <w:rsid w:val="001025D3"/>
    <w:rPr>
      <w:rFonts w:ascii="Calibri" w:eastAsia="Times New Roman" w:hAnsi="Calibri" w:cs="Times New Roman"/>
      <w:szCs w:val="24"/>
    </w:rPr>
  </w:style>
  <w:style w:type="table" w:styleId="GridTable2-Accent4">
    <w:name w:val="Grid Table 2 Accent 4"/>
    <w:basedOn w:val="TableNormal"/>
    <w:uiPriority w:val="47"/>
    <w:rsid w:val="00C0015F"/>
    <w:pPr>
      <w:spacing w:after="0" w:line="240" w:lineRule="auto"/>
    </w:pPr>
    <w:tblPr>
      <w:tblStyleRowBandSize w:val="1"/>
      <w:tblStyleColBandSize w:val="1"/>
      <w:tblBorders>
        <w:top w:val="single" w:sz="2" w:space="0" w:color="7270D0" w:themeColor="accent4" w:themeTint="99"/>
        <w:bottom w:val="single" w:sz="2" w:space="0" w:color="7270D0" w:themeColor="accent4" w:themeTint="99"/>
        <w:insideH w:val="single" w:sz="2" w:space="0" w:color="7270D0" w:themeColor="accent4" w:themeTint="99"/>
        <w:insideV w:val="single" w:sz="2" w:space="0" w:color="7270D0" w:themeColor="accent4" w:themeTint="99"/>
      </w:tblBorders>
    </w:tblPr>
    <w:tblStylePr w:type="firstRow">
      <w:rPr>
        <w:b/>
        <w:bCs/>
      </w:rPr>
      <w:tblPr/>
      <w:tcPr>
        <w:tcBorders>
          <w:top w:val="nil"/>
          <w:bottom w:val="single" w:sz="12" w:space="0" w:color="7270D0" w:themeColor="accent4" w:themeTint="99"/>
          <w:insideH w:val="nil"/>
          <w:insideV w:val="nil"/>
        </w:tcBorders>
        <w:shd w:val="clear" w:color="auto" w:fill="FFFFFF" w:themeFill="background1"/>
      </w:tcPr>
    </w:tblStylePr>
    <w:tblStylePr w:type="lastRow">
      <w:rPr>
        <w:b/>
        <w:bCs/>
      </w:rPr>
      <w:tblPr/>
      <w:tcPr>
        <w:tcBorders>
          <w:top w:val="double" w:sz="2" w:space="0" w:color="727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CFEF" w:themeFill="accent4" w:themeFillTint="33"/>
      </w:tcPr>
    </w:tblStylePr>
    <w:tblStylePr w:type="band1Horz">
      <w:tblPr/>
      <w:tcPr>
        <w:shd w:val="clear" w:color="auto" w:fill="D0CFEF" w:themeFill="accent4" w:themeFillTint="33"/>
      </w:tcPr>
    </w:tblStylePr>
  </w:style>
  <w:style w:type="table" w:styleId="GridTable1Light-Accent3">
    <w:name w:val="Grid Table 1 Light Accent 3"/>
    <w:basedOn w:val="TableNormal"/>
    <w:uiPriority w:val="46"/>
    <w:rsid w:val="00C0015F"/>
    <w:pPr>
      <w:spacing w:after="0" w:line="240" w:lineRule="auto"/>
    </w:pPr>
    <w:tblPr>
      <w:tblStyleRowBandSize w:val="1"/>
      <w:tblStyleColBandSize w:val="1"/>
      <w:tblBorders>
        <w:top w:val="single" w:sz="4" w:space="0" w:color="E0B0D7" w:themeColor="accent3" w:themeTint="66"/>
        <w:left w:val="single" w:sz="4" w:space="0" w:color="E0B0D7" w:themeColor="accent3" w:themeTint="66"/>
        <w:bottom w:val="single" w:sz="4" w:space="0" w:color="E0B0D7" w:themeColor="accent3" w:themeTint="66"/>
        <w:right w:val="single" w:sz="4" w:space="0" w:color="E0B0D7" w:themeColor="accent3" w:themeTint="66"/>
        <w:insideH w:val="single" w:sz="4" w:space="0" w:color="E0B0D7" w:themeColor="accent3" w:themeTint="66"/>
        <w:insideV w:val="single" w:sz="4" w:space="0" w:color="E0B0D7" w:themeColor="accent3" w:themeTint="66"/>
      </w:tblBorders>
    </w:tblPr>
    <w:tblStylePr w:type="firstRow">
      <w:rPr>
        <w:b/>
        <w:bCs/>
      </w:rPr>
      <w:tblPr/>
      <w:tcPr>
        <w:tcBorders>
          <w:bottom w:val="single" w:sz="12" w:space="0" w:color="D189C4" w:themeColor="accent3" w:themeTint="99"/>
        </w:tcBorders>
      </w:tcPr>
    </w:tblStylePr>
    <w:tblStylePr w:type="lastRow">
      <w:rPr>
        <w:b/>
        <w:bCs/>
      </w:rPr>
      <w:tblPr/>
      <w:tcPr>
        <w:tcBorders>
          <w:top w:val="double" w:sz="2" w:space="0" w:color="D189C4" w:themeColor="accent3"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C0015F"/>
    <w:pPr>
      <w:spacing w:after="0" w:line="240" w:lineRule="auto"/>
    </w:pPr>
    <w:tblPr>
      <w:tblStyleRowBandSize w:val="1"/>
      <w:tblStyleColBandSize w:val="1"/>
      <w:tblBorders>
        <w:top w:val="single" w:sz="4" w:space="0" w:color="D189C4" w:themeColor="accent3" w:themeTint="99"/>
        <w:left w:val="single" w:sz="4" w:space="0" w:color="D189C4" w:themeColor="accent3" w:themeTint="99"/>
        <w:bottom w:val="single" w:sz="4" w:space="0" w:color="D189C4" w:themeColor="accent3" w:themeTint="99"/>
        <w:right w:val="single" w:sz="4" w:space="0" w:color="D189C4" w:themeColor="accent3" w:themeTint="99"/>
        <w:insideH w:val="single" w:sz="4" w:space="0" w:color="D189C4" w:themeColor="accent3" w:themeTint="99"/>
        <w:insideV w:val="single" w:sz="4" w:space="0" w:color="D189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7EB" w:themeFill="accent3" w:themeFillTint="33"/>
      </w:tcPr>
    </w:tblStylePr>
    <w:tblStylePr w:type="band1Horz">
      <w:tblPr/>
      <w:tcPr>
        <w:shd w:val="clear" w:color="auto" w:fill="EFD7EB" w:themeFill="accent3" w:themeFillTint="33"/>
      </w:tcPr>
    </w:tblStylePr>
    <w:tblStylePr w:type="neCell">
      <w:tblPr/>
      <w:tcPr>
        <w:tcBorders>
          <w:bottom w:val="single" w:sz="4" w:space="0" w:color="D189C4" w:themeColor="accent3" w:themeTint="99"/>
        </w:tcBorders>
      </w:tcPr>
    </w:tblStylePr>
    <w:tblStylePr w:type="nwCell">
      <w:tblPr/>
      <w:tcPr>
        <w:tcBorders>
          <w:bottom w:val="single" w:sz="4" w:space="0" w:color="D189C4" w:themeColor="accent3" w:themeTint="99"/>
        </w:tcBorders>
      </w:tcPr>
    </w:tblStylePr>
    <w:tblStylePr w:type="seCell">
      <w:tblPr/>
      <w:tcPr>
        <w:tcBorders>
          <w:top w:val="single" w:sz="4" w:space="0" w:color="D189C4" w:themeColor="accent3" w:themeTint="99"/>
        </w:tcBorders>
      </w:tcPr>
    </w:tblStylePr>
    <w:tblStylePr w:type="swCell">
      <w:tblPr/>
      <w:tcPr>
        <w:tcBorders>
          <w:top w:val="single" w:sz="4" w:space="0" w:color="D189C4" w:themeColor="accent3" w:themeTint="99"/>
        </w:tcBorders>
      </w:tcPr>
    </w:tblStylePr>
  </w:style>
  <w:style w:type="table" w:styleId="GridTable4-Accent3">
    <w:name w:val="Grid Table 4 Accent 3"/>
    <w:basedOn w:val="TableNormal"/>
    <w:uiPriority w:val="49"/>
    <w:rsid w:val="00C0015F"/>
    <w:pPr>
      <w:spacing w:after="0" w:line="240" w:lineRule="auto"/>
    </w:pPr>
    <w:tblPr>
      <w:tblStyleRowBandSize w:val="1"/>
      <w:tblStyleColBandSize w:val="1"/>
      <w:tblBorders>
        <w:top w:val="single" w:sz="4" w:space="0" w:color="D189C4" w:themeColor="accent3" w:themeTint="99"/>
        <w:left w:val="single" w:sz="4" w:space="0" w:color="D189C4" w:themeColor="accent3" w:themeTint="99"/>
        <w:bottom w:val="single" w:sz="4" w:space="0" w:color="D189C4" w:themeColor="accent3" w:themeTint="99"/>
        <w:right w:val="single" w:sz="4" w:space="0" w:color="D189C4" w:themeColor="accent3" w:themeTint="99"/>
        <w:insideH w:val="single" w:sz="4" w:space="0" w:color="D189C4" w:themeColor="accent3" w:themeTint="99"/>
        <w:insideV w:val="single" w:sz="4" w:space="0" w:color="D189C4" w:themeColor="accent3" w:themeTint="99"/>
      </w:tblBorders>
    </w:tblPr>
    <w:tblStylePr w:type="firstRow">
      <w:rPr>
        <w:b/>
        <w:bCs/>
        <w:color w:val="FFFFFF" w:themeColor="background1"/>
      </w:rPr>
      <w:tblPr/>
      <w:tcPr>
        <w:tcBorders>
          <w:top w:val="single" w:sz="4" w:space="0" w:color="AB4399" w:themeColor="accent3"/>
          <w:left w:val="single" w:sz="4" w:space="0" w:color="AB4399" w:themeColor="accent3"/>
          <w:bottom w:val="single" w:sz="4" w:space="0" w:color="AB4399" w:themeColor="accent3"/>
          <w:right w:val="single" w:sz="4" w:space="0" w:color="AB4399" w:themeColor="accent3"/>
          <w:insideH w:val="nil"/>
          <w:insideV w:val="nil"/>
        </w:tcBorders>
        <w:shd w:val="clear" w:color="auto" w:fill="AB4399" w:themeFill="accent3"/>
      </w:tcPr>
    </w:tblStylePr>
    <w:tblStylePr w:type="lastRow">
      <w:rPr>
        <w:b/>
        <w:bCs/>
      </w:rPr>
      <w:tblPr/>
      <w:tcPr>
        <w:tcBorders>
          <w:top w:val="double" w:sz="4" w:space="0" w:color="AB4399" w:themeColor="accent3"/>
        </w:tcBorders>
      </w:tcPr>
    </w:tblStylePr>
    <w:tblStylePr w:type="firstCol">
      <w:rPr>
        <w:b/>
        <w:bCs/>
      </w:rPr>
    </w:tblStylePr>
    <w:tblStylePr w:type="lastCol">
      <w:rPr>
        <w:b/>
        <w:bCs/>
      </w:rPr>
    </w:tblStylePr>
    <w:tblStylePr w:type="band1Vert">
      <w:tblPr/>
      <w:tcPr>
        <w:shd w:val="clear" w:color="auto" w:fill="EFD7EB" w:themeFill="accent3" w:themeFillTint="33"/>
      </w:tcPr>
    </w:tblStylePr>
    <w:tblStylePr w:type="band1Horz">
      <w:tblPr/>
      <w:tcPr>
        <w:shd w:val="clear" w:color="auto" w:fill="EFD7EB" w:themeFill="accent3" w:themeFillTint="33"/>
      </w:tcPr>
    </w:tblStylePr>
  </w:style>
  <w:style w:type="table" w:styleId="GridTable4-Accent2">
    <w:name w:val="Grid Table 4 Accent 2"/>
    <w:basedOn w:val="TableNormal"/>
    <w:uiPriority w:val="49"/>
    <w:rsid w:val="007C1C19"/>
    <w:pPr>
      <w:spacing w:after="0" w:line="240" w:lineRule="auto"/>
    </w:pPr>
    <w:tblPr>
      <w:tblStyleRowBandSize w:val="1"/>
      <w:tblStyleColBandSize w:val="1"/>
      <w:tblBorders>
        <w:top w:val="single" w:sz="4" w:space="0" w:color="BDBEB6" w:themeColor="accent2" w:themeTint="99"/>
        <w:left w:val="single" w:sz="4" w:space="0" w:color="BDBEB6" w:themeColor="accent2" w:themeTint="99"/>
        <w:bottom w:val="single" w:sz="4" w:space="0" w:color="BDBEB6" w:themeColor="accent2" w:themeTint="99"/>
        <w:right w:val="single" w:sz="4" w:space="0" w:color="BDBEB6" w:themeColor="accent2" w:themeTint="99"/>
        <w:insideH w:val="single" w:sz="4" w:space="0" w:color="BDBEB6" w:themeColor="accent2" w:themeTint="99"/>
        <w:insideV w:val="single" w:sz="4" w:space="0" w:color="BDBEB6" w:themeColor="accent2" w:themeTint="99"/>
      </w:tblBorders>
    </w:tblPr>
    <w:tblStylePr w:type="firstRow">
      <w:rPr>
        <w:b/>
        <w:bCs/>
        <w:color w:val="FFFFFF" w:themeColor="background1"/>
      </w:rPr>
      <w:tblPr/>
      <w:tcPr>
        <w:tcBorders>
          <w:top w:val="single" w:sz="4" w:space="0" w:color="929487" w:themeColor="accent2"/>
          <w:left w:val="single" w:sz="4" w:space="0" w:color="929487" w:themeColor="accent2"/>
          <w:bottom w:val="single" w:sz="4" w:space="0" w:color="929487" w:themeColor="accent2"/>
          <w:right w:val="single" w:sz="4" w:space="0" w:color="929487" w:themeColor="accent2"/>
          <w:insideH w:val="nil"/>
          <w:insideV w:val="nil"/>
        </w:tcBorders>
        <w:shd w:val="clear" w:color="auto" w:fill="929487" w:themeFill="accent2"/>
      </w:tcPr>
    </w:tblStylePr>
    <w:tblStylePr w:type="lastRow">
      <w:rPr>
        <w:b/>
        <w:bCs/>
      </w:rPr>
      <w:tblPr/>
      <w:tcPr>
        <w:tcBorders>
          <w:top w:val="double" w:sz="4" w:space="0" w:color="929487" w:themeColor="accent2"/>
        </w:tcBorders>
      </w:tcPr>
    </w:tblStylePr>
    <w:tblStylePr w:type="firstCol">
      <w:rPr>
        <w:b/>
        <w:bCs/>
      </w:rPr>
    </w:tblStylePr>
    <w:tblStylePr w:type="lastCol">
      <w:rPr>
        <w:b/>
        <w:bCs/>
      </w:rPr>
    </w:tblStylePr>
    <w:tblStylePr w:type="band1Vert">
      <w:tblPr/>
      <w:tcPr>
        <w:shd w:val="clear" w:color="auto" w:fill="E9E9E6" w:themeFill="accent2" w:themeFillTint="33"/>
      </w:tcPr>
    </w:tblStylePr>
    <w:tblStylePr w:type="band1Horz">
      <w:tblPr/>
      <w:tcPr>
        <w:shd w:val="clear" w:color="auto" w:fill="E9E9E6" w:themeFill="accent2" w:themeFillTint="33"/>
      </w:tcPr>
    </w:tblStylePr>
  </w:style>
  <w:style w:type="paragraph" w:styleId="NormalWeb">
    <w:name w:val="Normal (Web)"/>
    <w:basedOn w:val="Normal"/>
    <w:uiPriority w:val="99"/>
    <w:unhideWhenUsed/>
    <w:rsid w:val="00A311CE"/>
    <w:pPr>
      <w:spacing w:before="100" w:beforeAutospacing="1" w:after="100" w:afterAutospacing="1" w:line="240" w:lineRule="auto"/>
    </w:pPr>
    <w:rPr>
      <w:rFonts w:ascii="Times New Roman" w:eastAsia="Times New Roman" w:hAnsi="Times New Roman"/>
      <w:sz w:val="24"/>
      <w:szCs w:val="24"/>
    </w:rPr>
  </w:style>
  <w:style w:type="paragraph" w:customStyle="1" w:styleId="Heading1Numbered">
    <w:name w:val="Heading 1 Numbered"/>
    <w:basedOn w:val="Heading1"/>
    <w:uiPriority w:val="10"/>
    <w:qFormat/>
    <w:rsid w:val="00F15969"/>
    <w:pPr>
      <w:keepLines/>
      <w:pageBreakBefore/>
      <w:numPr>
        <w:numId w:val="9"/>
      </w:numPr>
      <w:spacing w:before="900" w:after="360" w:line="600" w:lineRule="atLeast"/>
      <w:ind w:left="851" w:hanging="851"/>
      <w:contextualSpacing/>
    </w:pPr>
    <w:rPr>
      <w:rFonts w:asciiTheme="majorHAnsi" w:hAnsiTheme="majorHAnsi"/>
      <w:bCs w:val="0"/>
      <w:caps w:val="0"/>
      <w:color w:val="323232" w:themeColor="accent1"/>
      <w:spacing w:val="0"/>
      <w:kern w:val="0"/>
      <w:sz w:val="50"/>
      <w:szCs w:val="32"/>
      <w:lang w:eastAsia="en-US"/>
    </w:rPr>
  </w:style>
  <w:style w:type="paragraph" w:customStyle="1" w:styleId="Heading2Numbered">
    <w:name w:val="Heading 2 Numbered"/>
    <w:basedOn w:val="Heading2"/>
    <w:uiPriority w:val="10"/>
    <w:qFormat/>
    <w:rsid w:val="00F15969"/>
    <w:pPr>
      <w:keepLines/>
      <w:numPr>
        <w:ilvl w:val="1"/>
        <w:numId w:val="9"/>
      </w:numPr>
      <w:spacing w:before="360" w:after="240" w:line="440" w:lineRule="atLeast"/>
      <w:ind w:left="1134" w:hanging="1134"/>
    </w:pPr>
    <w:rPr>
      <w:rFonts w:ascii="Work Sans Medium" w:eastAsiaTheme="majorEastAsia" w:hAnsi="Work Sans Medium" w:cstheme="majorBidi"/>
      <w:b w:val="0"/>
      <w:color w:val="00AEEF" w:themeColor="text2"/>
      <w:sz w:val="30"/>
      <w:szCs w:val="26"/>
      <w:lang w:eastAsia="en-US"/>
    </w:rPr>
  </w:style>
  <w:style w:type="paragraph" w:customStyle="1" w:styleId="Heading3Numbered">
    <w:name w:val="Heading 3 Numbered"/>
    <w:basedOn w:val="Heading3"/>
    <w:uiPriority w:val="10"/>
    <w:qFormat/>
    <w:rsid w:val="00F15969"/>
    <w:pPr>
      <w:keepLines/>
      <w:numPr>
        <w:ilvl w:val="2"/>
        <w:numId w:val="9"/>
      </w:numPr>
      <w:spacing w:before="240" w:after="120" w:line="300" w:lineRule="atLeast"/>
      <w:ind w:left="1134" w:hanging="1134"/>
    </w:pPr>
    <w:rPr>
      <w:rFonts w:eastAsiaTheme="majorEastAsia" w:cstheme="majorBidi"/>
      <w:b w:val="0"/>
      <w:color w:val="323232" w:themeColor="accent1"/>
      <w:sz w:val="24"/>
      <w:szCs w:val="24"/>
      <w:lang w:eastAsia="en-US"/>
    </w:rPr>
  </w:style>
  <w:style w:type="paragraph" w:customStyle="1" w:styleId="Heading4Numbered">
    <w:name w:val="Heading 4 Numbered"/>
    <w:basedOn w:val="Heading4"/>
    <w:uiPriority w:val="10"/>
    <w:unhideWhenUsed/>
    <w:qFormat/>
    <w:rsid w:val="00F15969"/>
    <w:pPr>
      <w:keepLines/>
      <w:numPr>
        <w:ilvl w:val="3"/>
        <w:numId w:val="9"/>
      </w:numPr>
      <w:suppressAutoHyphens/>
      <w:spacing w:before="240" w:after="120" w:line="260" w:lineRule="atLeast"/>
      <w:ind w:left="1418" w:hanging="1418"/>
    </w:pPr>
    <w:rPr>
      <w:rFonts w:ascii="Work Sans Medium" w:eastAsiaTheme="majorEastAsia" w:hAnsi="Work Sans Medium" w:cstheme="majorBidi"/>
      <w:b w:val="0"/>
      <w:bCs w:val="0"/>
      <w:iCs/>
      <w:color w:val="000000" w:themeColor="text1"/>
      <w:sz w:val="20"/>
      <w:szCs w:val="20"/>
      <w:lang w:eastAsia="en-US"/>
    </w:rPr>
  </w:style>
  <w:style w:type="numbering" w:customStyle="1" w:styleId="NumberedHeadings">
    <w:name w:val="Numbered Headings"/>
    <w:uiPriority w:val="99"/>
    <w:rsid w:val="00F15969"/>
    <w:pPr>
      <w:numPr>
        <w:numId w:val="9"/>
      </w:numPr>
    </w:pPr>
  </w:style>
  <w:style w:type="table" w:customStyle="1" w:styleId="DefaultTable1">
    <w:name w:val="Default Table 1"/>
    <w:basedOn w:val="GridTable5Dark-Accent1"/>
    <w:uiPriority w:val="99"/>
    <w:rsid w:val="00FF2AB4"/>
    <w:pPr>
      <w:spacing w:before="60" w:after="60" w:line="260" w:lineRule="atLeast"/>
    </w:pPr>
    <w:rPr>
      <w:color w:val="000000" w:themeColor="text1"/>
      <w:sz w:val="20"/>
      <w:szCs w:val="20"/>
      <w:lang w:eastAsia="en-AU"/>
    </w:rPr>
    <w:tblPr>
      <w:tblBorders>
        <w:top w:val="none" w:sz="0" w:space="0" w:color="auto"/>
        <w:left w:val="none" w:sz="0" w:space="0" w:color="auto"/>
        <w:bottom w:val="single" w:sz="4" w:space="0" w:color="00AEEF" w:themeColor="text2"/>
        <w:right w:val="none" w:sz="0" w:space="0" w:color="auto"/>
        <w:insideH w:val="single" w:sz="4" w:space="0" w:color="00AEEF" w:themeColor="text2"/>
        <w:insideV w:val="none" w:sz="0" w:space="0" w:color="auto"/>
      </w:tblBorders>
      <w:tblCellMar>
        <w:top w:w="57" w:type="dxa"/>
        <w:bottom w:w="57" w:type="dxa"/>
      </w:tblCellMar>
    </w:tblPr>
    <w:tcPr>
      <w:shd w:val="clear" w:color="auto" w:fill="auto"/>
    </w:tcPr>
    <w:tblStylePr w:type="firstRow">
      <w:pPr>
        <w:wordWrap/>
        <w:spacing w:beforeLines="0" w:before="60" w:beforeAutospacing="0" w:afterLines="0" w:after="60" w:afterAutospacing="0" w:line="240" w:lineRule="auto"/>
      </w:pPr>
      <w:rPr>
        <w:rFonts w:asciiTheme="minorHAnsi" w:hAnsiTheme="minorHAnsi"/>
        <w:b/>
        <w:bCs/>
        <w:caps w:val="0"/>
        <w:smallCaps w:val="0"/>
        <w:color w:val="FFFFFF" w:themeColor="background1"/>
        <w:sz w:val="18"/>
      </w:rPr>
      <w:tblPr/>
      <w:tcPr>
        <w:tcBorders>
          <w:top w:val="nil"/>
          <w:left w:val="nil"/>
          <w:bottom w:val="single" w:sz="4" w:space="0" w:color="00AEEF" w:themeColor="text2"/>
          <w:right w:val="nil"/>
          <w:insideH w:val="single" w:sz="4" w:space="0" w:color="00AEEF" w:themeColor="text2"/>
          <w:insideV w:val="nil"/>
        </w:tcBorders>
        <w:shd w:val="clear" w:color="auto" w:fill="323232" w:themeFill="accent1"/>
      </w:tcPr>
    </w:tblStylePr>
    <w:tblStylePr w:type="lastRow">
      <w:rPr>
        <w:b/>
        <w:bCs/>
        <w:color w:val="000000" w:themeColor="text1"/>
      </w:rPr>
      <w:tblPr/>
      <w:tcPr>
        <w:tcBorders>
          <w:top w:val="single" w:sz="4" w:space="0" w:color="00AEEF" w:themeColor="text2"/>
          <w:left w:val="nil"/>
          <w:bottom w:val="single" w:sz="4" w:space="0" w:color="00AEEF" w:themeColor="text2"/>
          <w:right w:val="nil"/>
          <w:insideH w:val="single" w:sz="4" w:space="0" w:color="00AEEF" w:themeColor="text2"/>
          <w:insideV w:val="nil"/>
        </w:tcBorders>
        <w:shd w:val="clear" w:color="auto" w:fill="BFBFBF" w:themeFill="background1" w:themeFillShade="BF"/>
      </w:tcPr>
    </w:tblStylePr>
    <w:tblStylePr w:type="firstCol">
      <w:rPr>
        <w:b/>
        <w:bCs/>
        <w:color w:val="000000" w:themeColor="text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accent1"/>
      </w:tcPr>
    </w:tblStylePr>
    <w:tblStylePr w:type="band1Vert">
      <w:tblPr/>
      <w:tcPr>
        <w:shd w:val="clear" w:color="auto" w:fill="FFFFFF" w:themeFill="background1"/>
      </w:tcPr>
    </w:tblStylePr>
    <w:tblStylePr w:type="band2Vert">
      <w:tblPr/>
      <w:tcPr>
        <w:shd w:val="clear" w:color="auto" w:fill="482D8C" w:themeFill="background2"/>
      </w:tcPr>
    </w:tblStylePr>
    <w:tblStylePr w:type="band1Horz">
      <w:tblPr/>
      <w:tcPr>
        <w:shd w:val="clear" w:color="auto" w:fill="FFFFFF" w:themeFill="background1"/>
      </w:tcPr>
    </w:tblStylePr>
    <w:tblStylePr w:type="band2Horz">
      <w:tblPr/>
      <w:tcPr>
        <w:shd w:val="clear" w:color="auto" w:fill="482D8C" w:themeFill="background2"/>
      </w:tcPr>
    </w:tblStylePr>
  </w:style>
  <w:style w:type="table" w:styleId="GridTable5Dark-Accent1">
    <w:name w:val="Grid Table 5 Dark Accent 1"/>
    <w:basedOn w:val="TableNormal"/>
    <w:uiPriority w:val="50"/>
    <w:rsid w:val="00FF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323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323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accent1"/>
      </w:tcPr>
    </w:tblStylePr>
    <w:tblStylePr w:type="band1Vert">
      <w:tblPr/>
      <w:tcPr>
        <w:shd w:val="clear" w:color="auto" w:fill="ADADAD" w:themeFill="accent1" w:themeFillTint="66"/>
      </w:tcPr>
    </w:tblStylePr>
    <w:tblStylePr w:type="band1Horz">
      <w:tblPr/>
      <w:tcPr>
        <w:shd w:val="clear" w:color="auto" w:fill="ADADAD" w:themeFill="accent1" w:themeFillTint="66"/>
      </w:tcPr>
    </w:tblStylePr>
  </w:style>
  <w:style w:type="table" w:styleId="GridTable5Dark-Accent2">
    <w:name w:val="Grid Table 5 Dark Accent 2"/>
    <w:basedOn w:val="TableNormal"/>
    <w:uiPriority w:val="50"/>
    <w:rsid w:val="00FF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94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94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94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9487" w:themeFill="accent2"/>
      </w:tcPr>
    </w:tblStylePr>
    <w:tblStylePr w:type="band1Vert">
      <w:tblPr/>
      <w:tcPr>
        <w:shd w:val="clear" w:color="auto" w:fill="D3D4CE" w:themeFill="accent2" w:themeFillTint="66"/>
      </w:tcPr>
    </w:tblStylePr>
    <w:tblStylePr w:type="band1Horz">
      <w:tblPr/>
      <w:tcPr>
        <w:shd w:val="clear" w:color="auto" w:fill="D3D4CE" w:themeFill="accent2" w:themeFillTint="66"/>
      </w:tcPr>
    </w:tblStylePr>
  </w:style>
  <w:style w:type="numbering" w:customStyle="1" w:styleId="FigureNumbers">
    <w:name w:val="Figure Numbers"/>
    <w:uiPriority w:val="99"/>
    <w:rsid w:val="00FF2AB4"/>
    <w:pPr>
      <w:numPr>
        <w:numId w:val="10"/>
      </w:numPr>
    </w:pPr>
  </w:style>
  <w:style w:type="paragraph" w:customStyle="1" w:styleId="FigureTitle">
    <w:name w:val="Figure Title"/>
    <w:basedOn w:val="Normal"/>
    <w:uiPriority w:val="12"/>
    <w:qFormat/>
    <w:rsid w:val="00FF2AB4"/>
    <w:pPr>
      <w:keepNext/>
      <w:numPr>
        <w:numId w:val="11"/>
      </w:numPr>
      <w:suppressAutoHyphens/>
      <w:spacing w:before="240" w:after="60" w:line="260" w:lineRule="atLeast"/>
    </w:pPr>
    <w:rPr>
      <w:rFonts w:ascii="Work Sans Light" w:hAnsi="Work Sans Light" w:cstheme="minorBidi"/>
      <w:color w:val="000000" w:themeColor="text1"/>
      <w:sz w:val="20"/>
      <w:szCs w:val="20"/>
      <w:lang w:eastAsia="en-US"/>
    </w:rPr>
  </w:style>
  <w:style w:type="table" w:styleId="TableGridLight">
    <w:name w:val="Grid Table Light"/>
    <w:basedOn w:val="TableNormal"/>
    <w:uiPriority w:val="40"/>
    <w:rsid w:val="00723F5F"/>
    <w:pPr>
      <w:spacing w:before="120" w:after="0" w:line="240" w:lineRule="auto"/>
    </w:pPr>
    <w:rPr>
      <w:color w:val="000000" w:themeColor="text1"/>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42C82"/>
    <w:pPr>
      <w:spacing w:after="0" w:line="240" w:lineRule="auto"/>
    </w:pPr>
    <w:rPr>
      <w:rFonts w:cs="Times New Roman"/>
      <w:sz w:val="21"/>
      <w:szCs w:val="21"/>
      <w:lang w:eastAsia="en-AU"/>
    </w:rPr>
  </w:style>
  <w:style w:type="character" w:styleId="Mention">
    <w:name w:val="Mention"/>
    <w:basedOn w:val="DefaultParagraphFont"/>
    <w:uiPriority w:val="99"/>
    <w:unhideWhenUsed/>
    <w:rsid w:val="00387F5E"/>
    <w:rPr>
      <w:color w:val="2B579A"/>
      <w:shd w:val="clear" w:color="auto" w:fill="E1DFDD"/>
    </w:rPr>
  </w:style>
  <w:style w:type="table" w:customStyle="1" w:styleId="EPTableStyle41">
    <w:name w:val="E&amp;P Table Style 41"/>
    <w:basedOn w:val="TableNormal"/>
    <w:next w:val="TableGrid"/>
    <w:rsid w:val="00AC6383"/>
    <w:pPr>
      <w:spacing w:before="60" w:after="60" w:line="264" w:lineRule="auto"/>
    </w:pPr>
    <w:rPr>
      <w:rFonts w:eastAsia="Times New Roman"/>
      <w:sz w:val="20"/>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efault">
    <w:name w:val="Default"/>
    <w:basedOn w:val="Normal"/>
    <w:rsid w:val="002F409A"/>
    <w:pPr>
      <w:autoSpaceDE w:val="0"/>
      <w:autoSpaceDN w:val="0"/>
      <w:spacing w:after="0" w:line="240" w:lineRule="auto"/>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3217">
      <w:bodyDiv w:val="1"/>
      <w:marLeft w:val="0"/>
      <w:marRight w:val="0"/>
      <w:marTop w:val="0"/>
      <w:marBottom w:val="0"/>
      <w:divBdr>
        <w:top w:val="none" w:sz="0" w:space="0" w:color="auto"/>
        <w:left w:val="none" w:sz="0" w:space="0" w:color="auto"/>
        <w:bottom w:val="none" w:sz="0" w:space="0" w:color="auto"/>
        <w:right w:val="none" w:sz="0" w:space="0" w:color="auto"/>
      </w:divBdr>
    </w:div>
    <w:div w:id="183056973">
      <w:bodyDiv w:val="1"/>
      <w:marLeft w:val="0"/>
      <w:marRight w:val="0"/>
      <w:marTop w:val="0"/>
      <w:marBottom w:val="0"/>
      <w:divBdr>
        <w:top w:val="none" w:sz="0" w:space="0" w:color="auto"/>
        <w:left w:val="none" w:sz="0" w:space="0" w:color="auto"/>
        <w:bottom w:val="none" w:sz="0" w:space="0" w:color="auto"/>
        <w:right w:val="none" w:sz="0" w:space="0" w:color="auto"/>
      </w:divBdr>
    </w:div>
    <w:div w:id="380256100">
      <w:bodyDiv w:val="1"/>
      <w:marLeft w:val="0"/>
      <w:marRight w:val="0"/>
      <w:marTop w:val="0"/>
      <w:marBottom w:val="0"/>
      <w:divBdr>
        <w:top w:val="none" w:sz="0" w:space="0" w:color="auto"/>
        <w:left w:val="none" w:sz="0" w:space="0" w:color="auto"/>
        <w:bottom w:val="none" w:sz="0" w:space="0" w:color="auto"/>
        <w:right w:val="none" w:sz="0" w:space="0" w:color="auto"/>
      </w:divBdr>
    </w:div>
    <w:div w:id="396394064">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548956664">
      <w:bodyDiv w:val="1"/>
      <w:marLeft w:val="0"/>
      <w:marRight w:val="0"/>
      <w:marTop w:val="0"/>
      <w:marBottom w:val="0"/>
      <w:divBdr>
        <w:top w:val="none" w:sz="0" w:space="0" w:color="auto"/>
        <w:left w:val="none" w:sz="0" w:space="0" w:color="auto"/>
        <w:bottom w:val="none" w:sz="0" w:space="0" w:color="auto"/>
        <w:right w:val="none" w:sz="0" w:space="0" w:color="auto"/>
      </w:divBdr>
    </w:div>
    <w:div w:id="156856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ommunityservices.act.gov.au/commissioning/sectors-in-progress/community-support" TargetMode="External"/><Relationship Id="rId3" Type="http://schemas.openxmlformats.org/officeDocument/2006/relationships/customXml" Target="../customXml/item3.xml"/><Relationship Id="rId21" Type="http://schemas.openxmlformats.org/officeDocument/2006/relationships/customXml" Target="ink/ink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health.act.gov.au/sites/default/files/2019-02/ACT%20Community%20Assistance%20and%20Support%20Program%20Directory.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ealth.act.gov.au/sites/default/files/2019-02/ACT%20Community%20Assistance%20and%20Support%20Program%20Directory.pdf" TargetMode="External"/><Relationship Id="rId20" Type="http://schemas.openxmlformats.org/officeDocument/2006/relationships/hyperlink" Target="https://www.communityservices.act.gov.au/commissioning/sectors-in-progress/community-suppor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nberrahealthservices.act.gov.au/services-and-clinics/services/act-equipment-loan-service-el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acthdisabilityandcommunity@act.gov.au" TargetMode="External"/><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7" Type="http://schemas.openxmlformats.org/officeDocument/2006/relationships/image" Target="media/image5.png"/><Relationship Id="rId30"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20eddey\Downloads\Publication-template-purple.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4T00:07:46.061"/>
    </inkml:context>
    <inkml:brush xml:id="br0">
      <inkml:brushProperty name="width" value="0.05" units="cm"/>
      <inkml:brushProperty name="height" value="0.05" units="cm"/>
      <inkml:brushProperty name="color" value="#E71224"/>
    </inkml:brush>
  </inkml:definitions>
  <inkml:trace contextRef="#ctx0" brushRef="#br0">0 0 24575,'0'0'-8191</inkml:trace>
</inkml:ink>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0c1bb0-da18-4de0-b50c-df7289619289" xsi:nil="true"/>
    <lcf76f155ced4ddcb4097134ff3c332f xmlns="59e67eeb-fce3-49b3-8ae1-7a9445df062a">
      <Terms xmlns="http://schemas.microsoft.com/office/infopath/2007/PartnerControls"/>
    </lcf76f155ced4ddcb4097134ff3c332f>
    <SharedWithUsers xmlns="f30c1bb0-da18-4de0-b50c-df7289619289">
      <UserInfo>
        <DisplayName>Barrington-Knight, Yasmin (Health)</DisplayName>
        <AccountId>54</AccountId>
        <AccountType/>
      </UserInfo>
      <UserInfo>
        <DisplayName>Pover, Jason</DisplayName>
        <AccountId>71</AccountId>
        <AccountType/>
      </UserInfo>
      <UserInfo>
        <DisplayName>Stonebridge, Monica (Health)</DisplayName>
        <AccountId>85</AccountId>
        <AccountType/>
      </UserInfo>
      <UserInfo>
        <DisplayName>Aitchison, Christopher (Health)</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1F0683F28785942808EB82D5E3B7DE9" ma:contentTypeVersion="14" ma:contentTypeDescription="Create a new document." ma:contentTypeScope="" ma:versionID="4006d349d6048c62294cc0814f540c91">
  <xsd:schema xmlns:xsd="http://www.w3.org/2001/XMLSchema" xmlns:xs="http://www.w3.org/2001/XMLSchema" xmlns:p="http://schemas.microsoft.com/office/2006/metadata/properties" xmlns:ns2="59e67eeb-fce3-49b3-8ae1-7a9445df062a" xmlns:ns3="f30c1bb0-da18-4de0-b50c-df7289619289" targetNamespace="http://schemas.microsoft.com/office/2006/metadata/properties" ma:root="true" ma:fieldsID="4a07830e88bdfa79211c4254d11278c9" ns2:_="" ns3:_="">
    <xsd:import namespace="59e67eeb-fce3-49b3-8ae1-7a9445df062a"/>
    <xsd:import namespace="f30c1bb0-da18-4de0-b50c-df7289619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67eeb-fce3-49b3-8ae1-7a9445d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0c1bb0-da18-4de0-b50c-df7289619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730eb19-a396-4d63-b4dd-7117cef4ecb4}" ma:internalName="TaxCatchAll" ma:showField="CatchAllData" ma:web="f30c1bb0-da18-4de0-b50c-df7289619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4A920-7F81-46E1-953D-E350C4A79E86}">
  <ds:schemaRefs>
    <ds:schemaRef ds:uri="http://schemas.microsoft.com/sharepoint/v3/contenttype/forms"/>
  </ds:schemaRefs>
</ds:datastoreItem>
</file>

<file path=customXml/itemProps2.xml><?xml version="1.0" encoding="utf-8"?>
<ds:datastoreItem xmlns:ds="http://schemas.openxmlformats.org/officeDocument/2006/customXml" ds:itemID="{0768B9F4-ACED-42E7-9C6F-59C95F7D1CC4}">
  <ds:schemaRefs>
    <ds:schemaRef ds:uri="http://schemas.microsoft.com/office/2006/metadata/properties"/>
    <ds:schemaRef ds:uri="http://schemas.microsoft.com/office/infopath/2007/PartnerControls"/>
    <ds:schemaRef ds:uri="f30c1bb0-da18-4de0-b50c-df7289619289"/>
    <ds:schemaRef ds:uri="59e67eeb-fce3-49b3-8ae1-7a9445df062a"/>
  </ds:schemaRefs>
</ds:datastoreItem>
</file>

<file path=customXml/itemProps3.xml><?xml version="1.0" encoding="utf-8"?>
<ds:datastoreItem xmlns:ds="http://schemas.openxmlformats.org/officeDocument/2006/customXml" ds:itemID="{909F93E9-FB59-449A-A194-78CB0B729466}">
  <ds:schemaRefs>
    <ds:schemaRef ds:uri="http://schemas.openxmlformats.org/officeDocument/2006/bibliography"/>
  </ds:schemaRefs>
</ds:datastoreItem>
</file>

<file path=customXml/itemProps4.xml><?xml version="1.0" encoding="utf-8"?>
<ds:datastoreItem xmlns:ds="http://schemas.openxmlformats.org/officeDocument/2006/customXml" ds:itemID="{2A723C95-353C-4962-8DDE-2072FBC4B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67eeb-fce3-49b3-8ae1-7a9445df062a"/>
    <ds:schemaRef ds:uri="f30c1bb0-da18-4de0-b50c-df7289619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Publication-template-purple</Template>
  <TotalTime>10</TotalTime>
  <Pages>1</Pages>
  <Words>3506</Words>
  <Characters>19988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Coordinated Respnose - Building Shared Understanding</vt:lpstr>
    </vt:vector>
  </TitlesOfParts>
  <Company>ACT Government</Company>
  <LinksUpToDate>false</LinksUpToDate>
  <CharactersWithSpaces>23448</CharactersWithSpaces>
  <SharedDoc>false</SharedDoc>
  <HLinks>
    <vt:vector size="30" baseType="variant">
      <vt:variant>
        <vt:i4>4653062</vt:i4>
      </vt:variant>
      <vt:variant>
        <vt:i4>12</vt:i4>
      </vt:variant>
      <vt:variant>
        <vt:i4>0</vt:i4>
      </vt:variant>
      <vt:variant>
        <vt:i4>5</vt:i4>
      </vt:variant>
      <vt:variant>
        <vt:lpwstr>https://www.communityservices.act.gov.au/commissioning/sectors-in-progress/community-support</vt:lpwstr>
      </vt:variant>
      <vt:variant>
        <vt:lpwstr/>
      </vt:variant>
      <vt:variant>
        <vt:i4>2490406</vt:i4>
      </vt:variant>
      <vt:variant>
        <vt:i4>9</vt:i4>
      </vt:variant>
      <vt:variant>
        <vt:i4>0</vt:i4>
      </vt:variant>
      <vt:variant>
        <vt:i4>5</vt:i4>
      </vt:variant>
      <vt:variant>
        <vt:lpwstr>https://www.canberrahealthservices.act.gov.au/services-and-clinics/services/act-equipment-loan-service-els</vt:lpwstr>
      </vt:variant>
      <vt:variant>
        <vt:lpwstr/>
      </vt:variant>
      <vt:variant>
        <vt:i4>4063312</vt:i4>
      </vt:variant>
      <vt:variant>
        <vt:i4>6</vt:i4>
      </vt:variant>
      <vt:variant>
        <vt:i4>0</vt:i4>
      </vt:variant>
      <vt:variant>
        <vt:i4>5</vt:i4>
      </vt:variant>
      <vt:variant>
        <vt:lpwstr>mailto:acthdisabilityandcommunity@act.gov.au</vt:lpwstr>
      </vt:variant>
      <vt:variant>
        <vt:lpwstr/>
      </vt:variant>
      <vt:variant>
        <vt:i4>2490406</vt:i4>
      </vt:variant>
      <vt:variant>
        <vt:i4>3</vt:i4>
      </vt:variant>
      <vt:variant>
        <vt:i4>0</vt:i4>
      </vt:variant>
      <vt:variant>
        <vt:i4>5</vt:i4>
      </vt:variant>
      <vt:variant>
        <vt:lpwstr>https://www.canberrahealthservices.act.gov.au/services-and-clinics/services/act-equipment-loan-service-els</vt:lpwstr>
      </vt:variant>
      <vt:variant>
        <vt:lpwstr/>
      </vt:variant>
      <vt:variant>
        <vt:i4>7929917</vt:i4>
      </vt:variant>
      <vt:variant>
        <vt:i4>0</vt:i4>
      </vt:variant>
      <vt:variant>
        <vt:i4>0</vt:i4>
      </vt:variant>
      <vt:variant>
        <vt:i4>5</vt:i4>
      </vt:variant>
      <vt:variant>
        <vt:lpwstr>https://amplify.csi.edu.au/amplify-online/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Coordinated Respnose - Building Shared Understanding</dc:title>
  <dc:subject>Publication template purple</dc:subject>
  <dc:creator>Eddey, Morgan</dc:creator>
  <cp:keywords>Coordinated Respnose - Building Shared Understanding</cp:keywords>
  <dc:description>Coordinated Respnose - Building Shared Understanding</dc:description>
  <cp:lastModifiedBy>Aitchison, Christopher (Health)</cp:lastModifiedBy>
  <cp:revision>9</cp:revision>
  <cp:lastPrinted>2022-12-07T11:05:00Z</cp:lastPrinted>
  <dcterms:created xsi:type="dcterms:W3CDTF">2022-12-04T22:51:00Z</dcterms:created>
  <dcterms:modified xsi:type="dcterms:W3CDTF">2022-12-07T11:07:00Z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0x01010051F0683F28785942808EB82D5E3B7DE9</vt:lpwstr>
  </property>
  <property fmtid="{D5CDD505-2E9C-101B-9397-08002B2CF9AE}" pid="3" name="MSIP_Label_690d47f2-2d0a-4515-b8de-e13c18f23c62_Enabled">
    <vt:lpwstr>true</vt:lpwstr>
  </property>
  <property fmtid="{D5CDD505-2E9C-101B-9397-08002B2CF9AE}" pid="4" name="MSIP_Label_690d47f2-2d0a-4515-b8de-e13c18f23c62_SetDate">
    <vt:lpwstr>2021-09-30T05:49:34Z</vt:lpwstr>
  </property>
  <property fmtid="{D5CDD505-2E9C-101B-9397-08002B2CF9AE}" pid="5" name="MSIP_Label_690d47f2-2d0a-4515-b8de-e13c18f23c62_Method">
    <vt:lpwstr>Privileged</vt:lpwstr>
  </property>
  <property fmtid="{D5CDD505-2E9C-101B-9397-08002B2CF9AE}" pid="6" name="MSIP_Label_690d47f2-2d0a-4515-b8de-e13c18f23c62_Name">
    <vt:lpwstr>OFFICIAL</vt:lpwstr>
  </property>
  <property fmtid="{D5CDD505-2E9C-101B-9397-08002B2CF9AE}" pid="7" name="MSIP_Label_690d47f2-2d0a-4515-b8de-e13c18f23c62_SiteId">
    <vt:lpwstr>b46c1908-0334-4236-b978-585ee88e4199</vt:lpwstr>
  </property>
  <property fmtid="{D5CDD505-2E9C-101B-9397-08002B2CF9AE}" pid="8" name="MSIP_Label_690d47f2-2d0a-4515-b8de-e13c18f23c62_ActionId">
    <vt:lpwstr>94c3ae64-b1a3-481a-9161-3d51179d1088</vt:lpwstr>
  </property>
  <property fmtid="{D5CDD505-2E9C-101B-9397-08002B2CF9AE}" pid="9" name="MSIP_Label_690d47f2-2d0a-4515-b8de-e13c18f23c62_ContentBits">
    <vt:lpwstr>1</vt:lpwstr>
  </property>
  <property fmtid="{D5CDD505-2E9C-101B-9397-08002B2CF9AE}" pid="10" name="MediaServiceImageTags">
    <vt:lpwstr/>
  </property>
</Properties>
</file>