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6E197" w14:textId="3410A11F" w:rsidR="009266DD" w:rsidRPr="00FE0085" w:rsidRDefault="00A47BB5" w:rsidP="00670C2A">
      <w:pPr>
        <w:spacing w:before="120" w:after="0" w:line="240" w:lineRule="auto"/>
        <w:rPr>
          <w:rFonts w:ascii="Arial" w:hAnsi="Arial"/>
          <w:b/>
          <w:caps/>
          <w:color w:val="000000" w:themeColor="text1"/>
          <w:kern w:val="28"/>
          <w:sz w:val="44"/>
        </w:rPr>
        <w:sectPr w:rsidR="009266DD" w:rsidRPr="00FE0085" w:rsidSect="00F51125">
          <w:headerReference w:type="even" r:id="rId11"/>
          <w:headerReference w:type="default" r:id="rId12"/>
          <w:footerReference w:type="even" r:id="rId13"/>
          <w:footerReference w:type="default" r:id="rId14"/>
          <w:type w:val="continuous"/>
          <w:pgSz w:w="11907" w:h="16840" w:code="9"/>
          <w:pgMar w:top="1134" w:right="1134" w:bottom="1701" w:left="1134" w:header="567" w:footer="254" w:gutter="0"/>
          <w:cols w:num="2" w:space="720"/>
          <w:titlePg/>
          <w:docGrid w:linePitch="299"/>
        </w:sectPr>
      </w:pPr>
      <w:r>
        <w:rPr>
          <w:b/>
          <w:caps/>
          <w:noProof/>
          <w:color w:val="000000" w:themeColor="text1"/>
          <w:sz w:val="44"/>
        </w:rPr>
        <mc:AlternateContent>
          <mc:Choice Requires="wps">
            <w:drawing>
              <wp:anchor distT="0" distB="0" distL="114300" distR="114300" simplePos="0" relativeHeight="251662336" behindDoc="0" locked="0" layoutInCell="1" allowOverlap="1" wp14:anchorId="59948A67" wp14:editId="7A62A155">
                <wp:simplePos x="0" y="0"/>
                <wp:positionH relativeFrom="margin">
                  <wp:align>right</wp:align>
                </wp:positionH>
                <wp:positionV relativeFrom="paragraph">
                  <wp:posOffset>1499235</wp:posOffset>
                </wp:positionV>
                <wp:extent cx="5162550" cy="58864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162550" cy="5886450"/>
                        </a:xfrm>
                        <a:prstGeom prst="rect">
                          <a:avLst/>
                        </a:prstGeom>
                        <a:noFill/>
                        <a:ln w="6350">
                          <a:noFill/>
                        </a:ln>
                      </wps:spPr>
                      <wps:txbx>
                        <w:txbxContent>
                          <w:p w14:paraId="0B81B1B8" w14:textId="28BE422F" w:rsidR="00A47BB5" w:rsidRPr="00581C86" w:rsidRDefault="00581C86" w:rsidP="00581C86">
                            <w:pPr>
                              <w:pStyle w:val="Title"/>
                              <w:spacing w:after="0"/>
                              <w:jc w:val="right"/>
                              <w:rPr>
                                <w:sz w:val="56"/>
                                <w:szCs w:val="56"/>
                              </w:rPr>
                            </w:pPr>
                            <w:r w:rsidRPr="00581C86">
                              <w:rPr>
                                <w:sz w:val="56"/>
                                <w:szCs w:val="56"/>
                              </w:rPr>
                              <w:t>&lt;COMMISSIONING CYCLE OR SECTOR NAME&gt;</w:t>
                            </w:r>
                          </w:p>
                          <w:p w14:paraId="098B987E" w14:textId="77777777" w:rsidR="00FE0085" w:rsidRPr="00FE0085" w:rsidRDefault="00FE0085" w:rsidP="00FE0085"/>
                          <w:p w14:paraId="4B65D989" w14:textId="77777777" w:rsidR="00623AB4" w:rsidRPr="000F6C81" w:rsidRDefault="00623AB4" w:rsidP="00623AB4">
                            <w:pPr>
                              <w:rPr>
                                <w:color w:val="FFFFFF" w:themeColor="background1"/>
                              </w:rPr>
                            </w:pPr>
                          </w:p>
                          <w:p w14:paraId="1D574CB7" w14:textId="25FDD33A" w:rsidR="00A47BB5" w:rsidRDefault="00581C86" w:rsidP="00581C86">
                            <w:pPr>
                              <w:pStyle w:val="Title"/>
                              <w:spacing w:after="0"/>
                              <w:jc w:val="right"/>
                              <w:rPr>
                                <w:rFonts w:asciiTheme="minorHAnsi" w:eastAsiaTheme="minorEastAsia" w:hAnsiTheme="minorHAnsi" w:cstheme="minorBidi"/>
                                <w:b w:val="0"/>
                                <w:bCs/>
                                <w:kern w:val="0"/>
                                <w:sz w:val="50"/>
                                <w:szCs w:val="50"/>
                              </w:rPr>
                            </w:pPr>
                            <w:r>
                              <w:rPr>
                                <w:rFonts w:asciiTheme="minorHAnsi" w:eastAsiaTheme="minorEastAsia" w:hAnsiTheme="minorHAnsi" w:cstheme="minorBidi"/>
                                <w:b w:val="0"/>
                                <w:bCs/>
                                <w:kern w:val="0"/>
                                <w:sz w:val="50"/>
                                <w:szCs w:val="50"/>
                              </w:rPr>
                              <w:t>Strategic</w:t>
                            </w:r>
                            <w:r w:rsidR="00177AC2">
                              <w:rPr>
                                <w:rFonts w:asciiTheme="minorHAnsi" w:eastAsiaTheme="minorEastAsia" w:hAnsiTheme="minorHAnsi" w:cstheme="minorBidi"/>
                                <w:b w:val="0"/>
                                <w:bCs/>
                                <w:kern w:val="0"/>
                                <w:sz w:val="50"/>
                                <w:szCs w:val="50"/>
                              </w:rPr>
                              <w:t xml:space="preserve"> Investment Plan</w:t>
                            </w:r>
                          </w:p>
                          <w:p w14:paraId="159D1CDB" w14:textId="01005811" w:rsidR="00581C86" w:rsidRPr="00581C86" w:rsidRDefault="00581C86" w:rsidP="00581C86">
                            <w:pPr>
                              <w:jc w:val="right"/>
                              <w:rPr>
                                <w:rFonts w:eastAsiaTheme="minorEastAsia"/>
                                <w:color w:val="FFFFFF" w:themeColor="background1"/>
                              </w:rPr>
                            </w:pPr>
                            <w:r w:rsidRPr="00581C86">
                              <w:rPr>
                                <w:rFonts w:eastAsiaTheme="minorEastAsia"/>
                                <w:color w:val="FFFFFF" w:themeColor="background1"/>
                              </w:rPr>
                              <w:t>&lt;DATE&gt;</w:t>
                            </w:r>
                          </w:p>
                          <w:p w14:paraId="6D5D7E25" w14:textId="36BD321A" w:rsidR="00581C86" w:rsidRDefault="00581C86" w:rsidP="00581C86">
                            <w:pPr>
                              <w:rPr>
                                <w:rFonts w:eastAsiaTheme="minorEastAsia"/>
                              </w:rPr>
                            </w:pPr>
                          </w:p>
                          <w:p w14:paraId="1337CF36" w14:textId="343E60E6" w:rsidR="00581C86" w:rsidRPr="00581C86" w:rsidRDefault="00581C86" w:rsidP="00581C86">
                            <w:pPr>
                              <w:jc w:val="right"/>
                              <w:rPr>
                                <w:rFonts w:eastAsiaTheme="minorEastAsia"/>
                                <w:color w:val="FFFFFF" w:themeColor="background1"/>
                              </w:rPr>
                            </w:pPr>
                            <w:r w:rsidRPr="00581C86">
                              <w:rPr>
                                <w:rFonts w:eastAsiaTheme="minorEastAsia"/>
                                <w:color w:val="FFFFFF" w:themeColor="background1"/>
                              </w:rPr>
                              <w:t xml:space="preserve">2022-2024 Commissioning for Outcomes </w:t>
                            </w:r>
                          </w:p>
                          <w:p w14:paraId="3926CA31" w14:textId="77777777" w:rsidR="00862227" w:rsidRDefault="00862227"/>
                          <w:p w14:paraId="0F91F564" w14:textId="4D79305E" w:rsidR="00A47BB5" w:rsidRPr="000F6C81" w:rsidRDefault="00A47BB5" w:rsidP="00D17F50">
                            <w:pPr>
                              <w:pStyle w:val="Title"/>
                              <w:spacing w:after="0"/>
                              <w:rPr>
                                <w:rFonts w:asciiTheme="minorHAnsi" w:eastAsiaTheme="minorEastAsia" w:hAnsiTheme="minorHAnsi" w:cstheme="minorBidi"/>
                                <w:b w:val="0"/>
                                <w:bCs/>
                                <w:kern w:val="0"/>
                                <w:sz w:val="50"/>
                                <w:szCs w:val="5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48A67" id="_x0000_t202" coordsize="21600,21600" o:spt="202" path="m,l,21600r21600,l21600,xe">
                <v:stroke joinstyle="miter"/>
                <v:path gradientshapeok="t" o:connecttype="rect"/>
              </v:shapetype>
              <v:shape id="Text Box 22" o:spid="_x0000_s1026" type="#_x0000_t202" style="position:absolute;margin-left:355.3pt;margin-top:118.05pt;width:406.5pt;height:463.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" filled="f" stroked="f" strokeweight=".5pt">
                <v:textbox>
                  <w:txbxContent>
                    <w:p w14:paraId="0B81B1B8" w14:textId="28BE422F" w:rsidR="00A47BB5" w:rsidRPr="00581C86" w:rsidRDefault="00581C86" w:rsidP="00581C86">
                      <w:pPr>
                        <w:pStyle w:val="Title"/>
                        <w:spacing w:after="0"/>
                        <w:jc w:val="right"/>
                        <w:rPr>
                          <w:sz w:val="56"/>
                          <w:szCs w:val="56"/>
                        </w:rPr>
                      </w:pPr>
                      <w:r w:rsidRPr="00581C86">
                        <w:rPr>
                          <w:sz w:val="56"/>
                          <w:szCs w:val="56"/>
                        </w:rPr>
                        <w:t>&lt;COMMISSIONING CYCLE OR SECTOR NAME&gt;</w:t>
                      </w:r>
                    </w:p>
                    <w:p w14:paraId="098B987E" w14:textId="77777777" w:rsidR="00FE0085" w:rsidRPr="00FE0085" w:rsidRDefault="00FE0085" w:rsidP="00FE0085"/>
                    <w:p w14:paraId="4B65D989" w14:textId="77777777" w:rsidR="00623AB4" w:rsidRPr="000F6C81" w:rsidRDefault="00623AB4" w:rsidP="00623AB4">
                      <w:pPr>
                        <w:rPr>
                          <w:color w:val="FFFFFF" w:themeColor="background1"/>
                        </w:rPr>
                      </w:pPr>
                    </w:p>
                    <w:p w14:paraId="1D574CB7" w14:textId="25FDD33A" w:rsidR="00A47BB5" w:rsidRDefault="00581C86" w:rsidP="00581C86">
                      <w:pPr>
                        <w:pStyle w:val="Title"/>
                        <w:spacing w:after="0"/>
                        <w:jc w:val="right"/>
                        <w:rPr>
                          <w:rFonts w:asciiTheme="minorHAnsi" w:eastAsiaTheme="minorEastAsia" w:hAnsiTheme="minorHAnsi" w:cstheme="minorBidi"/>
                          <w:b w:val="0"/>
                          <w:bCs/>
                          <w:kern w:val="0"/>
                          <w:sz w:val="50"/>
                          <w:szCs w:val="50"/>
                        </w:rPr>
                      </w:pPr>
                      <w:r>
                        <w:rPr>
                          <w:rFonts w:asciiTheme="minorHAnsi" w:eastAsiaTheme="minorEastAsia" w:hAnsiTheme="minorHAnsi" w:cstheme="minorBidi"/>
                          <w:b w:val="0"/>
                          <w:bCs/>
                          <w:kern w:val="0"/>
                          <w:sz w:val="50"/>
                          <w:szCs w:val="50"/>
                        </w:rPr>
                        <w:t>Strategic</w:t>
                      </w:r>
                      <w:r w:rsidR="00177AC2">
                        <w:rPr>
                          <w:rFonts w:asciiTheme="minorHAnsi" w:eastAsiaTheme="minorEastAsia" w:hAnsiTheme="minorHAnsi" w:cstheme="minorBidi"/>
                          <w:b w:val="0"/>
                          <w:bCs/>
                          <w:kern w:val="0"/>
                          <w:sz w:val="50"/>
                          <w:szCs w:val="50"/>
                        </w:rPr>
                        <w:t xml:space="preserve"> Investment Plan</w:t>
                      </w:r>
                    </w:p>
                    <w:p w14:paraId="159D1CDB" w14:textId="01005811" w:rsidR="00581C86" w:rsidRPr="00581C86" w:rsidRDefault="00581C86" w:rsidP="00581C86">
                      <w:pPr>
                        <w:jc w:val="right"/>
                        <w:rPr>
                          <w:rFonts w:eastAsiaTheme="minorEastAsia"/>
                          <w:color w:val="FFFFFF" w:themeColor="background1"/>
                        </w:rPr>
                      </w:pPr>
                      <w:r w:rsidRPr="00581C86">
                        <w:rPr>
                          <w:rFonts w:eastAsiaTheme="minorEastAsia"/>
                          <w:color w:val="FFFFFF" w:themeColor="background1"/>
                        </w:rPr>
                        <w:t>&lt;DATE&gt;</w:t>
                      </w:r>
                    </w:p>
                    <w:p w14:paraId="6D5D7E25" w14:textId="36BD321A" w:rsidR="00581C86" w:rsidRDefault="00581C86" w:rsidP="00581C86">
                      <w:pPr>
                        <w:rPr>
                          <w:rFonts w:eastAsiaTheme="minorEastAsia"/>
                        </w:rPr>
                      </w:pPr>
                    </w:p>
                    <w:p w14:paraId="1337CF36" w14:textId="343E60E6" w:rsidR="00581C86" w:rsidRPr="00581C86" w:rsidRDefault="00581C86" w:rsidP="00581C86">
                      <w:pPr>
                        <w:jc w:val="right"/>
                        <w:rPr>
                          <w:rFonts w:eastAsiaTheme="minorEastAsia"/>
                          <w:color w:val="FFFFFF" w:themeColor="background1"/>
                        </w:rPr>
                      </w:pPr>
                      <w:r w:rsidRPr="00581C86">
                        <w:rPr>
                          <w:rFonts w:eastAsiaTheme="minorEastAsia"/>
                          <w:color w:val="FFFFFF" w:themeColor="background1"/>
                        </w:rPr>
                        <w:t xml:space="preserve">2022-2024 Commissioning for Outcomes </w:t>
                      </w:r>
                    </w:p>
                    <w:p w14:paraId="3926CA31" w14:textId="77777777" w:rsidR="00862227" w:rsidRDefault="00862227"/>
                    <w:p w14:paraId="0F91F564" w14:textId="4D79305E" w:rsidR="00A47BB5" w:rsidRPr="000F6C81" w:rsidRDefault="00A47BB5" w:rsidP="00D17F50">
                      <w:pPr>
                        <w:pStyle w:val="Title"/>
                        <w:spacing w:after="0"/>
                        <w:rPr>
                          <w:rFonts w:asciiTheme="minorHAnsi" w:eastAsiaTheme="minorEastAsia" w:hAnsiTheme="minorHAnsi" w:cstheme="minorBidi"/>
                          <w:b w:val="0"/>
                          <w:bCs/>
                          <w:kern w:val="0"/>
                          <w:sz w:val="50"/>
                          <w:szCs w:val="50"/>
                        </w:rPr>
                      </w:pPr>
                    </w:p>
                  </w:txbxContent>
                </v:textbox>
                <w10:wrap anchorx="margin"/>
              </v:shape>
            </w:pict>
          </mc:Fallback>
        </mc:AlternateContent>
      </w:r>
      <w:r w:rsidR="00D33CD9">
        <w:rPr>
          <w:b/>
          <w:caps/>
          <w:noProof/>
          <w:color w:val="000000" w:themeColor="text1"/>
          <w:sz w:val="44"/>
        </w:rPr>
        <mc:AlternateContent>
          <mc:Choice Requires="wps">
            <w:drawing>
              <wp:anchor distT="0" distB="0" distL="114300" distR="114300" simplePos="0" relativeHeight="251661312" behindDoc="0" locked="0" layoutInCell="1" allowOverlap="1" wp14:anchorId="5C356A46" wp14:editId="6E092BBE">
                <wp:simplePos x="0" y="0"/>
                <wp:positionH relativeFrom="column">
                  <wp:posOffset>-51435</wp:posOffset>
                </wp:positionH>
                <wp:positionV relativeFrom="paragraph">
                  <wp:posOffset>8962390</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338739C5" w14:textId="73277CE7" w:rsidR="00222C35" w:rsidRPr="00825C83" w:rsidRDefault="00581C86" w:rsidP="008F4C1C">
                            <w:pPr>
                              <w:pStyle w:val="Directoratename"/>
                            </w:pPr>
                            <w:r>
                              <w:t>&lt;NAME&gt;</w:t>
                            </w:r>
                            <w:r w:rsidR="00483345" w:rsidRPr="00825C83">
                              <w:t xml:space="preserve"> </w:t>
                            </w:r>
                            <w:r w:rsidR="008F4C1C">
                              <w:t>D</w:t>
                            </w:r>
                            <w:r w:rsidR="00483345" w:rsidRPr="00825C83">
                              <w:t>irectorate</w:t>
                            </w:r>
                          </w:p>
                          <w:p w14:paraId="65C000C6" w14:textId="77777777" w:rsidR="00862227" w:rsidRDefault="00862227"/>
                          <w:p w14:paraId="11EA8D5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3CFB2D" w14:textId="77777777" w:rsidR="007669F4" w:rsidRDefault="007669F4"/>
                          <w:p w14:paraId="284B9D5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E0B506" w14:textId="77777777" w:rsidR="00862227" w:rsidRDefault="00862227"/>
                          <w:p w14:paraId="6216E61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56A46" id="Text Box 25" o:spid="_x0000_s1027" type="#_x0000_t202" style="position:absolute;margin-left:-4.05pt;margin-top:705.7pt;width:40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Em9FwIAADM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" filled="f" stroked="f" strokeweight=".5pt">
                <v:textbox>
                  <w:txbxContent>
                    <w:p w14:paraId="338739C5" w14:textId="73277CE7" w:rsidR="00222C35" w:rsidRPr="00825C83" w:rsidRDefault="00581C86" w:rsidP="008F4C1C">
                      <w:pPr>
                        <w:pStyle w:val="Directoratename"/>
                      </w:pPr>
                      <w:r>
                        <w:t>&lt;NAME&gt;</w:t>
                      </w:r>
                      <w:r w:rsidR="00483345" w:rsidRPr="00825C83">
                        <w:t xml:space="preserve"> </w:t>
                      </w:r>
                      <w:r w:rsidR="008F4C1C">
                        <w:t>D</w:t>
                      </w:r>
                      <w:r w:rsidR="00483345" w:rsidRPr="00825C83">
                        <w:t>irectorate</w:t>
                      </w:r>
                    </w:p>
                    <w:p w14:paraId="65C000C6" w14:textId="77777777" w:rsidR="00862227" w:rsidRDefault="00862227"/>
                    <w:p w14:paraId="11EA8D5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3CFB2D" w14:textId="77777777" w:rsidR="007669F4" w:rsidRDefault="007669F4"/>
                    <w:p w14:paraId="284B9D5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E0B506" w14:textId="77777777" w:rsidR="00862227" w:rsidRDefault="00862227"/>
                    <w:p w14:paraId="6216E61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txbxContent>
                </v:textbox>
              </v:shape>
            </w:pict>
          </mc:Fallback>
        </mc:AlternateContent>
      </w:r>
      <w:r w:rsidR="00825C83">
        <w:rPr>
          <w:noProof/>
        </w:rPr>
        <w:drawing>
          <wp:anchor distT="0" distB="0" distL="114300" distR="114300" simplePos="0" relativeHeight="251657215" behindDoc="1" locked="0" layoutInCell="1" allowOverlap="1" wp14:anchorId="7838AA5C" wp14:editId="7CFDA268">
            <wp:simplePos x="0" y="0"/>
            <wp:positionH relativeFrom="column">
              <wp:posOffset>-364490</wp:posOffset>
            </wp:positionH>
            <wp:positionV relativeFrom="paragraph">
              <wp:posOffset>-434340</wp:posOffset>
            </wp:positionV>
            <wp:extent cx="6885305" cy="1069022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5" r:link="rId16">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sidR="008E3B95">
        <w:rPr>
          <w:noProof/>
          <w:color w:val="000000" w:themeColor="text1"/>
        </w:rPr>
        <w:drawing>
          <wp:anchor distT="0" distB="0" distL="114300" distR="114300" simplePos="0" relativeHeight="251658240" behindDoc="0" locked="0" layoutInCell="1" allowOverlap="1" wp14:anchorId="61CEEF2A" wp14:editId="47E3FB8E">
            <wp:simplePos x="0" y="0"/>
            <wp:positionH relativeFrom="margin">
              <wp:align>left</wp:align>
            </wp:positionH>
            <wp:positionV relativeFrom="paragraph">
              <wp:posOffset>187325</wp:posOffset>
            </wp:positionV>
            <wp:extent cx="1753235" cy="899795"/>
            <wp:effectExtent l="0" t="0" r="0" b="0"/>
            <wp:wrapNone/>
            <wp:docPr id="16" name="Picture 16"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CT Government Log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53235" cy="899795"/>
                    </a:xfrm>
                    <a:prstGeom prst="rect">
                      <a:avLst/>
                    </a:prstGeom>
                  </pic:spPr>
                </pic:pic>
              </a:graphicData>
            </a:graphic>
            <wp14:sizeRelH relativeFrom="page">
              <wp14:pctWidth>0</wp14:pctWidth>
            </wp14:sizeRelH>
            <wp14:sizeRelV relativeFrom="page">
              <wp14:pctHeight>0</wp14:pctHeight>
            </wp14:sizeRelV>
          </wp:anchor>
        </w:drawing>
      </w:r>
      <w:bookmarkStart w:id="0" w:name="OLE_LINK2"/>
      <w:bookmarkEnd w:id="0"/>
      <w:r w:rsidR="00AF59B7">
        <w:t xml:space="preserve"> </w:t>
      </w:r>
      <w:r w:rsidR="005E69BD">
        <w:br w:type="page"/>
      </w:r>
    </w:p>
    <w:p w14:paraId="7AB4AEA2" w14:textId="601A997B" w:rsidR="00687E34" w:rsidRDefault="00687E34" w:rsidP="00687E34">
      <w:pPr>
        <w:pStyle w:val="Directoratename"/>
      </w:pPr>
      <w:r>
        <w:lastRenderedPageBreak/>
        <w:t>Table of Contents</w:t>
      </w:r>
    </w:p>
    <w:p w14:paraId="01F55AB0" w14:textId="41EEF174" w:rsidR="00BE67AE" w:rsidRDefault="00C30B8B">
      <w:pPr>
        <w:pStyle w:val="TOC1"/>
        <w:rPr>
          <w:rFonts w:asciiTheme="minorHAnsi" w:eastAsiaTheme="minorEastAsia" w:hAnsiTheme="minorHAnsi" w:cstheme="minorBidi"/>
          <w:noProof/>
          <w:szCs w:val="22"/>
          <w:lang w:eastAsia="en-AU"/>
        </w:rPr>
      </w:pPr>
      <w:r>
        <w:fldChar w:fldCharType="begin"/>
      </w:r>
      <w:r>
        <w:instrText xml:space="preserve"> TOC \h \z \t "Heading 1,1,Heading 4,2" </w:instrText>
      </w:r>
      <w:r>
        <w:fldChar w:fldCharType="separate"/>
      </w:r>
      <w:hyperlink w:anchor="_Toc116548582" w:history="1">
        <w:r w:rsidR="00BE67AE" w:rsidRPr="00BE1F3E">
          <w:rPr>
            <w:rStyle w:val="Hyperlink"/>
            <w:noProof/>
          </w:rPr>
          <w:t>1.</w:t>
        </w:r>
        <w:r w:rsidR="00BE67AE">
          <w:rPr>
            <w:rFonts w:asciiTheme="minorHAnsi" w:eastAsiaTheme="minorEastAsia" w:hAnsiTheme="minorHAnsi" w:cstheme="minorBidi"/>
            <w:noProof/>
            <w:szCs w:val="22"/>
            <w:lang w:eastAsia="en-AU"/>
          </w:rPr>
          <w:tab/>
        </w:r>
        <w:r w:rsidR="00BE67AE" w:rsidRPr="00BE1F3E">
          <w:rPr>
            <w:rStyle w:val="Hyperlink"/>
            <w:noProof/>
          </w:rPr>
          <w:t>Minister’s Message</w:t>
        </w:r>
        <w:r w:rsidR="00BE67AE">
          <w:rPr>
            <w:noProof/>
            <w:webHidden/>
          </w:rPr>
          <w:tab/>
        </w:r>
        <w:r w:rsidR="00BE67AE">
          <w:rPr>
            <w:noProof/>
            <w:webHidden/>
          </w:rPr>
          <w:fldChar w:fldCharType="begin"/>
        </w:r>
        <w:r w:rsidR="00BE67AE">
          <w:rPr>
            <w:noProof/>
            <w:webHidden/>
          </w:rPr>
          <w:instrText xml:space="preserve"> PAGEREF _Toc116548582 \h </w:instrText>
        </w:r>
        <w:r w:rsidR="00BE67AE">
          <w:rPr>
            <w:noProof/>
            <w:webHidden/>
          </w:rPr>
        </w:r>
        <w:r w:rsidR="00BE67AE">
          <w:rPr>
            <w:noProof/>
            <w:webHidden/>
          </w:rPr>
          <w:fldChar w:fldCharType="separate"/>
        </w:r>
        <w:r w:rsidR="00BE67AE">
          <w:rPr>
            <w:noProof/>
            <w:webHidden/>
          </w:rPr>
          <w:t>3</w:t>
        </w:r>
        <w:r w:rsidR="00BE67AE">
          <w:rPr>
            <w:noProof/>
            <w:webHidden/>
          </w:rPr>
          <w:fldChar w:fldCharType="end"/>
        </w:r>
      </w:hyperlink>
    </w:p>
    <w:p w14:paraId="3CA4B2AF" w14:textId="08DBA4AE" w:rsidR="00BE67AE" w:rsidRDefault="00C329BF">
      <w:pPr>
        <w:pStyle w:val="TOC1"/>
        <w:rPr>
          <w:rFonts w:asciiTheme="minorHAnsi" w:eastAsiaTheme="minorEastAsia" w:hAnsiTheme="minorHAnsi" w:cstheme="minorBidi"/>
          <w:noProof/>
          <w:szCs w:val="22"/>
          <w:lang w:eastAsia="en-AU"/>
        </w:rPr>
      </w:pPr>
      <w:hyperlink w:anchor="_Toc116548583" w:history="1">
        <w:r w:rsidR="00BE67AE" w:rsidRPr="00BE1F3E">
          <w:rPr>
            <w:rStyle w:val="Hyperlink"/>
            <w:noProof/>
          </w:rPr>
          <w:t>2.</w:t>
        </w:r>
        <w:r w:rsidR="00BE67AE">
          <w:rPr>
            <w:rFonts w:asciiTheme="minorHAnsi" w:eastAsiaTheme="minorEastAsia" w:hAnsiTheme="minorHAnsi" w:cstheme="minorBidi"/>
            <w:noProof/>
            <w:szCs w:val="22"/>
            <w:lang w:eastAsia="en-AU"/>
          </w:rPr>
          <w:tab/>
        </w:r>
        <w:r w:rsidR="00BE67AE" w:rsidRPr="00BE1F3E">
          <w:rPr>
            <w:rStyle w:val="Hyperlink"/>
            <w:noProof/>
          </w:rPr>
          <w:t>Background</w:t>
        </w:r>
        <w:r w:rsidR="00BE67AE">
          <w:rPr>
            <w:noProof/>
            <w:webHidden/>
          </w:rPr>
          <w:tab/>
        </w:r>
        <w:r w:rsidR="00BE67AE">
          <w:rPr>
            <w:noProof/>
            <w:webHidden/>
          </w:rPr>
          <w:fldChar w:fldCharType="begin"/>
        </w:r>
        <w:r w:rsidR="00BE67AE">
          <w:rPr>
            <w:noProof/>
            <w:webHidden/>
          </w:rPr>
          <w:instrText xml:space="preserve"> PAGEREF _Toc116548583 \h </w:instrText>
        </w:r>
        <w:r w:rsidR="00BE67AE">
          <w:rPr>
            <w:noProof/>
            <w:webHidden/>
          </w:rPr>
        </w:r>
        <w:r w:rsidR="00BE67AE">
          <w:rPr>
            <w:noProof/>
            <w:webHidden/>
          </w:rPr>
          <w:fldChar w:fldCharType="separate"/>
        </w:r>
        <w:r w:rsidR="00BE67AE">
          <w:rPr>
            <w:noProof/>
            <w:webHidden/>
          </w:rPr>
          <w:t>4</w:t>
        </w:r>
        <w:r w:rsidR="00BE67AE">
          <w:rPr>
            <w:noProof/>
            <w:webHidden/>
          </w:rPr>
          <w:fldChar w:fldCharType="end"/>
        </w:r>
      </w:hyperlink>
    </w:p>
    <w:p w14:paraId="1567A584" w14:textId="3C3D7EC7" w:rsidR="00BE67AE" w:rsidRDefault="00C329BF">
      <w:pPr>
        <w:pStyle w:val="TOC1"/>
        <w:rPr>
          <w:rFonts w:asciiTheme="minorHAnsi" w:eastAsiaTheme="minorEastAsia" w:hAnsiTheme="minorHAnsi" w:cstheme="minorBidi"/>
          <w:noProof/>
          <w:szCs w:val="22"/>
          <w:lang w:eastAsia="en-AU"/>
        </w:rPr>
      </w:pPr>
      <w:hyperlink w:anchor="_Toc116548584" w:history="1">
        <w:r w:rsidR="00BE67AE" w:rsidRPr="00BE1F3E">
          <w:rPr>
            <w:rStyle w:val="Hyperlink"/>
            <w:noProof/>
          </w:rPr>
          <w:t>3.</w:t>
        </w:r>
        <w:r w:rsidR="00BE67AE">
          <w:rPr>
            <w:rFonts w:asciiTheme="minorHAnsi" w:eastAsiaTheme="minorEastAsia" w:hAnsiTheme="minorHAnsi" w:cstheme="minorBidi"/>
            <w:noProof/>
            <w:szCs w:val="22"/>
            <w:lang w:eastAsia="en-AU"/>
          </w:rPr>
          <w:tab/>
        </w:r>
        <w:r w:rsidR="00BE67AE" w:rsidRPr="00BE1F3E">
          <w:rPr>
            <w:rStyle w:val="Hyperlink"/>
            <w:noProof/>
          </w:rPr>
          <w:t>The Investment Plan</w:t>
        </w:r>
        <w:r w:rsidR="00BE67AE">
          <w:rPr>
            <w:noProof/>
            <w:webHidden/>
          </w:rPr>
          <w:tab/>
        </w:r>
        <w:r w:rsidR="00BE67AE">
          <w:rPr>
            <w:noProof/>
            <w:webHidden/>
          </w:rPr>
          <w:fldChar w:fldCharType="begin"/>
        </w:r>
        <w:r w:rsidR="00BE67AE">
          <w:rPr>
            <w:noProof/>
            <w:webHidden/>
          </w:rPr>
          <w:instrText xml:space="preserve"> PAGEREF _Toc116548584 \h </w:instrText>
        </w:r>
        <w:r w:rsidR="00BE67AE">
          <w:rPr>
            <w:noProof/>
            <w:webHidden/>
          </w:rPr>
        </w:r>
        <w:r w:rsidR="00BE67AE">
          <w:rPr>
            <w:noProof/>
            <w:webHidden/>
          </w:rPr>
          <w:fldChar w:fldCharType="separate"/>
        </w:r>
        <w:r w:rsidR="00BE67AE">
          <w:rPr>
            <w:noProof/>
            <w:webHidden/>
          </w:rPr>
          <w:t>5</w:t>
        </w:r>
        <w:r w:rsidR="00BE67AE">
          <w:rPr>
            <w:noProof/>
            <w:webHidden/>
          </w:rPr>
          <w:fldChar w:fldCharType="end"/>
        </w:r>
      </w:hyperlink>
    </w:p>
    <w:p w14:paraId="44457D70" w14:textId="0389ACE6" w:rsidR="00BE67AE" w:rsidRDefault="00C329BF">
      <w:pPr>
        <w:pStyle w:val="TOC1"/>
        <w:rPr>
          <w:rFonts w:asciiTheme="minorHAnsi" w:eastAsiaTheme="minorEastAsia" w:hAnsiTheme="minorHAnsi" w:cstheme="minorBidi"/>
          <w:noProof/>
          <w:szCs w:val="22"/>
          <w:lang w:eastAsia="en-AU"/>
        </w:rPr>
      </w:pPr>
      <w:hyperlink w:anchor="_Toc116548585" w:history="1">
        <w:r w:rsidR="00BE67AE" w:rsidRPr="00BE1F3E">
          <w:rPr>
            <w:rStyle w:val="Hyperlink"/>
            <w:noProof/>
          </w:rPr>
          <w:t>4.</w:t>
        </w:r>
        <w:r w:rsidR="00BE67AE">
          <w:rPr>
            <w:rFonts w:asciiTheme="minorHAnsi" w:eastAsiaTheme="minorEastAsia" w:hAnsiTheme="minorHAnsi" w:cstheme="minorBidi"/>
            <w:noProof/>
            <w:szCs w:val="22"/>
            <w:lang w:eastAsia="en-AU"/>
          </w:rPr>
          <w:tab/>
        </w:r>
        <w:r w:rsidR="00BE67AE" w:rsidRPr="00BE1F3E">
          <w:rPr>
            <w:rStyle w:val="Hyperlink"/>
            <w:noProof/>
          </w:rPr>
          <w:t>Engagement Methodologies</w:t>
        </w:r>
        <w:r w:rsidR="00BE67AE">
          <w:rPr>
            <w:noProof/>
            <w:webHidden/>
          </w:rPr>
          <w:tab/>
        </w:r>
        <w:r w:rsidR="00BE67AE">
          <w:rPr>
            <w:noProof/>
            <w:webHidden/>
          </w:rPr>
          <w:fldChar w:fldCharType="begin"/>
        </w:r>
        <w:r w:rsidR="00BE67AE">
          <w:rPr>
            <w:noProof/>
            <w:webHidden/>
          </w:rPr>
          <w:instrText xml:space="preserve"> PAGEREF _Toc116548585 \h </w:instrText>
        </w:r>
        <w:r w:rsidR="00BE67AE">
          <w:rPr>
            <w:noProof/>
            <w:webHidden/>
          </w:rPr>
        </w:r>
        <w:r w:rsidR="00BE67AE">
          <w:rPr>
            <w:noProof/>
            <w:webHidden/>
          </w:rPr>
          <w:fldChar w:fldCharType="separate"/>
        </w:r>
        <w:r w:rsidR="00BE67AE">
          <w:rPr>
            <w:noProof/>
            <w:webHidden/>
          </w:rPr>
          <w:t>5</w:t>
        </w:r>
        <w:r w:rsidR="00BE67AE">
          <w:rPr>
            <w:noProof/>
            <w:webHidden/>
          </w:rPr>
          <w:fldChar w:fldCharType="end"/>
        </w:r>
      </w:hyperlink>
    </w:p>
    <w:p w14:paraId="38EA0C47" w14:textId="73F33DF6" w:rsidR="00BE67AE" w:rsidRDefault="00C329BF">
      <w:pPr>
        <w:pStyle w:val="TOC1"/>
        <w:rPr>
          <w:rFonts w:asciiTheme="minorHAnsi" w:eastAsiaTheme="minorEastAsia" w:hAnsiTheme="minorHAnsi" w:cstheme="minorBidi"/>
          <w:noProof/>
          <w:szCs w:val="22"/>
          <w:lang w:eastAsia="en-AU"/>
        </w:rPr>
      </w:pPr>
      <w:hyperlink w:anchor="_Toc116548586" w:history="1">
        <w:r w:rsidR="00BE67AE" w:rsidRPr="00BE1F3E">
          <w:rPr>
            <w:rStyle w:val="Hyperlink"/>
            <w:noProof/>
          </w:rPr>
          <w:t>5.</w:t>
        </w:r>
        <w:r w:rsidR="00BE67AE">
          <w:rPr>
            <w:rFonts w:asciiTheme="minorHAnsi" w:eastAsiaTheme="minorEastAsia" w:hAnsiTheme="minorHAnsi" w:cstheme="minorBidi"/>
            <w:noProof/>
            <w:szCs w:val="22"/>
            <w:lang w:eastAsia="en-AU"/>
          </w:rPr>
          <w:tab/>
        </w:r>
        <w:r w:rsidR="00BE67AE" w:rsidRPr="00BE1F3E">
          <w:rPr>
            <w:rStyle w:val="Hyperlink"/>
            <w:noProof/>
          </w:rPr>
          <w:t>Market Sounding</w:t>
        </w:r>
        <w:r w:rsidR="00BE67AE">
          <w:rPr>
            <w:noProof/>
            <w:webHidden/>
          </w:rPr>
          <w:tab/>
        </w:r>
        <w:r w:rsidR="00BE67AE">
          <w:rPr>
            <w:noProof/>
            <w:webHidden/>
          </w:rPr>
          <w:fldChar w:fldCharType="begin"/>
        </w:r>
        <w:r w:rsidR="00BE67AE">
          <w:rPr>
            <w:noProof/>
            <w:webHidden/>
          </w:rPr>
          <w:instrText xml:space="preserve"> PAGEREF _Toc116548586 \h </w:instrText>
        </w:r>
        <w:r w:rsidR="00BE67AE">
          <w:rPr>
            <w:noProof/>
            <w:webHidden/>
          </w:rPr>
        </w:r>
        <w:r w:rsidR="00BE67AE">
          <w:rPr>
            <w:noProof/>
            <w:webHidden/>
          </w:rPr>
          <w:fldChar w:fldCharType="separate"/>
        </w:r>
        <w:r w:rsidR="00BE67AE">
          <w:rPr>
            <w:noProof/>
            <w:webHidden/>
          </w:rPr>
          <w:t>9</w:t>
        </w:r>
        <w:r w:rsidR="00BE67AE">
          <w:rPr>
            <w:noProof/>
            <w:webHidden/>
          </w:rPr>
          <w:fldChar w:fldCharType="end"/>
        </w:r>
      </w:hyperlink>
    </w:p>
    <w:p w14:paraId="05E5CA6D" w14:textId="348A8781" w:rsidR="00BE67AE" w:rsidRDefault="00C329BF">
      <w:pPr>
        <w:pStyle w:val="TOC1"/>
        <w:rPr>
          <w:rFonts w:asciiTheme="minorHAnsi" w:eastAsiaTheme="minorEastAsia" w:hAnsiTheme="minorHAnsi" w:cstheme="minorBidi"/>
          <w:noProof/>
          <w:szCs w:val="22"/>
          <w:lang w:eastAsia="en-AU"/>
        </w:rPr>
      </w:pPr>
      <w:hyperlink w:anchor="_Toc116548587" w:history="1">
        <w:r w:rsidR="00BE67AE" w:rsidRPr="00BE1F3E">
          <w:rPr>
            <w:rStyle w:val="Hyperlink"/>
            <w:noProof/>
          </w:rPr>
          <w:t>6.</w:t>
        </w:r>
        <w:r w:rsidR="00BE67AE">
          <w:rPr>
            <w:rFonts w:asciiTheme="minorHAnsi" w:eastAsiaTheme="minorEastAsia" w:hAnsiTheme="minorHAnsi" w:cstheme="minorBidi"/>
            <w:noProof/>
            <w:szCs w:val="22"/>
            <w:lang w:eastAsia="en-AU"/>
          </w:rPr>
          <w:tab/>
        </w:r>
        <w:r w:rsidR="00BE67AE" w:rsidRPr="00BE1F3E">
          <w:rPr>
            <w:rStyle w:val="Hyperlink"/>
            <w:noProof/>
          </w:rPr>
          <w:t>Timing for Grant and Tender processes?</w:t>
        </w:r>
        <w:r w:rsidR="00BE67AE">
          <w:rPr>
            <w:noProof/>
            <w:webHidden/>
          </w:rPr>
          <w:tab/>
        </w:r>
        <w:r w:rsidR="00BE67AE">
          <w:rPr>
            <w:noProof/>
            <w:webHidden/>
          </w:rPr>
          <w:fldChar w:fldCharType="begin"/>
        </w:r>
        <w:r w:rsidR="00BE67AE">
          <w:rPr>
            <w:noProof/>
            <w:webHidden/>
          </w:rPr>
          <w:instrText xml:space="preserve"> PAGEREF _Toc116548587 \h </w:instrText>
        </w:r>
        <w:r w:rsidR="00BE67AE">
          <w:rPr>
            <w:noProof/>
            <w:webHidden/>
          </w:rPr>
        </w:r>
        <w:r w:rsidR="00BE67AE">
          <w:rPr>
            <w:noProof/>
            <w:webHidden/>
          </w:rPr>
          <w:fldChar w:fldCharType="separate"/>
        </w:r>
        <w:r w:rsidR="00BE67AE">
          <w:rPr>
            <w:noProof/>
            <w:webHidden/>
          </w:rPr>
          <w:t>9</w:t>
        </w:r>
        <w:r w:rsidR="00BE67AE">
          <w:rPr>
            <w:noProof/>
            <w:webHidden/>
          </w:rPr>
          <w:fldChar w:fldCharType="end"/>
        </w:r>
      </w:hyperlink>
    </w:p>
    <w:p w14:paraId="5B9367C6" w14:textId="4CD2DE62" w:rsidR="00BE67AE" w:rsidRDefault="00C329BF">
      <w:pPr>
        <w:pStyle w:val="TOC1"/>
        <w:rPr>
          <w:rFonts w:asciiTheme="minorHAnsi" w:eastAsiaTheme="minorEastAsia" w:hAnsiTheme="minorHAnsi" w:cstheme="minorBidi"/>
          <w:noProof/>
          <w:szCs w:val="22"/>
          <w:lang w:eastAsia="en-AU"/>
        </w:rPr>
      </w:pPr>
      <w:hyperlink w:anchor="_Toc116548588" w:history="1">
        <w:r w:rsidR="00BE67AE" w:rsidRPr="00BE1F3E">
          <w:rPr>
            <w:rStyle w:val="Hyperlink"/>
            <w:noProof/>
          </w:rPr>
          <w:t>7.</w:t>
        </w:r>
        <w:r w:rsidR="00BE67AE">
          <w:rPr>
            <w:rFonts w:asciiTheme="minorHAnsi" w:eastAsiaTheme="minorEastAsia" w:hAnsiTheme="minorHAnsi" w:cstheme="minorBidi"/>
            <w:noProof/>
            <w:szCs w:val="22"/>
            <w:lang w:eastAsia="en-AU"/>
          </w:rPr>
          <w:tab/>
        </w:r>
        <w:r w:rsidR="00BE67AE" w:rsidRPr="00BE1F3E">
          <w:rPr>
            <w:rStyle w:val="Hyperlink"/>
            <w:noProof/>
          </w:rPr>
          <w:t>Funding levels</w:t>
        </w:r>
        <w:r w:rsidR="00BE67AE">
          <w:rPr>
            <w:noProof/>
            <w:webHidden/>
          </w:rPr>
          <w:tab/>
        </w:r>
        <w:r w:rsidR="00BE67AE">
          <w:rPr>
            <w:noProof/>
            <w:webHidden/>
          </w:rPr>
          <w:fldChar w:fldCharType="begin"/>
        </w:r>
        <w:r w:rsidR="00BE67AE">
          <w:rPr>
            <w:noProof/>
            <w:webHidden/>
          </w:rPr>
          <w:instrText xml:space="preserve"> PAGEREF _Toc116548588 \h </w:instrText>
        </w:r>
        <w:r w:rsidR="00BE67AE">
          <w:rPr>
            <w:noProof/>
            <w:webHidden/>
          </w:rPr>
        </w:r>
        <w:r w:rsidR="00BE67AE">
          <w:rPr>
            <w:noProof/>
            <w:webHidden/>
          </w:rPr>
          <w:fldChar w:fldCharType="separate"/>
        </w:r>
        <w:r w:rsidR="00BE67AE">
          <w:rPr>
            <w:noProof/>
            <w:webHidden/>
          </w:rPr>
          <w:t>9</w:t>
        </w:r>
        <w:r w:rsidR="00BE67AE">
          <w:rPr>
            <w:noProof/>
            <w:webHidden/>
          </w:rPr>
          <w:fldChar w:fldCharType="end"/>
        </w:r>
      </w:hyperlink>
    </w:p>
    <w:p w14:paraId="41010F44" w14:textId="328AB5B3" w:rsidR="00BE67AE" w:rsidRDefault="00C329BF">
      <w:pPr>
        <w:pStyle w:val="TOC1"/>
        <w:rPr>
          <w:rFonts w:asciiTheme="minorHAnsi" w:eastAsiaTheme="minorEastAsia" w:hAnsiTheme="minorHAnsi" w:cstheme="minorBidi"/>
          <w:noProof/>
          <w:szCs w:val="22"/>
          <w:lang w:eastAsia="en-AU"/>
        </w:rPr>
      </w:pPr>
      <w:hyperlink w:anchor="_Toc116548589" w:history="1">
        <w:r w:rsidR="00BE67AE" w:rsidRPr="00BE1F3E">
          <w:rPr>
            <w:rStyle w:val="Hyperlink"/>
            <w:noProof/>
          </w:rPr>
          <w:t>8.</w:t>
        </w:r>
        <w:r w:rsidR="00BE67AE">
          <w:rPr>
            <w:rFonts w:asciiTheme="minorHAnsi" w:eastAsiaTheme="minorEastAsia" w:hAnsiTheme="minorHAnsi" w:cstheme="minorBidi"/>
            <w:noProof/>
            <w:szCs w:val="22"/>
            <w:lang w:eastAsia="en-AU"/>
          </w:rPr>
          <w:tab/>
        </w:r>
        <w:r w:rsidR="00BE67AE" w:rsidRPr="00BE1F3E">
          <w:rPr>
            <w:rStyle w:val="Hyperlink"/>
            <w:noProof/>
          </w:rPr>
          <w:t>Further information about processes</w:t>
        </w:r>
        <w:r w:rsidR="00BE67AE">
          <w:rPr>
            <w:noProof/>
            <w:webHidden/>
          </w:rPr>
          <w:tab/>
        </w:r>
        <w:r w:rsidR="00BE67AE">
          <w:rPr>
            <w:noProof/>
            <w:webHidden/>
          </w:rPr>
          <w:fldChar w:fldCharType="begin"/>
        </w:r>
        <w:r w:rsidR="00BE67AE">
          <w:rPr>
            <w:noProof/>
            <w:webHidden/>
          </w:rPr>
          <w:instrText xml:space="preserve"> PAGEREF _Toc116548589 \h </w:instrText>
        </w:r>
        <w:r w:rsidR="00BE67AE">
          <w:rPr>
            <w:noProof/>
            <w:webHidden/>
          </w:rPr>
        </w:r>
        <w:r w:rsidR="00BE67AE">
          <w:rPr>
            <w:noProof/>
            <w:webHidden/>
          </w:rPr>
          <w:fldChar w:fldCharType="separate"/>
        </w:r>
        <w:r w:rsidR="00BE67AE">
          <w:rPr>
            <w:noProof/>
            <w:webHidden/>
          </w:rPr>
          <w:t>10</w:t>
        </w:r>
        <w:r w:rsidR="00BE67AE">
          <w:rPr>
            <w:noProof/>
            <w:webHidden/>
          </w:rPr>
          <w:fldChar w:fldCharType="end"/>
        </w:r>
      </w:hyperlink>
    </w:p>
    <w:p w14:paraId="60B3729A" w14:textId="55FDC917" w:rsidR="00BE67AE" w:rsidRDefault="00C329BF">
      <w:pPr>
        <w:pStyle w:val="TOC1"/>
        <w:rPr>
          <w:rFonts w:asciiTheme="minorHAnsi" w:eastAsiaTheme="minorEastAsia" w:hAnsiTheme="minorHAnsi" w:cstheme="minorBidi"/>
          <w:noProof/>
          <w:szCs w:val="22"/>
          <w:lang w:eastAsia="en-AU"/>
        </w:rPr>
      </w:pPr>
      <w:hyperlink w:anchor="_Toc116548590" w:history="1">
        <w:r w:rsidR="00BE67AE" w:rsidRPr="00BE1F3E">
          <w:rPr>
            <w:rStyle w:val="Hyperlink"/>
            <w:noProof/>
          </w:rPr>
          <w:t>9.</w:t>
        </w:r>
        <w:r w:rsidR="00BE67AE">
          <w:rPr>
            <w:rFonts w:asciiTheme="minorHAnsi" w:eastAsiaTheme="minorEastAsia" w:hAnsiTheme="minorHAnsi" w:cstheme="minorBidi"/>
            <w:noProof/>
            <w:szCs w:val="22"/>
            <w:lang w:eastAsia="en-AU"/>
          </w:rPr>
          <w:tab/>
        </w:r>
        <w:r w:rsidR="00BE67AE" w:rsidRPr="00BE1F3E">
          <w:rPr>
            <w:rStyle w:val="Hyperlink"/>
            <w:noProof/>
          </w:rPr>
          <w:t>Further opportunities for collaborative design</w:t>
        </w:r>
        <w:r w:rsidR="00BE67AE">
          <w:rPr>
            <w:noProof/>
            <w:webHidden/>
          </w:rPr>
          <w:tab/>
        </w:r>
        <w:r w:rsidR="00BE67AE">
          <w:rPr>
            <w:noProof/>
            <w:webHidden/>
          </w:rPr>
          <w:fldChar w:fldCharType="begin"/>
        </w:r>
        <w:r w:rsidR="00BE67AE">
          <w:rPr>
            <w:noProof/>
            <w:webHidden/>
          </w:rPr>
          <w:instrText xml:space="preserve"> PAGEREF _Toc116548590 \h </w:instrText>
        </w:r>
        <w:r w:rsidR="00BE67AE">
          <w:rPr>
            <w:noProof/>
            <w:webHidden/>
          </w:rPr>
        </w:r>
        <w:r w:rsidR="00BE67AE">
          <w:rPr>
            <w:noProof/>
            <w:webHidden/>
          </w:rPr>
          <w:fldChar w:fldCharType="separate"/>
        </w:r>
        <w:r w:rsidR="00BE67AE">
          <w:rPr>
            <w:noProof/>
            <w:webHidden/>
          </w:rPr>
          <w:t>11</w:t>
        </w:r>
        <w:r w:rsidR="00BE67AE">
          <w:rPr>
            <w:noProof/>
            <w:webHidden/>
          </w:rPr>
          <w:fldChar w:fldCharType="end"/>
        </w:r>
      </w:hyperlink>
    </w:p>
    <w:p w14:paraId="5F40620C" w14:textId="7BF4925E" w:rsidR="00BE67AE" w:rsidRDefault="00C329BF">
      <w:pPr>
        <w:pStyle w:val="TOC1"/>
        <w:rPr>
          <w:rFonts w:asciiTheme="minorHAnsi" w:eastAsiaTheme="minorEastAsia" w:hAnsiTheme="minorHAnsi" w:cstheme="minorBidi"/>
          <w:noProof/>
          <w:szCs w:val="22"/>
          <w:lang w:eastAsia="en-AU"/>
        </w:rPr>
      </w:pPr>
      <w:hyperlink w:anchor="_Toc116548591" w:history="1">
        <w:r w:rsidR="00BE67AE" w:rsidRPr="00BE1F3E">
          <w:rPr>
            <w:rStyle w:val="Hyperlink"/>
            <w:noProof/>
          </w:rPr>
          <w:t>10.</w:t>
        </w:r>
        <w:r w:rsidR="00BE67AE">
          <w:rPr>
            <w:rFonts w:asciiTheme="minorHAnsi" w:eastAsiaTheme="minorEastAsia" w:hAnsiTheme="minorHAnsi" w:cstheme="minorBidi"/>
            <w:noProof/>
            <w:szCs w:val="22"/>
            <w:lang w:eastAsia="en-AU"/>
          </w:rPr>
          <w:tab/>
        </w:r>
        <w:r w:rsidR="00BE67AE" w:rsidRPr="00BE1F3E">
          <w:rPr>
            <w:rStyle w:val="Hyperlink"/>
            <w:noProof/>
          </w:rPr>
          <w:t>Responding to issues that arose during commissioning</w:t>
        </w:r>
        <w:r w:rsidR="00BE67AE">
          <w:rPr>
            <w:noProof/>
            <w:webHidden/>
          </w:rPr>
          <w:tab/>
        </w:r>
        <w:r w:rsidR="00BE67AE">
          <w:rPr>
            <w:noProof/>
            <w:webHidden/>
          </w:rPr>
          <w:fldChar w:fldCharType="begin"/>
        </w:r>
        <w:r w:rsidR="00BE67AE">
          <w:rPr>
            <w:noProof/>
            <w:webHidden/>
          </w:rPr>
          <w:instrText xml:space="preserve"> PAGEREF _Toc116548591 \h </w:instrText>
        </w:r>
        <w:r w:rsidR="00BE67AE">
          <w:rPr>
            <w:noProof/>
            <w:webHidden/>
          </w:rPr>
        </w:r>
        <w:r w:rsidR="00BE67AE">
          <w:rPr>
            <w:noProof/>
            <w:webHidden/>
          </w:rPr>
          <w:fldChar w:fldCharType="separate"/>
        </w:r>
        <w:r w:rsidR="00BE67AE">
          <w:rPr>
            <w:noProof/>
            <w:webHidden/>
          </w:rPr>
          <w:t>11</w:t>
        </w:r>
        <w:r w:rsidR="00BE67AE">
          <w:rPr>
            <w:noProof/>
            <w:webHidden/>
          </w:rPr>
          <w:fldChar w:fldCharType="end"/>
        </w:r>
      </w:hyperlink>
    </w:p>
    <w:p w14:paraId="43FE59F9" w14:textId="3872F7E2" w:rsidR="00BE67AE" w:rsidRDefault="00C329BF">
      <w:pPr>
        <w:pStyle w:val="TOC1"/>
        <w:rPr>
          <w:rFonts w:asciiTheme="minorHAnsi" w:eastAsiaTheme="minorEastAsia" w:hAnsiTheme="minorHAnsi" w:cstheme="minorBidi"/>
          <w:noProof/>
          <w:szCs w:val="22"/>
          <w:lang w:eastAsia="en-AU"/>
        </w:rPr>
      </w:pPr>
      <w:hyperlink w:anchor="_Toc116548592" w:history="1">
        <w:r w:rsidR="00BE67AE" w:rsidRPr="00BE1F3E">
          <w:rPr>
            <w:rStyle w:val="Hyperlink"/>
            <w:noProof/>
          </w:rPr>
          <w:t>11.</w:t>
        </w:r>
        <w:r w:rsidR="00BE67AE">
          <w:rPr>
            <w:rFonts w:asciiTheme="minorHAnsi" w:eastAsiaTheme="minorEastAsia" w:hAnsiTheme="minorHAnsi" w:cstheme="minorBidi"/>
            <w:noProof/>
            <w:szCs w:val="22"/>
            <w:lang w:eastAsia="en-AU"/>
          </w:rPr>
          <w:tab/>
        </w:r>
        <w:r w:rsidR="00BE67AE" w:rsidRPr="00BE1F3E">
          <w:rPr>
            <w:rStyle w:val="Hyperlink"/>
            <w:noProof/>
          </w:rPr>
          <w:t>Responding to needs of Aboriginal and Torres Strait Islanders</w:t>
        </w:r>
        <w:r w:rsidR="00BE67AE">
          <w:rPr>
            <w:noProof/>
            <w:webHidden/>
          </w:rPr>
          <w:tab/>
        </w:r>
        <w:r w:rsidR="00BE67AE">
          <w:rPr>
            <w:noProof/>
            <w:webHidden/>
          </w:rPr>
          <w:fldChar w:fldCharType="begin"/>
        </w:r>
        <w:r w:rsidR="00BE67AE">
          <w:rPr>
            <w:noProof/>
            <w:webHidden/>
          </w:rPr>
          <w:instrText xml:space="preserve"> PAGEREF _Toc116548592 \h </w:instrText>
        </w:r>
        <w:r w:rsidR="00BE67AE">
          <w:rPr>
            <w:noProof/>
            <w:webHidden/>
          </w:rPr>
        </w:r>
        <w:r w:rsidR="00BE67AE">
          <w:rPr>
            <w:noProof/>
            <w:webHidden/>
          </w:rPr>
          <w:fldChar w:fldCharType="separate"/>
        </w:r>
        <w:r w:rsidR="00BE67AE">
          <w:rPr>
            <w:noProof/>
            <w:webHidden/>
          </w:rPr>
          <w:t>12</w:t>
        </w:r>
        <w:r w:rsidR="00BE67AE">
          <w:rPr>
            <w:noProof/>
            <w:webHidden/>
          </w:rPr>
          <w:fldChar w:fldCharType="end"/>
        </w:r>
      </w:hyperlink>
    </w:p>
    <w:p w14:paraId="0FCE89B7" w14:textId="0AD27079" w:rsidR="00BE67AE" w:rsidRDefault="00C329BF">
      <w:pPr>
        <w:pStyle w:val="TOC1"/>
        <w:rPr>
          <w:rFonts w:asciiTheme="minorHAnsi" w:eastAsiaTheme="minorEastAsia" w:hAnsiTheme="minorHAnsi" w:cstheme="minorBidi"/>
          <w:noProof/>
          <w:szCs w:val="22"/>
          <w:lang w:eastAsia="en-AU"/>
        </w:rPr>
      </w:pPr>
      <w:hyperlink w:anchor="_Toc116548593" w:history="1">
        <w:r w:rsidR="00BE67AE" w:rsidRPr="00BE1F3E">
          <w:rPr>
            <w:rStyle w:val="Hyperlink"/>
            <w:noProof/>
          </w:rPr>
          <w:t>12.</w:t>
        </w:r>
        <w:r w:rsidR="00BE67AE">
          <w:rPr>
            <w:rFonts w:asciiTheme="minorHAnsi" w:eastAsiaTheme="minorEastAsia" w:hAnsiTheme="minorHAnsi" w:cstheme="minorBidi"/>
            <w:noProof/>
            <w:szCs w:val="22"/>
            <w:lang w:eastAsia="en-AU"/>
          </w:rPr>
          <w:tab/>
        </w:r>
        <w:r w:rsidR="00BE67AE" w:rsidRPr="00BE1F3E">
          <w:rPr>
            <w:rStyle w:val="Hyperlink"/>
            <w:noProof/>
          </w:rPr>
          <w:t>The need for more social, community and affordable housing options</w:t>
        </w:r>
        <w:r w:rsidR="00BE67AE">
          <w:rPr>
            <w:noProof/>
            <w:webHidden/>
          </w:rPr>
          <w:tab/>
        </w:r>
        <w:r w:rsidR="00BE67AE">
          <w:rPr>
            <w:noProof/>
            <w:webHidden/>
          </w:rPr>
          <w:fldChar w:fldCharType="begin"/>
        </w:r>
        <w:r w:rsidR="00BE67AE">
          <w:rPr>
            <w:noProof/>
            <w:webHidden/>
          </w:rPr>
          <w:instrText xml:space="preserve"> PAGEREF _Toc116548593 \h </w:instrText>
        </w:r>
        <w:r w:rsidR="00BE67AE">
          <w:rPr>
            <w:noProof/>
            <w:webHidden/>
          </w:rPr>
        </w:r>
        <w:r w:rsidR="00BE67AE">
          <w:rPr>
            <w:noProof/>
            <w:webHidden/>
          </w:rPr>
          <w:fldChar w:fldCharType="separate"/>
        </w:r>
        <w:r w:rsidR="00BE67AE">
          <w:rPr>
            <w:noProof/>
            <w:webHidden/>
          </w:rPr>
          <w:t>12</w:t>
        </w:r>
        <w:r w:rsidR="00BE67AE">
          <w:rPr>
            <w:noProof/>
            <w:webHidden/>
          </w:rPr>
          <w:fldChar w:fldCharType="end"/>
        </w:r>
      </w:hyperlink>
    </w:p>
    <w:p w14:paraId="0185E64F" w14:textId="15602CB1" w:rsidR="00BE67AE" w:rsidRDefault="00C329BF">
      <w:pPr>
        <w:pStyle w:val="TOC1"/>
        <w:rPr>
          <w:rFonts w:asciiTheme="minorHAnsi" w:eastAsiaTheme="minorEastAsia" w:hAnsiTheme="minorHAnsi" w:cstheme="minorBidi"/>
          <w:noProof/>
          <w:szCs w:val="22"/>
          <w:lang w:eastAsia="en-AU"/>
        </w:rPr>
      </w:pPr>
      <w:hyperlink w:anchor="_Toc116548594" w:history="1">
        <w:r w:rsidR="00BE67AE" w:rsidRPr="00BE1F3E">
          <w:rPr>
            <w:rStyle w:val="Hyperlink"/>
            <w:noProof/>
          </w:rPr>
          <w:t>13.</w:t>
        </w:r>
        <w:r w:rsidR="00BE67AE">
          <w:rPr>
            <w:rFonts w:asciiTheme="minorHAnsi" w:eastAsiaTheme="minorEastAsia" w:hAnsiTheme="minorHAnsi" w:cstheme="minorBidi"/>
            <w:noProof/>
            <w:szCs w:val="22"/>
            <w:lang w:eastAsia="en-AU"/>
          </w:rPr>
          <w:tab/>
        </w:r>
        <w:r w:rsidR="00BE67AE" w:rsidRPr="00BE1F3E">
          <w:rPr>
            <w:rStyle w:val="Hyperlink"/>
            <w:noProof/>
          </w:rPr>
          <w:t>Service System enhancements</w:t>
        </w:r>
        <w:r w:rsidR="00BE67AE">
          <w:rPr>
            <w:noProof/>
            <w:webHidden/>
          </w:rPr>
          <w:tab/>
        </w:r>
        <w:r w:rsidR="00BE67AE">
          <w:rPr>
            <w:noProof/>
            <w:webHidden/>
          </w:rPr>
          <w:fldChar w:fldCharType="begin"/>
        </w:r>
        <w:r w:rsidR="00BE67AE">
          <w:rPr>
            <w:noProof/>
            <w:webHidden/>
          </w:rPr>
          <w:instrText xml:space="preserve"> PAGEREF _Toc116548594 \h </w:instrText>
        </w:r>
        <w:r w:rsidR="00BE67AE">
          <w:rPr>
            <w:noProof/>
            <w:webHidden/>
          </w:rPr>
        </w:r>
        <w:r w:rsidR="00BE67AE">
          <w:rPr>
            <w:noProof/>
            <w:webHidden/>
          </w:rPr>
          <w:fldChar w:fldCharType="separate"/>
        </w:r>
        <w:r w:rsidR="00BE67AE">
          <w:rPr>
            <w:noProof/>
            <w:webHidden/>
          </w:rPr>
          <w:t>13</w:t>
        </w:r>
        <w:r w:rsidR="00BE67AE">
          <w:rPr>
            <w:noProof/>
            <w:webHidden/>
          </w:rPr>
          <w:fldChar w:fldCharType="end"/>
        </w:r>
      </w:hyperlink>
    </w:p>
    <w:p w14:paraId="08E11A5A" w14:textId="5E2A94ED" w:rsidR="00BE67AE" w:rsidRDefault="00C329BF">
      <w:pPr>
        <w:pStyle w:val="TOC1"/>
        <w:rPr>
          <w:rFonts w:asciiTheme="minorHAnsi" w:eastAsiaTheme="minorEastAsia" w:hAnsiTheme="minorHAnsi" w:cstheme="minorBidi"/>
          <w:noProof/>
          <w:szCs w:val="22"/>
          <w:lang w:eastAsia="en-AU"/>
        </w:rPr>
      </w:pPr>
      <w:hyperlink w:anchor="_Toc116548595" w:history="1">
        <w:r w:rsidR="00BE67AE" w:rsidRPr="00BE1F3E">
          <w:rPr>
            <w:rStyle w:val="Hyperlink"/>
            <w:noProof/>
          </w:rPr>
          <w:t>14.</w:t>
        </w:r>
        <w:r w:rsidR="00BE67AE">
          <w:rPr>
            <w:rFonts w:asciiTheme="minorHAnsi" w:eastAsiaTheme="minorEastAsia" w:hAnsiTheme="minorHAnsi" w:cstheme="minorBidi"/>
            <w:noProof/>
            <w:szCs w:val="22"/>
            <w:lang w:eastAsia="en-AU"/>
          </w:rPr>
          <w:tab/>
        </w:r>
        <w:r w:rsidR="00BE67AE" w:rsidRPr="00BE1F3E">
          <w:rPr>
            <w:rStyle w:val="Hyperlink"/>
            <w:noProof/>
          </w:rPr>
          <w:t>Meeting needs of clients who face barriers</w:t>
        </w:r>
        <w:r w:rsidR="00BE67AE">
          <w:rPr>
            <w:noProof/>
            <w:webHidden/>
          </w:rPr>
          <w:tab/>
        </w:r>
        <w:r w:rsidR="00BE67AE">
          <w:rPr>
            <w:noProof/>
            <w:webHidden/>
          </w:rPr>
          <w:fldChar w:fldCharType="begin"/>
        </w:r>
        <w:r w:rsidR="00BE67AE">
          <w:rPr>
            <w:noProof/>
            <w:webHidden/>
          </w:rPr>
          <w:instrText xml:space="preserve"> PAGEREF _Toc116548595 \h </w:instrText>
        </w:r>
        <w:r w:rsidR="00BE67AE">
          <w:rPr>
            <w:noProof/>
            <w:webHidden/>
          </w:rPr>
        </w:r>
        <w:r w:rsidR="00BE67AE">
          <w:rPr>
            <w:noProof/>
            <w:webHidden/>
          </w:rPr>
          <w:fldChar w:fldCharType="separate"/>
        </w:r>
        <w:r w:rsidR="00BE67AE">
          <w:rPr>
            <w:noProof/>
            <w:webHidden/>
          </w:rPr>
          <w:t>13</w:t>
        </w:r>
        <w:r w:rsidR="00BE67AE">
          <w:rPr>
            <w:noProof/>
            <w:webHidden/>
          </w:rPr>
          <w:fldChar w:fldCharType="end"/>
        </w:r>
      </w:hyperlink>
    </w:p>
    <w:p w14:paraId="3EBCA445" w14:textId="1DA28570" w:rsidR="00BE67AE" w:rsidRDefault="00C329BF">
      <w:pPr>
        <w:pStyle w:val="TOC1"/>
        <w:rPr>
          <w:rFonts w:asciiTheme="minorHAnsi" w:eastAsiaTheme="minorEastAsia" w:hAnsiTheme="minorHAnsi" w:cstheme="minorBidi"/>
          <w:noProof/>
          <w:szCs w:val="22"/>
          <w:lang w:eastAsia="en-AU"/>
        </w:rPr>
      </w:pPr>
      <w:hyperlink w:anchor="_Toc116548596" w:history="1">
        <w:r w:rsidR="00BE67AE" w:rsidRPr="00BE1F3E">
          <w:rPr>
            <w:rStyle w:val="Hyperlink"/>
            <w:noProof/>
          </w:rPr>
          <w:t>15.</w:t>
        </w:r>
        <w:r w:rsidR="00BE67AE">
          <w:rPr>
            <w:rFonts w:asciiTheme="minorHAnsi" w:eastAsiaTheme="minorEastAsia" w:hAnsiTheme="minorHAnsi" w:cstheme="minorBidi"/>
            <w:noProof/>
            <w:szCs w:val="22"/>
            <w:lang w:eastAsia="en-AU"/>
          </w:rPr>
          <w:tab/>
        </w:r>
        <w:r w:rsidR="00BE67AE" w:rsidRPr="00BE1F3E">
          <w:rPr>
            <w:rStyle w:val="Hyperlink"/>
            <w:noProof/>
          </w:rPr>
          <w:t>Supporting clients with high and complex needs</w:t>
        </w:r>
        <w:r w:rsidR="00BE67AE">
          <w:rPr>
            <w:noProof/>
            <w:webHidden/>
          </w:rPr>
          <w:tab/>
        </w:r>
        <w:r w:rsidR="00BE67AE">
          <w:rPr>
            <w:noProof/>
            <w:webHidden/>
          </w:rPr>
          <w:fldChar w:fldCharType="begin"/>
        </w:r>
        <w:r w:rsidR="00BE67AE">
          <w:rPr>
            <w:noProof/>
            <w:webHidden/>
          </w:rPr>
          <w:instrText xml:space="preserve"> PAGEREF _Toc116548596 \h </w:instrText>
        </w:r>
        <w:r w:rsidR="00BE67AE">
          <w:rPr>
            <w:noProof/>
            <w:webHidden/>
          </w:rPr>
        </w:r>
        <w:r w:rsidR="00BE67AE">
          <w:rPr>
            <w:noProof/>
            <w:webHidden/>
          </w:rPr>
          <w:fldChar w:fldCharType="separate"/>
        </w:r>
        <w:r w:rsidR="00BE67AE">
          <w:rPr>
            <w:noProof/>
            <w:webHidden/>
          </w:rPr>
          <w:t>13</w:t>
        </w:r>
        <w:r w:rsidR="00BE67AE">
          <w:rPr>
            <w:noProof/>
            <w:webHidden/>
          </w:rPr>
          <w:fldChar w:fldCharType="end"/>
        </w:r>
      </w:hyperlink>
    </w:p>
    <w:p w14:paraId="65F6CB89" w14:textId="4EE0D646" w:rsidR="00BE67AE" w:rsidRDefault="00C329BF">
      <w:pPr>
        <w:pStyle w:val="TOC1"/>
        <w:rPr>
          <w:rFonts w:asciiTheme="minorHAnsi" w:eastAsiaTheme="minorEastAsia" w:hAnsiTheme="minorHAnsi" w:cstheme="minorBidi"/>
          <w:noProof/>
          <w:szCs w:val="22"/>
          <w:lang w:eastAsia="en-AU"/>
        </w:rPr>
      </w:pPr>
      <w:hyperlink w:anchor="_Toc116548597" w:history="1">
        <w:r w:rsidR="00BE67AE" w:rsidRPr="00BE1F3E">
          <w:rPr>
            <w:rStyle w:val="Hyperlink"/>
            <w:noProof/>
          </w:rPr>
          <w:t>16.</w:t>
        </w:r>
        <w:r w:rsidR="00BE67AE">
          <w:rPr>
            <w:rFonts w:asciiTheme="minorHAnsi" w:eastAsiaTheme="minorEastAsia" w:hAnsiTheme="minorHAnsi" w:cstheme="minorBidi"/>
            <w:noProof/>
            <w:szCs w:val="22"/>
            <w:lang w:eastAsia="en-AU"/>
          </w:rPr>
          <w:tab/>
        </w:r>
        <w:r w:rsidR="00BE67AE" w:rsidRPr="00BE1F3E">
          <w:rPr>
            <w:rStyle w:val="Hyperlink"/>
            <w:noProof/>
          </w:rPr>
          <w:t>A new model for central intake</w:t>
        </w:r>
        <w:r w:rsidR="00BE67AE">
          <w:rPr>
            <w:noProof/>
            <w:webHidden/>
          </w:rPr>
          <w:tab/>
        </w:r>
        <w:r w:rsidR="00BE67AE">
          <w:rPr>
            <w:noProof/>
            <w:webHidden/>
          </w:rPr>
          <w:fldChar w:fldCharType="begin"/>
        </w:r>
        <w:r w:rsidR="00BE67AE">
          <w:rPr>
            <w:noProof/>
            <w:webHidden/>
          </w:rPr>
          <w:instrText xml:space="preserve"> PAGEREF _Toc116548597 \h </w:instrText>
        </w:r>
        <w:r w:rsidR="00BE67AE">
          <w:rPr>
            <w:noProof/>
            <w:webHidden/>
          </w:rPr>
        </w:r>
        <w:r w:rsidR="00BE67AE">
          <w:rPr>
            <w:noProof/>
            <w:webHidden/>
          </w:rPr>
          <w:fldChar w:fldCharType="separate"/>
        </w:r>
        <w:r w:rsidR="00BE67AE">
          <w:rPr>
            <w:noProof/>
            <w:webHidden/>
          </w:rPr>
          <w:t>14</w:t>
        </w:r>
        <w:r w:rsidR="00BE67AE">
          <w:rPr>
            <w:noProof/>
            <w:webHidden/>
          </w:rPr>
          <w:fldChar w:fldCharType="end"/>
        </w:r>
      </w:hyperlink>
    </w:p>
    <w:p w14:paraId="47EB2E78" w14:textId="379F10DF" w:rsidR="00BE67AE" w:rsidRDefault="00C329BF">
      <w:pPr>
        <w:pStyle w:val="TOC1"/>
        <w:rPr>
          <w:rFonts w:asciiTheme="minorHAnsi" w:eastAsiaTheme="minorEastAsia" w:hAnsiTheme="minorHAnsi" w:cstheme="minorBidi"/>
          <w:noProof/>
          <w:szCs w:val="22"/>
          <w:lang w:eastAsia="en-AU"/>
        </w:rPr>
      </w:pPr>
      <w:hyperlink w:anchor="_Toc116548598" w:history="1">
        <w:r w:rsidR="00BE67AE" w:rsidRPr="00BE1F3E">
          <w:rPr>
            <w:rStyle w:val="Hyperlink"/>
            <w:noProof/>
          </w:rPr>
          <w:t>17.</w:t>
        </w:r>
        <w:r w:rsidR="00BE67AE">
          <w:rPr>
            <w:rFonts w:asciiTheme="minorHAnsi" w:eastAsiaTheme="minorEastAsia" w:hAnsiTheme="minorHAnsi" w:cstheme="minorBidi"/>
            <w:noProof/>
            <w:szCs w:val="22"/>
            <w:lang w:eastAsia="en-AU"/>
          </w:rPr>
          <w:tab/>
        </w:r>
        <w:r w:rsidR="00BE67AE" w:rsidRPr="00BE1F3E">
          <w:rPr>
            <w:rStyle w:val="Hyperlink"/>
            <w:noProof/>
          </w:rPr>
          <w:t>Conclusion</w:t>
        </w:r>
        <w:r w:rsidR="00BE67AE">
          <w:rPr>
            <w:noProof/>
            <w:webHidden/>
          </w:rPr>
          <w:tab/>
        </w:r>
        <w:r w:rsidR="00BE67AE">
          <w:rPr>
            <w:noProof/>
            <w:webHidden/>
          </w:rPr>
          <w:fldChar w:fldCharType="begin"/>
        </w:r>
        <w:r w:rsidR="00BE67AE">
          <w:rPr>
            <w:noProof/>
            <w:webHidden/>
          </w:rPr>
          <w:instrText xml:space="preserve"> PAGEREF _Toc116548598 \h </w:instrText>
        </w:r>
        <w:r w:rsidR="00BE67AE">
          <w:rPr>
            <w:noProof/>
            <w:webHidden/>
          </w:rPr>
        </w:r>
        <w:r w:rsidR="00BE67AE">
          <w:rPr>
            <w:noProof/>
            <w:webHidden/>
          </w:rPr>
          <w:fldChar w:fldCharType="separate"/>
        </w:r>
        <w:r w:rsidR="00BE67AE">
          <w:rPr>
            <w:noProof/>
            <w:webHidden/>
          </w:rPr>
          <w:t>14</w:t>
        </w:r>
        <w:r w:rsidR="00BE67AE">
          <w:rPr>
            <w:noProof/>
            <w:webHidden/>
          </w:rPr>
          <w:fldChar w:fldCharType="end"/>
        </w:r>
      </w:hyperlink>
    </w:p>
    <w:p w14:paraId="777EE7B6" w14:textId="24629A6C" w:rsidR="00687E34" w:rsidRPr="00687E34" w:rsidRDefault="00C30B8B" w:rsidP="00687E34">
      <w:r>
        <w:fldChar w:fldCharType="end"/>
      </w:r>
    </w:p>
    <w:p w14:paraId="43EF4B7A" w14:textId="77777777" w:rsidR="0086333E" w:rsidRDefault="0086333E">
      <w:pPr>
        <w:spacing w:before="0" w:after="160" w:line="259" w:lineRule="auto"/>
        <w:rPr>
          <w:rFonts w:asciiTheme="minorHAnsi" w:eastAsiaTheme="minorHAnsi" w:hAnsiTheme="minorHAnsi" w:cstheme="minorHAnsi"/>
          <w:b/>
          <w:color w:val="7030A0"/>
          <w:kern w:val="28"/>
          <w:sz w:val="32"/>
          <w:szCs w:val="14"/>
        </w:rPr>
      </w:pPr>
      <w:r>
        <w:br w:type="page"/>
      </w:r>
    </w:p>
    <w:p w14:paraId="09FAA521" w14:textId="77777777" w:rsidR="0086333E" w:rsidRDefault="0086333E" w:rsidP="0086333E">
      <w:pPr>
        <w:pStyle w:val="1-PACT"/>
      </w:pPr>
      <w:r>
        <w:lastRenderedPageBreak/>
        <w:t>How to use this template</w:t>
      </w:r>
    </w:p>
    <w:p w14:paraId="7212025A" w14:textId="77777777" w:rsidR="0086333E" w:rsidRPr="00C329BF" w:rsidRDefault="0086333E" w:rsidP="0086333E">
      <w:pPr>
        <w:pStyle w:val="Tablefigures"/>
        <w:rPr>
          <w:highlight w:val="lightGray"/>
        </w:rPr>
      </w:pPr>
      <w:r w:rsidRPr="00C329BF">
        <w:rPr>
          <w:highlight w:val="lightGray"/>
        </w:rPr>
        <w:t xml:space="preserve">This template can help you develop your draft Strategic Investment Plan. </w:t>
      </w:r>
    </w:p>
    <w:p w14:paraId="73DAAEFC" w14:textId="77777777" w:rsidR="0086333E" w:rsidRPr="00C329BF" w:rsidRDefault="0086333E" w:rsidP="0086333E">
      <w:pPr>
        <w:pStyle w:val="Tablefigures"/>
        <w:rPr>
          <w:highlight w:val="lightGray"/>
        </w:rPr>
      </w:pPr>
      <w:r w:rsidRPr="00C329BF">
        <w:rPr>
          <w:highlight w:val="lightGray"/>
        </w:rPr>
        <w:t xml:space="preserve">A Strategic Investment Plan is released publicly to potential service providers and sector partners. </w:t>
      </w:r>
    </w:p>
    <w:p w14:paraId="34255153" w14:textId="6280C8BF" w:rsidR="00C329BF" w:rsidRPr="00C329BF" w:rsidRDefault="00C329BF" w:rsidP="0086333E">
      <w:pPr>
        <w:pStyle w:val="Tablefigures"/>
        <w:rPr>
          <w:highlight w:val="lightGray"/>
        </w:rPr>
      </w:pPr>
      <w:r w:rsidRPr="00C329BF">
        <w:rPr>
          <w:highlight w:val="lightGray"/>
        </w:rPr>
        <w:t>Potential partner and service provider o</w:t>
      </w:r>
      <w:r w:rsidR="0086333E" w:rsidRPr="00C329BF">
        <w:rPr>
          <w:highlight w:val="lightGray"/>
        </w:rPr>
        <w:t>rganisations can use this Strategic Investment Plan begin preparing how they</w:t>
      </w:r>
      <w:r w:rsidRPr="00C329BF">
        <w:rPr>
          <w:highlight w:val="lightGray"/>
        </w:rPr>
        <w:t xml:space="preserve"> want to position themselves in the service mix and how they</w:t>
      </w:r>
      <w:r w:rsidR="0086333E" w:rsidRPr="00C329BF">
        <w:rPr>
          <w:highlight w:val="lightGray"/>
        </w:rPr>
        <w:t xml:space="preserve"> will respond to the upcoming investment opportunities. </w:t>
      </w:r>
    </w:p>
    <w:p w14:paraId="71318C68" w14:textId="01A23204" w:rsidR="0086333E" w:rsidRPr="00C329BF" w:rsidRDefault="00C329BF" w:rsidP="0086333E">
      <w:pPr>
        <w:pStyle w:val="Tablefigures"/>
        <w:rPr>
          <w:highlight w:val="lightGray"/>
        </w:rPr>
      </w:pPr>
      <w:r w:rsidRPr="00C329BF">
        <w:rPr>
          <w:highlight w:val="lightGray"/>
        </w:rPr>
        <w:t>Potential partner and service provider o</w:t>
      </w:r>
      <w:r w:rsidR="0086333E" w:rsidRPr="00C329BF">
        <w:rPr>
          <w:highlight w:val="lightGray"/>
        </w:rPr>
        <w:t>rganisations can understand how the engagement and collaboration phases of commissioning (</w:t>
      </w:r>
      <w:proofErr w:type="spellStart"/>
      <w:r w:rsidR="0086333E" w:rsidRPr="00C329BF">
        <w:rPr>
          <w:highlight w:val="lightGray"/>
        </w:rPr>
        <w:t>strategise</w:t>
      </w:r>
      <w:proofErr w:type="spellEnd"/>
      <w:r w:rsidR="0086333E" w:rsidRPr="00C329BF">
        <w:rPr>
          <w:highlight w:val="lightGray"/>
        </w:rPr>
        <w:t xml:space="preserve"> and design) have informed new service requirements and this investment approach. </w:t>
      </w:r>
    </w:p>
    <w:p w14:paraId="466562C6" w14:textId="0CD3614E" w:rsidR="00C329BF" w:rsidRDefault="00C329BF" w:rsidP="0086333E">
      <w:pPr>
        <w:pStyle w:val="Tablefigures"/>
      </w:pPr>
      <w:r w:rsidRPr="00C329BF">
        <w:rPr>
          <w:highlight w:val="lightGray"/>
        </w:rPr>
        <w:t>Your Strategic Investment Plan will take time, discussions with Procurement ACT, and require a range of approvals. You may also seek to release the plan as a draft to give non-government organisations an opportunity to identify investment or service impacts.</w:t>
      </w:r>
      <w:r>
        <w:t xml:space="preserve">  </w:t>
      </w:r>
    </w:p>
    <w:p w14:paraId="3340BE63" w14:textId="03F023FE" w:rsidR="00687E34" w:rsidRPr="0086333E" w:rsidRDefault="00687E34" w:rsidP="0086333E">
      <w:pPr>
        <w:pStyle w:val="Tablefigures"/>
      </w:pPr>
      <w:r w:rsidRPr="0086333E">
        <w:br w:type="page"/>
      </w:r>
    </w:p>
    <w:p w14:paraId="2B200DFF" w14:textId="4157D571" w:rsidR="00E345D3" w:rsidRDefault="000413BD" w:rsidP="00DB24B9">
      <w:pPr>
        <w:pStyle w:val="Heading1"/>
        <w:numPr>
          <w:ilvl w:val="0"/>
          <w:numId w:val="22"/>
        </w:numPr>
      </w:pPr>
      <w:bookmarkStart w:id="1" w:name="_Toc116548582"/>
      <w:r>
        <w:lastRenderedPageBreak/>
        <w:t>Minister’s Message</w:t>
      </w:r>
      <w:bookmarkEnd w:id="1"/>
    </w:p>
    <w:p w14:paraId="2E5D34C8" w14:textId="16C83712" w:rsidR="00581C86" w:rsidRDefault="00581C86" w:rsidP="004A388F">
      <w:pPr>
        <w:spacing w:before="120" w:after="0" w:line="240" w:lineRule="auto"/>
      </w:pPr>
      <w:r w:rsidRPr="00581C86">
        <w:rPr>
          <w:highlight w:val="yellow"/>
        </w:rPr>
        <w:t>You may include a Minister’s message – your strategic investment plan will need Ministerial approval.</w:t>
      </w:r>
    </w:p>
    <w:p w14:paraId="535886C1" w14:textId="77777777" w:rsidR="00581C86" w:rsidRDefault="00581C86" w:rsidP="004A388F">
      <w:pPr>
        <w:spacing w:before="120" w:after="0" w:line="240" w:lineRule="auto"/>
      </w:pPr>
    </w:p>
    <w:p w14:paraId="04AADFF1" w14:textId="2909CB79" w:rsidR="00DA2C46" w:rsidRDefault="00DA2C46" w:rsidP="003F1850">
      <w:pPr>
        <w:spacing w:before="120" w:after="0" w:line="240" w:lineRule="auto"/>
      </w:pPr>
    </w:p>
    <w:p w14:paraId="77CFAD3B" w14:textId="7535AD30" w:rsidR="00D14BEB" w:rsidRDefault="00D14BEB" w:rsidP="003F1850">
      <w:pPr>
        <w:spacing w:before="120" w:after="0" w:line="240" w:lineRule="auto"/>
      </w:pPr>
    </w:p>
    <w:p w14:paraId="2741F4EA" w14:textId="77777777" w:rsidR="00D14BEB" w:rsidRDefault="00D14BEB" w:rsidP="003F1850">
      <w:pPr>
        <w:spacing w:before="120" w:after="0" w:line="240" w:lineRule="auto"/>
      </w:pPr>
    </w:p>
    <w:p w14:paraId="54D8FA0D" w14:textId="2E889381" w:rsidR="00DB24B9" w:rsidRPr="00D14BEB" w:rsidRDefault="00581C86" w:rsidP="00D14BEB">
      <w:pPr>
        <w:spacing w:before="120" w:after="0" w:line="240" w:lineRule="auto"/>
        <w:rPr>
          <w:rFonts w:asciiTheme="minorHAnsi" w:hAnsiTheme="minorHAnsi" w:cstheme="minorHAnsi"/>
          <w:sz w:val="24"/>
          <w:szCs w:val="24"/>
        </w:rPr>
      </w:pPr>
      <w:r>
        <w:rPr>
          <w:rFonts w:asciiTheme="minorHAnsi" w:hAnsiTheme="minorHAnsi" w:cstheme="minorHAnsi"/>
          <w:sz w:val="24"/>
          <w:szCs w:val="24"/>
        </w:rPr>
        <w:t>&lt;NAME&gt;</w:t>
      </w:r>
      <w:r w:rsidR="00D14BEB" w:rsidRPr="00D14BEB">
        <w:rPr>
          <w:rFonts w:asciiTheme="minorHAnsi" w:hAnsiTheme="minorHAnsi" w:cstheme="minorHAnsi"/>
          <w:sz w:val="24"/>
          <w:szCs w:val="24"/>
        </w:rPr>
        <w:t>, MLA</w:t>
      </w:r>
    </w:p>
    <w:p w14:paraId="6F98C287" w14:textId="70F6F4F3" w:rsidR="00D14BEB" w:rsidRPr="00D14BEB" w:rsidRDefault="00D14BEB" w:rsidP="00581C86">
      <w:pPr>
        <w:spacing w:before="0" w:after="0" w:line="240" w:lineRule="auto"/>
        <w:rPr>
          <w:rFonts w:asciiTheme="minorHAnsi" w:hAnsiTheme="minorHAnsi" w:cstheme="minorHAnsi"/>
          <w:sz w:val="24"/>
          <w:szCs w:val="24"/>
        </w:rPr>
      </w:pPr>
      <w:r w:rsidRPr="00D14BEB">
        <w:rPr>
          <w:rFonts w:asciiTheme="minorHAnsi" w:hAnsiTheme="minorHAnsi" w:cstheme="minorHAnsi"/>
          <w:sz w:val="24"/>
          <w:szCs w:val="24"/>
        </w:rPr>
        <w:t xml:space="preserve">Minister for </w:t>
      </w:r>
      <w:r w:rsidR="00581C86">
        <w:rPr>
          <w:rFonts w:asciiTheme="minorHAnsi" w:hAnsiTheme="minorHAnsi" w:cstheme="minorHAnsi"/>
          <w:color w:val="313131"/>
          <w:sz w:val="24"/>
          <w:szCs w:val="24"/>
        </w:rPr>
        <w:t>&lt;PORTFOLIO&gt;</w:t>
      </w:r>
    </w:p>
    <w:p w14:paraId="76CFCAF2" w14:textId="1CA9AB10" w:rsidR="00DB24B9" w:rsidRPr="00D14BEB" w:rsidRDefault="00DB24B9" w:rsidP="00D14BEB">
      <w:pPr>
        <w:spacing w:before="120" w:after="0" w:line="240" w:lineRule="auto"/>
        <w:rPr>
          <w:sz w:val="24"/>
          <w:szCs w:val="24"/>
        </w:rPr>
      </w:pPr>
    </w:p>
    <w:p w14:paraId="3414561C" w14:textId="3FBFF10F" w:rsidR="00C2077D" w:rsidRDefault="00C2077D">
      <w:pPr>
        <w:spacing w:before="0" w:after="160" w:line="259" w:lineRule="auto"/>
      </w:pPr>
      <w:r>
        <w:br w:type="page"/>
      </w:r>
    </w:p>
    <w:p w14:paraId="418FB0B4" w14:textId="6DF63F6E" w:rsidR="00DB24B9" w:rsidRDefault="002754B6" w:rsidP="002754B6">
      <w:pPr>
        <w:pStyle w:val="1-PACT"/>
      </w:pPr>
      <w:r>
        <w:lastRenderedPageBreak/>
        <w:t xml:space="preserve">Commissioning impact </w:t>
      </w:r>
    </w:p>
    <w:p w14:paraId="1AEC6190" w14:textId="48900ADD" w:rsidR="002754B6" w:rsidRPr="002754B6" w:rsidRDefault="002754B6" w:rsidP="002754B6">
      <w:pPr>
        <w:rPr>
          <w:i/>
          <w:iCs/>
        </w:rPr>
      </w:pPr>
      <w:r w:rsidRPr="006A2AC5">
        <w:rPr>
          <w:i/>
          <w:iCs/>
          <w:highlight w:val="lightGray"/>
        </w:rPr>
        <w:t xml:space="preserve">Potential providers and partners responding to this investment plan will want to understand what will be different in their sector and for the community because of </w:t>
      </w:r>
      <w:r w:rsidR="006A2AC5" w:rsidRPr="006A2AC5">
        <w:rPr>
          <w:i/>
          <w:iCs/>
          <w:highlight w:val="lightGray"/>
        </w:rPr>
        <w:t>commissioning. The needs, services and investment approaches will be further unpacked in the investment plan.</w:t>
      </w:r>
      <w:r w:rsidR="006A2AC5">
        <w:rPr>
          <w:i/>
          <w:iCs/>
        </w:rPr>
        <w:t xml:space="preserve"> </w:t>
      </w:r>
    </w:p>
    <w:p w14:paraId="7AACBAF0" w14:textId="4EA8207F" w:rsidR="00C2077D" w:rsidRPr="00FE0085" w:rsidRDefault="00C2077D" w:rsidP="00C2077D">
      <w:pPr>
        <w:pStyle w:val="Heading1"/>
      </w:pPr>
      <w:r>
        <w:t xml:space="preserve">Current service </w:t>
      </w:r>
      <w:r w:rsidR="006A2AC5">
        <w:t>summary</w:t>
      </w:r>
    </w:p>
    <w:p w14:paraId="2776EBF7" w14:textId="3576449A" w:rsidR="0031029F" w:rsidRPr="00C2077D" w:rsidRDefault="00C2077D" w:rsidP="00C2077D">
      <w:pPr>
        <w:pStyle w:val="111-PACT"/>
        <w:rPr>
          <w:highlight w:val="yellow"/>
        </w:rPr>
      </w:pPr>
      <w:r w:rsidRPr="00C2077D">
        <w:rPr>
          <w:highlight w:val="yellow"/>
        </w:rPr>
        <w:t xml:space="preserve">Outline the need - how many people receive services under existing arrangements </w:t>
      </w:r>
    </w:p>
    <w:p w14:paraId="00DD5B7C" w14:textId="5580E3D8" w:rsidR="00C2077D" w:rsidRPr="00C2077D" w:rsidRDefault="00C2077D" w:rsidP="00C2077D">
      <w:pPr>
        <w:pStyle w:val="111-PACT"/>
        <w:rPr>
          <w:highlight w:val="yellow"/>
        </w:rPr>
      </w:pPr>
      <w:r w:rsidRPr="00C2077D">
        <w:rPr>
          <w:highlight w:val="yellow"/>
        </w:rPr>
        <w:t xml:space="preserve">Outline the services - types of services provided under existing arrangements </w:t>
      </w:r>
    </w:p>
    <w:p w14:paraId="5E8CDF6B" w14:textId="7C21C819" w:rsidR="00C2077D" w:rsidRPr="00C2077D" w:rsidRDefault="00C2077D" w:rsidP="00C2077D">
      <w:pPr>
        <w:pStyle w:val="111-PACT"/>
        <w:rPr>
          <w:highlight w:val="yellow"/>
        </w:rPr>
      </w:pPr>
      <w:r w:rsidRPr="00C2077D">
        <w:rPr>
          <w:highlight w:val="yellow"/>
        </w:rPr>
        <w:t xml:space="preserve">Outline the investment - existing arrangements – short term contracts? Aboriginal Community Controlled Organisations? </w:t>
      </w:r>
    </w:p>
    <w:p w14:paraId="60361D55" w14:textId="549C0D0B" w:rsidR="00C2077D" w:rsidRDefault="00C2077D" w:rsidP="003F1850">
      <w:pPr>
        <w:pStyle w:val="Heading1"/>
      </w:pPr>
      <w:r>
        <w:t xml:space="preserve">Proposed service </w:t>
      </w:r>
      <w:r w:rsidR="006A2AC5">
        <w:t>summary</w:t>
      </w:r>
    </w:p>
    <w:p w14:paraId="4311AA3B" w14:textId="61C0DDD0" w:rsidR="00C2077D" w:rsidRPr="00C2077D" w:rsidRDefault="00C2077D" w:rsidP="00C2077D">
      <w:pPr>
        <w:pStyle w:val="111-PACT"/>
        <w:rPr>
          <w:highlight w:val="yellow"/>
        </w:rPr>
      </w:pPr>
      <w:r w:rsidRPr="00C2077D">
        <w:rPr>
          <w:highlight w:val="yellow"/>
        </w:rPr>
        <w:t xml:space="preserve">Outline the </w:t>
      </w:r>
      <w:r w:rsidRPr="00C2077D">
        <w:rPr>
          <w:highlight w:val="yellow"/>
        </w:rPr>
        <w:t xml:space="preserve">new </w:t>
      </w:r>
      <w:r w:rsidRPr="00C2077D">
        <w:rPr>
          <w:highlight w:val="yellow"/>
        </w:rPr>
        <w:t xml:space="preserve">need </w:t>
      </w:r>
      <w:r w:rsidRPr="00C2077D">
        <w:rPr>
          <w:highlight w:val="yellow"/>
        </w:rPr>
        <w:t>–</w:t>
      </w:r>
      <w:r w:rsidRPr="00C2077D">
        <w:rPr>
          <w:highlight w:val="yellow"/>
        </w:rPr>
        <w:t xml:space="preserve"> </w:t>
      </w:r>
      <w:r w:rsidRPr="00C2077D">
        <w:rPr>
          <w:highlight w:val="yellow"/>
        </w:rPr>
        <w:t xml:space="preserve">people who now need a service </w:t>
      </w:r>
      <w:r w:rsidRPr="00C2077D">
        <w:rPr>
          <w:highlight w:val="yellow"/>
        </w:rPr>
        <w:t xml:space="preserve"> </w:t>
      </w:r>
    </w:p>
    <w:p w14:paraId="17BC80EA" w14:textId="079ED74A" w:rsidR="00C2077D" w:rsidRPr="00C2077D" w:rsidRDefault="00C2077D" w:rsidP="00C2077D">
      <w:pPr>
        <w:pStyle w:val="111-PACT"/>
        <w:rPr>
          <w:highlight w:val="yellow"/>
        </w:rPr>
      </w:pPr>
      <w:r w:rsidRPr="00C2077D">
        <w:rPr>
          <w:highlight w:val="yellow"/>
        </w:rPr>
        <w:t xml:space="preserve">Outline the </w:t>
      </w:r>
      <w:r w:rsidRPr="00C2077D">
        <w:rPr>
          <w:highlight w:val="yellow"/>
        </w:rPr>
        <w:t xml:space="preserve">new </w:t>
      </w:r>
      <w:r w:rsidRPr="00C2077D">
        <w:rPr>
          <w:highlight w:val="yellow"/>
        </w:rPr>
        <w:t xml:space="preserve">services - types of services </w:t>
      </w:r>
      <w:r w:rsidRPr="00C2077D">
        <w:rPr>
          <w:highlight w:val="yellow"/>
        </w:rPr>
        <w:t xml:space="preserve">and the service mix proposed </w:t>
      </w:r>
      <w:r w:rsidRPr="00C2077D">
        <w:rPr>
          <w:highlight w:val="yellow"/>
        </w:rPr>
        <w:t xml:space="preserve"> </w:t>
      </w:r>
    </w:p>
    <w:p w14:paraId="099FD863" w14:textId="309C6611" w:rsidR="0031029F" w:rsidRPr="00C2077D" w:rsidRDefault="00C2077D" w:rsidP="00C2077D">
      <w:pPr>
        <w:pStyle w:val="111-PACT"/>
        <w:rPr>
          <w:highlight w:val="yellow"/>
        </w:rPr>
      </w:pPr>
      <w:r w:rsidRPr="00C2077D">
        <w:rPr>
          <w:highlight w:val="yellow"/>
        </w:rPr>
        <w:t>Outline the</w:t>
      </w:r>
      <w:r w:rsidRPr="00C2077D">
        <w:rPr>
          <w:highlight w:val="yellow"/>
        </w:rPr>
        <w:t xml:space="preserve"> new</w:t>
      </w:r>
      <w:r w:rsidRPr="00C2077D">
        <w:rPr>
          <w:highlight w:val="yellow"/>
        </w:rPr>
        <w:t xml:space="preserve"> investment </w:t>
      </w:r>
      <w:r w:rsidRPr="00C2077D">
        <w:rPr>
          <w:highlight w:val="yellow"/>
        </w:rPr>
        <w:t xml:space="preserve">approach – longer term arrangements etc </w:t>
      </w:r>
    </w:p>
    <w:p w14:paraId="2F7352A8" w14:textId="7C6ECFEB" w:rsidR="00C2077D" w:rsidRPr="00FE0085" w:rsidRDefault="00C2077D" w:rsidP="00C2077D">
      <w:pPr>
        <w:pStyle w:val="Heading1"/>
      </w:pPr>
      <w:r>
        <w:t xml:space="preserve">Commissioning </w:t>
      </w:r>
      <w:r w:rsidR="006A2AC5">
        <w:t xml:space="preserve">impact summary </w:t>
      </w:r>
      <w:r>
        <w:t xml:space="preserve"> </w:t>
      </w:r>
    </w:p>
    <w:p w14:paraId="1740B4D2" w14:textId="77777777" w:rsidR="0031029F" w:rsidRDefault="0031029F" w:rsidP="003F1850">
      <w:pPr>
        <w:spacing w:before="120" w:after="0" w:line="240" w:lineRule="auto"/>
      </w:pPr>
    </w:p>
    <w:p w14:paraId="50F98C8B" w14:textId="4CC6B679" w:rsidR="00C2077D" w:rsidRPr="002754B6" w:rsidRDefault="00C2077D" w:rsidP="00C2077D">
      <w:pPr>
        <w:pStyle w:val="111-PACT"/>
        <w:rPr>
          <w:highlight w:val="yellow"/>
        </w:rPr>
      </w:pPr>
      <w:r w:rsidRPr="002754B6">
        <w:rPr>
          <w:highlight w:val="yellow"/>
        </w:rPr>
        <w:t xml:space="preserve">Outline </w:t>
      </w:r>
      <w:r w:rsidRPr="002754B6">
        <w:rPr>
          <w:highlight w:val="yellow"/>
        </w:rPr>
        <w:t xml:space="preserve">what needs were validated by commissioning </w:t>
      </w:r>
    </w:p>
    <w:p w14:paraId="6C995370" w14:textId="77777777" w:rsidR="00C2077D" w:rsidRPr="002754B6" w:rsidRDefault="00C2077D" w:rsidP="00C2077D">
      <w:pPr>
        <w:pStyle w:val="111-PACT"/>
        <w:rPr>
          <w:highlight w:val="yellow"/>
        </w:rPr>
      </w:pPr>
      <w:r w:rsidRPr="002754B6">
        <w:rPr>
          <w:highlight w:val="yellow"/>
        </w:rPr>
        <w:t>Outline new needs that were identified by commissioning</w:t>
      </w:r>
    </w:p>
    <w:p w14:paraId="35B5F758" w14:textId="77777777" w:rsidR="00C2077D" w:rsidRPr="002754B6" w:rsidRDefault="00C2077D" w:rsidP="00C2077D">
      <w:pPr>
        <w:pStyle w:val="111-PACT"/>
        <w:rPr>
          <w:highlight w:val="yellow"/>
        </w:rPr>
      </w:pPr>
      <w:r w:rsidRPr="002754B6">
        <w:rPr>
          <w:highlight w:val="yellow"/>
        </w:rPr>
        <w:t xml:space="preserve">Outline services that were validated by commissioning </w:t>
      </w:r>
    </w:p>
    <w:p w14:paraId="058C1DA2" w14:textId="77777777" w:rsidR="00C2077D" w:rsidRPr="002754B6" w:rsidRDefault="00C2077D" w:rsidP="00C2077D">
      <w:pPr>
        <w:pStyle w:val="111-PACT"/>
        <w:rPr>
          <w:highlight w:val="yellow"/>
        </w:rPr>
      </w:pPr>
      <w:r w:rsidRPr="002754B6">
        <w:rPr>
          <w:highlight w:val="yellow"/>
        </w:rPr>
        <w:t xml:space="preserve">Outline new services that were identified or scoped by commissioning </w:t>
      </w:r>
    </w:p>
    <w:p w14:paraId="3B88CA80" w14:textId="77777777" w:rsidR="00C2077D" w:rsidRPr="002754B6" w:rsidRDefault="00C2077D" w:rsidP="00C2077D">
      <w:pPr>
        <w:pStyle w:val="111-PACT"/>
        <w:rPr>
          <w:highlight w:val="yellow"/>
        </w:rPr>
      </w:pPr>
      <w:r w:rsidRPr="002754B6">
        <w:rPr>
          <w:highlight w:val="yellow"/>
        </w:rPr>
        <w:t xml:space="preserve">Outline the investment - existing arrangements – short term contracts? Aboriginal Community Controlled Organisations? </w:t>
      </w:r>
    </w:p>
    <w:p w14:paraId="6C9EDF3D" w14:textId="77777777" w:rsidR="00F214BE" w:rsidRDefault="00F214BE" w:rsidP="003F1850">
      <w:pPr>
        <w:spacing w:before="120" w:after="0" w:line="240" w:lineRule="auto"/>
      </w:pPr>
    </w:p>
    <w:p w14:paraId="5203243B" w14:textId="77777777" w:rsidR="00F214BE" w:rsidRDefault="00F214BE" w:rsidP="003F1850">
      <w:pPr>
        <w:spacing w:before="120" w:after="0" w:line="240" w:lineRule="auto"/>
      </w:pPr>
    </w:p>
    <w:p w14:paraId="0F12680A" w14:textId="77777777" w:rsidR="003F1850" w:rsidRDefault="003F1850" w:rsidP="003F1850">
      <w:pPr>
        <w:spacing w:before="120" w:after="0" w:line="240" w:lineRule="auto"/>
      </w:pPr>
    </w:p>
    <w:p w14:paraId="526D93B8" w14:textId="5F11FC11" w:rsidR="00581C86" w:rsidRDefault="00BD165F" w:rsidP="004A388F">
      <w:pPr>
        <w:spacing w:before="120" w:after="0" w:line="240" w:lineRule="auto"/>
      </w:pPr>
      <w:r>
        <w:t xml:space="preserve"> </w:t>
      </w:r>
    </w:p>
    <w:p w14:paraId="500002A6" w14:textId="77777777" w:rsidR="00581C86" w:rsidRDefault="00581C86">
      <w:pPr>
        <w:spacing w:before="0" w:after="160" w:line="259" w:lineRule="auto"/>
      </w:pPr>
      <w:r>
        <w:br w:type="page"/>
      </w:r>
    </w:p>
    <w:p w14:paraId="61AA587F" w14:textId="77777777" w:rsidR="00E345D3" w:rsidRDefault="00E345D3" w:rsidP="004A388F">
      <w:pPr>
        <w:spacing w:before="120" w:after="0" w:line="240" w:lineRule="auto"/>
      </w:pPr>
    </w:p>
    <w:p w14:paraId="44D19E3E" w14:textId="4B12CBC4" w:rsidR="00306EC7" w:rsidRPr="00FE0085" w:rsidRDefault="00FE0085" w:rsidP="00DB24B9">
      <w:pPr>
        <w:pStyle w:val="Heading1"/>
      </w:pPr>
      <w:bookmarkStart w:id="2" w:name="_Toc116548583"/>
      <w:r w:rsidRPr="00FE0085">
        <w:t>Background</w:t>
      </w:r>
      <w:bookmarkEnd w:id="2"/>
    </w:p>
    <w:p w14:paraId="618259BD" w14:textId="4739A0BB" w:rsidR="00581C86" w:rsidRPr="00581C86" w:rsidRDefault="00581C86" w:rsidP="00693685">
      <w:pPr>
        <w:pStyle w:val="ListParagraph"/>
        <w:numPr>
          <w:ilvl w:val="0"/>
          <w:numId w:val="23"/>
        </w:numPr>
        <w:spacing w:before="120" w:after="0" w:line="240" w:lineRule="auto"/>
        <w:ind w:left="709" w:hanging="709"/>
        <w:contextualSpacing w:val="0"/>
        <w:rPr>
          <w:szCs w:val="22"/>
          <w:highlight w:val="yellow"/>
        </w:rPr>
      </w:pPr>
      <w:r w:rsidRPr="00581C86">
        <w:rPr>
          <w:szCs w:val="22"/>
          <w:highlight w:val="yellow"/>
        </w:rPr>
        <w:t>What have you done? Have you extended contracts to a DATE to allow time for commissioning?</w:t>
      </w:r>
    </w:p>
    <w:p w14:paraId="08D80FBC" w14:textId="73F5B5D5" w:rsidR="00581C86" w:rsidRPr="00581C86" w:rsidRDefault="00581C86" w:rsidP="00693685">
      <w:pPr>
        <w:pStyle w:val="ListParagraph"/>
        <w:numPr>
          <w:ilvl w:val="0"/>
          <w:numId w:val="23"/>
        </w:numPr>
        <w:spacing w:before="120" w:after="0" w:line="240" w:lineRule="auto"/>
        <w:ind w:left="709" w:hanging="709"/>
        <w:contextualSpacing w:val="0"/>
        <w:rPr>
          <w:szCs w:val="22"/>
          <w:highlight w:val="yellow"/>
        </w:rPr>
      </w:pPr>
      <w:r w:rsidRPr="00581C86">
        <w:rPr>
          <w:szCs w:val="22"/>
          <w:highlight w:val="yellow"/>
        </w:rPr>
        <w:t xml:space="preserve">What is the DATE you would looking to set new arrangements? </w:t>
      </w:r>
    </w:p>
    <w:p w14:paraId="7A424F65" w14:textId="5F5C73C5" w:rsidR="00581C86" w:rsidRPr="00581C86" w:rsidRDefault="00581C86" w:rsidP="00581C86">
      <w:pPr>
        <w:pStyle w:val="ListParagraph"/>
        <w:numPr>
          <w:ilvl w:val="0"/>
          <w:numId w:val="23"/>
        </w:numPr>
        <w:spacing w:before="120" w:after="0" w:line="240" w:lineRule="auto"/>
        <w:ind w:left="709" w:hanging="709"/>
        <w:contextualSpacing w:val="0"/>
        <w:rPr>
          <w:szCs w:val="22"/>
          <w:highlight w:val="yellow"/>
        </w:rPr>
      </w:pPr>
      <w:r w:rsidRPr="00581C86">
        <w:rPr>
          <w:szCs w:val="22"/>
          <w:highlight w:val="yellow"/>
        </w:rPr>
        <w:t xml:space="preserve">What are you doing – working with the sector as part of the strategic partnership to plan for XX service delivery and contract arrangement post &lt;DATE&gt;. </w:t>
      </w:r>
    </w:p>
    <w:p w14:paraId="7AD40C2E" w14:textId="58975C5A" w:rsidR="008D23FB" w:rsidRPr="00DF3B6F" w:rsidRDefault="00FE0085" w:rsidP="00693685">
      <w:pPr>
        <w:pStyle w:val="ListParagraph"/>
        <w:numPr>
          <w:ilvl w:val="0"/>
          <w:numId w:val="23"/>
        </w:numPr>
        <w:spacing w:before="120" w:after="0" w:line="240" w:lineRule="auto"/>
        <w:ind w:left="709" w:hanging="709"/>
        <w:contextualSpacing w:val="0"/>
        <w:rPr>
          <w:szCs w:val="22"/>
        </w:rPr>
      </w:pPr>
      <w:r w:rsidRPr="00DF3B6F">
        <w:rPr>
          <w:szCs w:val="22"/>
        </w:rPr>
        <w:t xml:space="preserve">An overview of the Commissioning engagement process undertaken with the sector, the outcomes and key insights, and </w:t>
      </w:r>
      <w:r w:rsidR="00581C86">
        <w:rPr>
          <w:szCs w:val="22"/>
        </w:rPr>
        <w:t xml:space="preserve">a </w:t>
      </w:r>
      <w:r w:rsidRPr="00DF3B6F">
        <w:rPr>
          <w:szCs w:val="22"/>
        </w:rPr>
        <w:t xml:space="preserve">record of outputs from </w:t>
      </w:r>
      <w:r w:rsidR="00BF7487">
        <w:rPr>
          <w:szCs w:val="22"/>
        </w:rPr>
        <w:t xml:space="preserve">the </w:t>
      </w:r>
      <w:r w:rsidRPr="00DF3B6F">
        <w:rPr>
          <w:szCs w:val="22"/>
        </w:rPr>
        <w:t xml:space="preserve">engagement can be found in the </w:t>
      </w:r>
      <w:r w:rsidR="00581C86" w:rsidRPr="00581C86">
        <w:rPr>
          <w:szCs w:val="22"/>
          <w:highlight w:val="yellow"/>
        </w:rPr>
        <w:t>&lt;FINAL REPORT NAME&gt;</w:t>
      </w:r>
      <w:r w:rsidRPr="00DF3B6F">
        <w:rPr>
          <w:szCs w:val="22"/>
        </w:rPr>
        <w:t xml:space="preserve"> available on the </w:t>
      </w:r>
      <w:r w:rsidR="00D14BEB">
        <w:rPr>
          <w:szCs w:val="22"/>
        </w:rPr>
        <w:t>ACT Government</w:t>
      </w:r>
      <w:r w:rsidRPr="00DF3B6F">
        <w:rPr>
          <w:szCs w:val="22"/>
        </w:rPr>
        <w:t xml:space="preserve"> Commissioning website at:  </w:t>
      </w:r>
      <w:hyperlink r:id="rId18" w:history="1">
        <w:r w:rsidR="00581C86">
          <w:rPr>
            <w:rStyle w:val="Hyperlink"/>
            <w:szCs w:val="22"/>
          </w:rPr>
          <w:t>INSERT</w:t>
        </w:r>
      </w:hyperlink>
      <w:r w:rsidR="00581C86">
        <w:rPr>
          <w:rStyle w:val="Hyperlink"/>
          <w:szCs w:val="22"/>
        </w:rPr>
        <w:t xml:space="preserve"> URL</w:t>
      </w:r>
      <w:r w:rsidR="00D14BEB">
        <w:rPr>
          <w:szCs w:val="22"/>
        </w:rPr>
        <w:t xml:space="preserve"> </w:t>
      </w:r>
    </w:p>
    <w:p w14:paraId="6F5EC494" w14:textId="5A18E8F4" w:rsidR="00F7318F" w:rsidRPr="00DF3B6F" w:rsidRDefault="00F7318F" w:rsidP="00693685">
      <w:pPr>
        <w:pStyle w:val="ListParagraph"/>
        <w:numPr>
          <w:ilvl w:val="0"/>
          <w:numId w:val="23"/>
        </w:numPr>
        <w:spacing w:before="120" w:after="0" w:line="240" w:lineRule="auto"/>
        <w:ind w:left="709" w:hanging="709"/>
        <w:contextualSpacing w:val="0"/>
        <w:rPr>
          <w:szCs w:val="22"/>
        </w:rPr>
      </w:pPr>
      <w:r w:rsidRPr="00DF3B6F">
        <w:rPr>
          <w:szCs w:val="22"/>
        </w:rPr>
        <w:t xml:space="preserve">Key </w:t>
      </w:r>
      <w:r w:rsidR="00581C86">
        <w:rPr>
          <w:szCs w:val="22"/>
        </w:rPr>
        <w:t xml:space="preserve">engagement </w:t>
      </w:r>
      <w:r w:rsidRPr="00DF3B6F">
        <w:rPr>
          <w:szCs w:val="22"/>
        </w:rPr>
        <w:t>insights that informed this investment plan include</w:t>
      </w:r>
      <w:r w:rsidR="006D6CF5" w:rsidRPr="00DF3B6F">
        <w:rPr>
          <w:szCs w:val="22"/>
        </w:rPr>
        <w:t xml:space="preserve"> the need for</w:t>
      </w:r>
      <w:r w:rsidRPr="00DF3B6F">
        <w:rPr>
          <w:szCs w:val="22"/>
        </w:rPr>
        <w:t>:</w:t>
      </w:r>
    </w:p>
    <w:p w14:paraId="4F61E61F" w14:textId="72550C34" w:rsidR="00581C86" w:rsidRDefault="00581C86" w:rsidP="00693685">
      <w:pPr>
        <w:pStyle w:val="ListParagraph"/>
        <w:numPr>
          <w:ilvl w:val="0"/>
          <w:numId w:val="24"/>
        </w:numPr>
        <w:spacing w:before="120" w:after="0" w:line="240" w:lineRule="auto"/>
        <w:ind w:left="1134" w:hanging="425"/>
        <w:contextualSpacing w:val="0"/>
        <w:rPr>
          <w:szCs w:val="22"/>
        </w:rPr>
      </w:pPr>
      <w:r>
        <w:rPr>
          <w:szCs w:val="22"/>
        </w:rPr>
        <w:t xml:space="preserve">Insight </w:t>
      </w:r>
    </w:p>
    <w:p w14:paraId="72093683" w14:textId="027F0716" w:rsidR="006D6CF5" w:rsidRDefault="00581C86" w:rsidP="00693685">
      <w:pPr>
        <w:pStyle w:val="ListParagraph"/>
        <w:numPr>
          <w:ilvl w:val="0"/>
          <w:numId w:val="24"/>
        </w:numPr>
        <w:spacing w:before="120" w:after="0" w:line="240" w:lineRule="auto"/>
        <w:ind w:left="1134" w:hanging="425"/>
        <w:contextualSpacing w:val="0"/>
        <w:rPr>
          <w:szCs w:val="22"/>
        </w:rPr>
      </w:pPr>
      <w:r>
        <w:rPr>
          <w:szCs w:val="22"/>
        </w:rPr>
        <w:t xml:space="preserve">Insight </w:t>
      </w:r>
    </w:p>
    <w:p w14:paraId="5E3F94F5" w14:textId="564A478B" w:rsidR="00581C86" w:rsidRDefault="00581C86" w:rsidP="00693685">
      <w:pPr>
        <w:pStyle w:val="ListParagraph"/>
        <w:numPr>
          <w:ilvl w:val="0"/>
          <w:numId w:val="24"/>
        </w:numPr>
        <w:spacing w:before="120" w:after="0" w:line="240" w:lineRule="auto"/>
        <w:ind w:left="1134" w:hanging="425"/>
        <w:contextualSpacing w:val="0"/>
        <w:rPr>
          <w:szCs w:val="22"/>
        </w:rPr>
      </w:pPr>
      <w:r>
        <w:rPr>
          <w:szCs w:val="22"/>
        </w:rPr>
        <w:t xml:space="preserve">Insight </w:t>
      </w:r>
    </w:p>
    <w:p w14:paraId="7AA7938F" w14:textId="532D4BA6" w:rsidR="00581C86" w:rsidRPr="00DF3B6F" w:rsidRDefault="00581C86" w:rsidP="00693685">
      <w:pPr>
        <w:pStyle w:val="ListParagraph"/>
        <w:numPr>
          <w:ilvl w:val="0"/>
          <w:numId w:val="24"/>
        </w:numPr>
        <w:spacing w:before="120" w:after="0" w:line="240" w:lineRule="auto"/>
        <w:ind w:left="1134" w:hanging="425"/>
        <w:contextualSpacing w:val="0"/>
        <w:rPr>
          <w:szCs w:val="22"/>
        </w:rPr>
      </w:pPr>
      <w:r>
        <w:rPr>
          <w:szCs w:val="22"/>
        </w:rPr>
        <w:t xml:space="preserve">Insight </w:t>
      </w:r>
    </w:p>
    <w:p w14:paraId="3BFB8AA0" w14:textId="019932AE" w:rsidR="008D23FB" w:rsidRPr="00DF3B6F" w:rsidRDefault="00177AC2" w:rsidP="00693685">
      <w:pPr>
        <w:pStyle w:val="ListParagraph"/>
        <w:numPr>
          <w:ilvl w:val="0"/>
          <w:numId w:val="23"/>
        </w:numPr>
        <w:spacing w:before="120" w:after="0" w:line="240" w:lineRule="auto"/>
        <w:ind w:left="709" w:hanging="709"/>
        <w:contextualSpacing w:val="0"/>
        <w:rPr>
          <w:szCs w:val="22"/>
        </w:rPr>
      </w:pPr>
      <w:r w:rsidRPr="00DF3B6F">
        <w:rPr>
          <w:szCs w:val="22"/>
        </w:rPr>
        <w:t xml:space="preserve">Drawing on the information gathered </w:t>
      </w:r>
      <w:r w:rsidR="00260282">
        <w:rPr>
          <w:szCs w:val="22"/>
        </w:rPr>
        <w:t>during the</w:t>
      </w:r>
      <w:r w:rsidR="00F07642">
        <w:rPr>
          <w:szCs w:val="22"/>
        </w:rPr>
        <w:t xml:space="preserve"> commissioning </w:t>
      </w:r>
      <w:r w:rsidR="00260282">
        <w:rPr>
          <w:szCs w:val="22"/>
        </w:rPr>
        <w:t xml:space="preserve">engagement phase from </w:t>
      </w:r>
      <w:r w:rsidR="00581C86" w:rsidRPr="00581C86">
        <w:rPr>
          <w:szCs w:val="22"/>
          <w:highlight w:val="yellow"/>
        </w:rPr>
        <w:t>&lt;TIMEFRAME&gt;</w:t>
      </w:r>
      <w:r w:rsidR="00260282" w:rsidRPr="00581C86">
        <w:rPr>
          <w:szCs w:val="22"/>
          <w:highlight w:val="yellow"/>
        </w:rPr>
        <w:t>,</w:t>
      </w:r>
      <w:r w:rsidR="00260282">
        <w:rPr>
          <w:szCs w:val="22"/>
        </w:rPr>
        <w:t xml:space="preserve"> </w:t>
      </w:r>
      <w:r w:rsidRPr="00DF3B6F">
        <w:rPr>
          <w:szCs w:val="22"/>
        </w:rPr>
        <w:t>t</w:t>
      </w:r>
      <w:r w:rsidR="00FE0085" w:rsidRPr="00DF3B6F">
        <w:rPr>
          <w:szCs w:val="22"/>
        </w:rPr>
        <w:t xml:space="preserve">he </w:t>
      </w:r>
      <w:r w:rsidR="00581C86" w:rsidRPr="00581C86">
        <w:rPr>
          <w:szCs w:val="22"/>
          <w:highlight w:val="yellow"/>
        </w:rPr>
        <w:t>&lt;NAME&gt;</w:t>
      </w:r>
      <w:r w:rsidR="00FE0085" w:rsidRPr="00DF3B6F">
        <w:rPr>
          <w:szCs w:val="22"/>
        </w:rPr>
        <w:t xml:space="preserve"> Directorate has now </w:t>
      </w:r>
      <w:r w:rsidR="00260282">
        <w:rPr>
          <w:szCs w:val="22"/>
        </w:rPr>
        <w:t xml:space="preserve">completed the strategic investment planning </w:t>
      </w:r>
      <w:r w:rsidR="00F07642">
        <w:rPr>
          <w:szCs w:val="22"/>
        </w:rPr>
        <w:t xml:space="preserve">phase and developed </w:t>
      </w:r>
      <w:r w:rsidRPr="00DF3B6F">
        <w:rPr>
          <w:szCs w:val="22"/>
        </w:rPr>
        <w:t>a</w:t>
      </w:r>
      <w:r w:rsidR="00FE0085" w:rsidRPr="00DF3B6F">
        <w:rPr>
          <w:szCs w:val="22"/>
        </w:rPr>
        <w:t xml:space="preserve"> </w:t>
      </w:r>
      <w:r w:rsidR="00CB111F" w:rsidRPr="00DF3B6F">
        <w:rPr>
          <w:szCs w:val="22"/>
        </w:rPr>
        <w:t>S</w:t>
      </w:r>
      <w:r w:rsidR="00FE0085" w:rsidRPr="00DF3B6F">
        <w:rPr>
          <w:szCs w:val="22"/>
        </w:rPr>
        <w:t xml:space="preserve">trategic </w:t>
      </w:r>
      <w:r w:rsidR="00CB111F" w:rsidRPr="00DF3B6F">
        <w:rPr>
          <w:szCs w:val="22"/>
        </w:rPr>
        <w:t>I</w:t>
      </w:r>
      <w:r w:rsidR="00FE0085" w:rsidRPr="00DF3B6F">
        <w:rPr>
          <w:szCs w:val="22"/>
        </w:rPr>
        <w:t xml:space="preserve">nvestment </w:t>
      </w:r>
      <w:r w:rsidR="00CB111F" w:rsidRPr="00DF3B6F">
        <w:rPr>
          <w:szCs w:val="22"/>
        </w:rPr>
        <w:t>P</w:t>
      </w:r>
      <w:r w:rsidR="00FE0085" w:rsidRPr="00DF3B6F">
        <w:rPr>
          <w:szCs w:val="22"/>
        </w:rPr>
        <w:t>lan</w:t>
      </w:r>
      <w:r w:rsidR="00CB111F" w:rsidRPr="00DF3B6F">
        <w:rPr>
          <w:szCs w:val="22"/>
        </w:rPr>
        <w:t xml:space="preserve"> (Plan)</w:t>
      </w:r>
      <w:r w:rsidR="00FE0085" w:rsidRPr="00DF3B6F">
        <w:rPr>
          <w:szCs w:val="22"/>
        </w:rPr>
        <w:t xml:space="preserve">.  </w:t>
      </w:r>
      <w:r w:rsidRPr="00DF3B6F">
        <w:rPr>
          <w:szCs w:val="22"/>
        </w:rPr>
        <w:t xml:space="preserve">This </w:t>
      </w:r>
      <w:r w:rsidR="00CB111F" w:rsidRPr="00DF3B6F">
        <w:rPr>
          <w:szCs w:val="22"/>
        </w:rPr>
        <w:t>P</w:t>
      </w:r>
      <w:r w:rsidRPr="00DF3B6F">
        <w:rPr>
          <w:szCs w:val="22"/>
        </w:rPr>
        <w:t xml:space="preserve">lan summarises the intentions for investment, the proposed approach and indicates timeframes for the next stage of commissioning work.  </w:t>
      </w:r>
    </w:p>
    <w:p w14:paraId="19E78AAB" w14:textId="7CAC8AAC" w:rsidR="00FE0085" w:rsidRPr="00DF3B6F" w:rsidRDefault="00FE0085" w:rsidP="00693685">
      <w:pPr>
        <w:pStyle w:val="ListParagraph"/>
        <w:numPr>
          <w:ilvl w:val="0"/>
          <w:numId w:val="23"/>
        </w:numPr>
        <w:spacing w:before="120" w:after="0" w:line="240" w:lineRule="auto"/>
        <w:ind w:left="709" w:hanging="709"/>
        <w:contextualSpacing w:val="0"/>
        <w:rPr>
          <w:szCs w:val="22"/>
        </w:rPr>
      </w:pPr>
      <w:r w:rsidRPr="00DF3B6F">
        <w:rPr>
          <w:szCs w:val="22"/>
        </w:rPr>
        <w:t xml:space="preserve">The following information provides </w:t>
      </w:r>
      <w:r w:rsidR="00C2077D" w:rsidRPr="00C2077D">
        <w:rPr>
          <w:szCs w:val="22"/>
          <w:highlight w:val="yellow"/>
        </w:rPr>
        <w:t>&lt;NAME&gt;</w:t>
      </w:r>
      <w:r w:rsidR="00C2077D">
        <w:rPr>
          <w:szCs w:val="22"/>
        </w:rPr>
        <w:t xml:space="preserve"> </w:t>
      </w:r>
      <w:r w:rsidRPr="00DF3B6F">
        <w:rPr>
          <w:szCs w:val="22"/>
        </w:rPr>
        <w:t xml:space="preserve">sector organisations with key information about the </w:t>
      </w:r>
      <w:r w:rsidR="00415667" w:rsidRPr="00DF3B6F">
        <w:rPr>
          <w:szCs w:val="22"/>
        </w:rPr>
        <w:t>investment</w:t>
      </w:r>
      <w:r w:rsidRPr="00DF3B6F">
        <w:rPr>
          <w:szCs w:val="22"/>
        </w:rPr>
        <w:t xml:space="preserve"> phase due to commence in</w:t>
      </w:r>
      <w:r w:rsidR="00C2077D">
        <w:rPr>
          <w:szCs w:val="22"/>
        </w:rPr>
        <w:t xml:space="preserve"> or by</w:t>
      </w:r>
      <w:r w:rsidRPr="00DF3B6F">
        <w:rPr>
          <w:szCs w:val="22"/>
        </w:rPr>
        <w:t xml:space="preserve"> </w:t>
      </w:r>
      <w:r w:rsidR="00C2077D" w:rsidRPr="00C2077D">
        <w:rPr>
          <w:szCs w:val="22"/>
          <w:highlight w:val="yellow"/>
        </w:rPr>
        <w:t>DATE</w:t>
      </w:r>
      <w:r w:rsidR="00C2077D">
        <w:rPr>
          <w:szCs w:val="22"/>
        </w:rPr>
        <w:t>.</w:t>
      </w:r>
      <w:r w:rsidR="00CB111F" w:rsidRPr="00DF3B6F">
        <w:rPr>
          <w:szCs w:val="22"/>
        </w:rPr>
        <w:t xml:space="preserve"> </w:t>
      </w:r>
    </w:p>
    <w:p w14:paraId="599A21D6" w14:textId="60000D04" w:rsidR="00FE5BE0" w:rsidRPr="00DF3B6F" w:rsidRDefault="00FE5BE0" w:rsidP="00693685">
      <w:pPr>
        <w:pStyle w:val="ListParagraph"/>
        <w:numPr>
          <w:ilvl w:val="0"/>
          <w:numId w:val="23"/>
        </w:numPr>
        <w:spacing w:before="120" w:after="0" w:line="240" w:lineRule="auto"/>
        <w:ind w:left="709" w:hanging="709"/>
        <w:contextualSpacing w:val="0"/>
        <w:rPr>
          <w:szCs w:val="22"/>
        </w:rPr>
      </w:pPr>
      <w:r w:rsidRPr="00DF3B6F">
        <w:rPr>
          <w:szCs w:val="22"/>
        </w:rPr>
        <w:t>The</w:t>
      </w:r>
      <w:r w:rsidR="006D6CF5" w:rsidRPr="00DF3B6F">
        <w:rPr>
          <w:szCs w:val="22"/>
        </w:rPr>
        <w:t xml:space="preserve"> </w:t>
      </w:r>
      <w:r w:rsidRPr="00DF3B6F">
        <w:rPr>
          <w:szCs w:val="22"/>
        </w:rPr>
        <w:t xml:space="preserve">priorities for </w:t>
      </w:r>
      <w:r w:rsidR="00177AC2" w:rsidRPr="00DF3B6F">
        <w:rPr>
          <w:szCs w:val="22"/>
        </w:rPr>
        <w:t>the investment phase</w:t>
      </w:r>
      <w:r w:rsidRPr="00DF3B6F">
        <w:rPr>
          <w:szCs w:val="22"/>
        </w:rPr>
        <w:t xml:space="preserve"> have been </w:t>
      </w:r>
      <w:r w:rsidR="006D6CF5" w:rsidRPr="00DF3B6F">
        <w:rPr>
          <w:szCs w:val="22"/>
        </w:rPr>
        <w:t xml:space="preserve">developed </w:t>
      </w:r>
      <w:r w:rsidRPr="00DF3B6F">
        <w:rPr>
          <w:szCs w:val="22"/>
        </w:rPr>
        <w:t xml:space="preserve">to ensure that the commissioning will: </w:t>
      </w:r>
    </w:p>
    <w:p w14:paraId="71862184" w14:textId="5C57F7F3" w:rsidR="00C2077D" w:rsidRPr="002754B6" w:rsidRDefault="00C2077D" w:rsidP="00C2077D">
      <w:pPr>
        <w:spacing w:before="120" w:after="0" w:line="240" w:lineRule="auto"/>
        <w:jc w:val="center"/>
        <w:rPr>
          <w:i/>
          <w:iCs/>
          <w:szCs w:val="22"/>
        </w:rPr>
      </w:pPr>
      <w:r w:rsidRPr="002754B6">
        <w:rPr>
          <w:i/>
          <w:iCs/>
          <w:szCs w:val="22"/>
          <w:highlight w:val="lightGray"/>
        </w:rPr>
        <w:t>Priorities could include:</w:t>
      </w:r>
    </w:p>
    <w:p w14:paraId="0910EF07" w14:textId="0250D19D" w:rsidR="00FE5BE0" w:rsidRPr="00C2077D" w:rsidRDefault="00FE5BE0" w:rsidP="00693685">
      <w:pPr>
        <w:pStyle w:val="ListParagraph"/>
        <w:numPr>
          <w:ilvl w:val="0"/>
          <w:numId w:val="25"/>
        </w:numPr>
        <w:spacing w:before="120" w:after="0" w:line="240" w:lineRule="auto"/>
        <w:ind w:left="1134" w:hanging="425"/>
        <w:contextualSpacing w:val="0"/>
        <w:rPr>
          <w:szCs w:val="22"/>
          <w:highlight w:val="yellow"/>
        </w:rPr>
      </w:pPr>
      <w:r w:rsidRPr="00C2077D">
        <w:rPr>
          <w:szCs w:val="22"/>
          <w:highlight w:val="yellow"/>
        </w:rPr>
        <w:t xml:space="preserve">provide greater opportunities for innovation by adopting an integrated, partnered approach to delivering and procuring/investing in </w:t>
      </w:r>
      <w:proofErr w:type="gramStart"/>
      <w:r w:rsidRPr="00C2077D">
        <w:rPr>
          <w:szCs w:val="22"/>
          <w:highlight w:val="yellow"/>
        </w:rPr>
        <w:t>services;</w:t>
      </w:r>
      <w:proofErr w:type="gramEnd"/>
    </w:p>
    <w:p w14:paraId="04FAC857" w14:textId="672379EB" w:rsidR="00FE5BE0" w:rsidRPr="00C2077D" w:rsidRDefault="00FE5BE0" w:rsidP="00693685">
      <w:pPr>
        <w:pStyle w:val="ListParagraph"/>
        <w:numPr>
          <w:ilvl w:val="0"/>
          <w:numId w:val="25"/>
        </w:numPr>
        <w:spacing w:before="120" w:after="0" w:line="240" w:lineRule="auto"/>
        <w:ind w:left="1134" w:hanging="425"/>
        <w:contextualSpacing w:val="0"/>
        <w:rPr>
          <w:szCs w:val="22"/>
          <w:highlight w:val="yellow"/>
        </w:rPr>
      </w:pPr>
      <w:r w:rsidRPr="00C2077D">
        <w:rPr>
          <w:szCs w:val="22"/>
          <w:highlight w:val="yellow"/>
        </w:rPr>
        <w:t>identify the amount of funding and type of services required;</w:t>
      </w:r>
    </w:p>
    <w:p w14:paraId="69AEA2AD" w14:textId="77777777" w:rsidR="00FE5BE0" w:rsidRPr="00C2077D" w:rsidRDefault="00FE5BE0" w:rsidP="00693685">
      <w:pPr>
        <w:pStyle w:val="ListParagraph"/>
        <w:numPr>
          <w:ilvl w:val="0"/>
          <w:numId w:val="25"/>
        </w:numPr>
        <w:spacing w:before="120" w:after="0" w:line="240" w:lineRule="auto"/>
        <w:ind w:left="1134" w:hanging="425"/>
        <w:contextualSpacing w:val="0"/>
        <w:rPr>
          <w:szCs w:val="22"/>
          <w:highlight w:val="yellow"/>
        </w:rPr>
      </w:pPr>
      <w:r w:rsidRPr="00C2077D">
        <w:rPr>
          <w:szCs w:val="22"/>
          <w:highlight w:val="yellow"/>
        </w:rPr>
        <w:t>demonstrate value for money;</w:t>
      </w:r>
    </w:p>
    <w:p w14:paraId="6BA3BD75" w14:textId="77777777" w:rsidR="00FE5BE0" w:rsidRPr="00C2077D" w:rsidRDefault="00FE5BE0" w:rsidP="00693685">
      <w:pPr>
        <w:pStyle w:val="ListParagraph"/>
        <w:numPr>
          <w:ilvl w:val="0"/>
          <w:numId w:val="25"/>
        </w:numPr>
        <w:spacing w:before="120" w:after="0" w:line="240" w:lineRule="auto"/>
        <w:ind w:left="1134" w:hanging="425"/>
        <w:contextualSpacing w:val="0"/>
        <w:rPr>
          <w:highlight w:val="yellow"/>
        </w:rPr>
      </w:pPr>
      <w:r w:rsidRPr="00C2077D">
        <w:rPr>
          <w:highlight w:val="yellow"/>
        </w:rPr>
        <w:t>provide variety of procurement and grant methodologies;</w:t>
      </w:r>
    </w:p>
    <w:p w14:paraId="03A81FF4" w14:textId="77777777" w:rsidR="00FE5BE0" w:rsidRPr="00C2077D" w:rsidRDefault="00FE5BE0" w:rsidP="00693685">
      <w:pPr>
        <w:pStyle w:val="ListParagraph"/>
        <w:numPr>
          <w:ilvl w:val="0"/>
          <w:numId w:val="25"/>
        </w:numPr>
        <w:spacing w:before="120" w:after="0" w:line="240" w:lineRule="auto"/>
        <w:ind w:left="1134" w:hanging="425"/>
        <w:contextualSpacing w:val="0"/>
        <w:rPr>
          <w:highlight w:val="yellow"/>
        </w:rPr>
      </w:pPr>
      <w:r w:rsidRPr="00C2077D">
        <w:rPr>
          <w:highlight w:val="yellow"/>
        </w:rPr>
        <w:t>provide variety of agreements – Contracts and Deed of Grants;</w:t>
      </w:r>
    </w:p>
    <w:p w14:paraId="63DE7D39" w14:textId="77777777" w:rsidR="00FE5BE0" w:rsidRPr="00C2077D" w:rsidRDefault="00FE5BE0" w:rsidP="00693685">
      <w:pPr>
        <w:pStyle w:val="ListParagraph"/>
        <w:numPr>
          <w:ilvl w:val="0"/>
          <w:numId w:val="25"/>
        </w:numPr>
        <w:spacing w:before="120" w:after="0" w:line="240" w:lineRule="auto"/>
        <w:ind w:left="1134" w:hanging="425"/>
        <w:contextualSpacing w:val="0"/>
        <w:rPr>
          <w:highlight w:val="yellow"/>
        </w:rPr>
      </w:pPr>
      <w:r w:rsidRPr="00C2077D">
        <w:rPr>
          <w:highlight w:val="yellow"/>
        </w:rPr>
        <w:t>offer simplified documents with designed templates for ease of completion; and,</w:t>
      </w:r>
    </w:p>
    <w:p w14:paraId="6976ECA4" w14:textId="202F3DE1" w:rsidR="00C2077D" w:rsidRDefault="00FE5BE0" w:rsidP="00693685">
      <w:pPr>
        <w:pStyle w:val="ListParagraph"/>
        <w:numPr>
          <w:ilvl w:val="0"/>
          <w:numId w:val="25"/>
        </w:numPr>
        <w:spacing w:before="120" w:after="0" w:line="240" w:lineRule="auto"/>
        <w:ind w:left="1134" w:hanging="425"/>
        <w:contextualSpacing w:val="0"/>
      </w:pPr>
      <w:r w:rsidRPr="00C2077D">
        <w:rPr>
          <w:highlight w:val="yellow"/>
        </w:rPr>
        <w:t>have a staggered release of tenders and grants to address competing priorities</w:t>
      </w:r>
      <w:r w:rsidRPr="00FE5BE0">
        <w:t>.</w:t>
      </w:r>
    </w:p>
    <w:p w14:paraId="4F659A48" w14:textId="77777777" w:rsidR="00C2077D" w:rsidRDefault="00C2077D">
      <w:pPr>
        <w:spacing w:before="0" w:after="160" w:line="259" w:lineRule="auto"/>
      </w:pPr>
      <w:r>
        <w:br w:type="page"/>
      </w:r>
    </w:p>
    <w:p w14:paraId="0A4F52FC" w14:textId="77777777" w:rsidR="00FE5BE0" w:rsidRDefault="00FE5BE0" w:rsidP="00C2077D">
      <w:pPr>
        <w:pStyle w:val="ListParagraph"/>
        <w:spacing w:before="120" w:after="0" w:line="240" w:lineRule="auto"/>
        <w:ind w:left="1134"/>
        <w:contextualSpacing w:val="0"/>
      </w:pPr>
    </w:p>
    <w:p w14:paraId="366754ED" w14:textId="77777777" w:rsidR="004A388F" w:rsidRDefault="004A388F" w:rsidP="00DB24B9">
      <w:pPr>
        <w:pStyle w:val="Heading1"/>
        <w:numPr>
          <w:ilvl w:val="0"/>
          <w:numId w:val="22"/>
        </w:numPr>
      </w:pPr>
      <w:bookmarkStart w:id="3" w:name="_Toc116548584"/>
      <w:r>
        <w:t>The Investment Plan</w:t>
      </w:r>
      <w:bookmarkEnd w:id="3"/>
    </w:p>
    <w:p w14:paraId="3531E2D6" w14:textId="1AA288CF" w:rsidR="004A388F" w:rsidRPr="00C2077D" w:rsidRDefault="004A388F" w:rsidP="00693685">
      <w:pPr>
        <w:pStyle w:val="ListParagraph"/>
        <w:numPr>
          <w:ilvl w:val="0"/>
          <w:numId w:val="28"/>
        </w:numPr>
        <w:spacing w:before="120" w:after="0" w:line="240" w:lineRule="auto"/>
        <w:ind w:left="709" w:hanging="709"/>
        <w:contextualSpacing w:val="0"/>
        <w:rPr>
          <w:szCs w:val="22"/>
          <w:highlight w:val="yellow"/>
        </w:rPr>
      </w:pPr>
      <w:r w:rsidRPr="00DF3B6F">
        <w:rPr>
          <w:szCs w:val="22"/>
        </w:rPr>
        <w:t xml:space="preserve">The commissioning process to date has confirmed </w:t>
      </w:r>
      <w:r w:rsidR="00F07642">
        <w:rPr>
          <w:szCs w:val="22"/>
        </w:rPr>
        <w:t xml:space="preserve">the continued need for </w:t>
      </w:r>
      <w:r w:rsidR="00C2077D" w:rsidRPr="00C2077D">
        <w:rPr>
          <w:szCs w:val="22"/>
          <w:highlight w:val="yellow"/>
        </w:rPr>
        <w:t xml:space="preserve">what is the key need </w:t>
      </w:r>
      <w:proofErr w:type="gramStart"/>
      <w:r w:rsidR="00C2077D" w:rsidRPr="00C2077D">
        <w:rPr>
          <w:szCs w:val="22"/>
          <w:highlight w:val="yellow"/>
        </w:rPr>
        <w:t>identified?</w:t>
      </w:r>
      <w:proofErr w:type="gramEnd"/>
      <w:r w:rsidR="00C2077D" w:rsidRPr="00C2077D">
        <w:rPr>
          <w:szCs w:val="22"/>
          <w:highlight w:val="yellow"/>
        </w:rPr>
        <w:t xml:space="preserve"> </w:t>
      </w:r>
    </w:p>
    <w:p w14:paraId="55D8044E" w14:textId="6152E590" w:rsidR="004A388F" w:rsidRPr="00DF3B6F" w:rsidRDefault="004A388F" w:rsidP="00693685">
      <w:pPr>
        <w:pStyle w:val="ListParagraph"/>
        <w:numPr>
          <w:ilvl w:val="0"/>
          <w:numId w:val="28"/>
        </w:numPr>
        <w:spacing w:before="120" w:after="0" w:line="240" w:lineRule="auto"/>
        <w:ind w:left="709" w:hanging="709"/>
        <w:contextualSpacing w:val="0"/>
        <w:rPr>
          <w:szCs w:val="22"/>
        </w:rPr>
      </w:pPr>
      <w:r w:rsidRPr="00DF3B6F">
        <w:rPr>
          <w:szCs w:val="22"/>
        </w:rPr>
        <w:t xml:space="preserve">Ideally, the ACT will have a sustainable, </w:t>
      </w:r>
      <w:r w:rsidR="00C2077D" w:rsidRPr="00DF3B6F">
        <w:rPr>
          <w:szCs w:val="22"/>
        </w:rPr>
        <w:t>vibrant,</w:t>
      </w:r>
      <w:r w:rsidRPr="00DF3B6F">
        <w:rPr>
          <w:szCs w:val="22"/>
        </w:rPr>
        <w:t xml:space="preserve"> and diverse sector that: </w:t>
      </w:r>
    </w:p>
    <w:p w14:paraId="5B2A18FF" w14:textId="77777777" w:rsidR="004A388F" w:rsidRPr="00C2077D" w:rsidRDefault="004A388F" w:rsidP="00693685">
      <w:pPr>
        <w:pStyle w:val="ListParagraph"/>
        <w:numPr>
          <w:ilvl w:val="0"/>
          <w:numId w:val="29"/>
        </w:numPr>
        <w:spacing w:before="120" w:after="0" w:line="240" w:lineRule="auto"/>
        <w:ind w:left="1134" w:hanging="425"/>
        <w:contextualSpacing w:val="0"/>
        <w:rPr>
          <w:szCs w:val="22"/>
          <w:highlight w:val="yellow"/>
        </w:rPr>
      </w:pPr>
      <w:r w:rsidRPr="00C2077D">
        <w:rPr>
          <w:szCs w:val="22"/>
          <w:highlight w:val="yellow"/>
        </w:rPr>
        <w:t>attracts funding (through all sources) that covers the full cost of service delivery;</w:t>
      </w:r>
    </w:p>
    <w:p w14:paraId="790DE7B8" w14:textId="77777777" w:rsidR="004A388F" w:rsidRPr="00C2077D" w:rsidRDefault="004A388F" w:rsidP="00693685">
      <w:pPr>
        <w:pStyle w:val="ListParagraph"/>
        <w:numPr>
          <w:ilvl w:val="0"/>
          <w:numId w:val="29"/>
        </w:numPr>
        <w:spacing w:before="120" w:after="0" w:line="240" w:lineRule="auto"/>
        <w:ind w:left="1134" w:hanging="425"/>
        <w:contextualSpacing w:val="0"/>
        <w:rPr>
          <w:szCs w:val="22"/>
          <w:highlight w:val="yellow"/>
        </w:rPr>
      </w:pPr>
      <w:r w:rsidRPr="00C2077D">
        <w:rPr>
          <w:szCs w:val="22"/>
          <w:highlight w:val="yellow"/>
        </w:rPr>
        <w:t>has a skilled, stable, and supported workforce;</w:t>
      </w:r>
    </w:p>
    <w:p w14:paraId="257F6C11" w14:textId="77777777" w:rsidR="004A388F" w:rsidRPr="00C2077D" w:rsidRDefault="004A388F" w:rsidP="00693685">
      <w:pPr>
        <w:pStyle w:val="ListParagraph"/>
        <w:numPr>
          <w:ilvl w:val="0"/>
          <w:numId w:val="29"/>
        </w:numPr>
        <w:spacing w:before="120" w:after="0" w:line="240" w:lineRule="auto"/>
        <w:ind w:left="1134" w:hanging="425"/>
        <w:contextualSpacing w:val="0"/>
        <w:rPr>
          <w:szCs w:val="22"/>
          <w:highlight w:val="yellow"/>
        </w:rPr>
      </w:pPr>
      <w:r w:rsidRPr="00C2077D">
        <w:rPr>
          <w:szCs w:val="22"/>
          <w:highlight w:val="yellow"/>
        </w:rPr>
        <w:t>has strong data and research literacy;</w:t>
      </w:r>
    </w:p>
    <w:p w14:paraId="24618325" w14:textId="77777777" w:rsidR="004A388F" w:rsidRPr="00C2077D" w:rsidRDefault="004A388F" w:rsidP="00693685">
      <w:pPr>
        <w:pStyle w:val="ListParagraph"/>
        <w:numPr>
          <w:ilvl w:val="0"/>
          <w:numId w:val="29"/>
        </w:numPr>
        <w:spacing w:before="120" w:after="0" w:line="240" w:lineRule="auto"/>
        <w:ind w:left="1134" w:hanging="425"/>
        <w:contextualSpacing w:val="0"/>
        <w:rPr>
          <w:szCs w:val="22"/>
          <w:highlight w:val="yellow"/>
        </w:rPr>
      </w:pPr>
      <w:r w:rsidRPr="00C2077D">
        <w:rPr>
          <w:szCs w:val="22"/>
          <w:highlight w:val="yellow"/>
        </w:rPr>
        <w:t>focusses more on value and less on cost;</w:t>
      </w:r>
    </w:p>
    <w:p w14:paraId="4BF0FA68" w14:textId="7C65B0DB" w:rsidR="004A388F" w:rsidRPr="00C2077D" w:rsidRDefault="004A388F" w:rsidP="00693685">
      <w:pPr>
        <w:pStyle w:val="ListParagraph"/>
        <w:numPr>
          <w:ilvl w:val="0"/>
          <w:numId w:val="29"/>
        </w:numPr>
        <w:spacing w:before="120" w:after="0" w:line="240" w:lineRule="auto"/>
        <w:ind w:left="1134" w:hanging="425"/>
        <w:contextualSpacing w:val="0"/>
        <w:rPr>
          <w:szCs w:val="22"/>
          <w:highlight w:val="yellow"/>
        </w:rPr>
      </w:pPr>
      <w:r w:rsidRPr="00C2077D">
        <w:rPr>
          <w:szCs w:val="22"/>
          <w:highlight w:val="yellow"/>
        </w:rPr>
        <w:t xml:space="preserve">meets the needs of a diversity of </w:t>
      </w:r>
      <w:r w:rsidR="007B6D93" w:rsidRPr="00C2077D">
        <w:rPr>
          <w:szCs w:val="22"/>
          <w:highlight w:val="yellow"/>
        </w:rPr>
        <w:t>clients</w:t>
      </w:r>
      <w:r w:rsidRPr="00C2077D">
        <w:rPr>
          <w:szCs w:val="22"/>
          <w:highlight w:val="yellow"/>
        </w:rPr>
        <w:t>;</w:t>
      </w:r>
    </w:p>
    <w:p w14:paraId="76C34B0F" w14:textId="70927E27" w:rsidR="004A388F" w:rsidRPr="00C2077D" w:rsidRDefault="004A388F" w:rsidP="00693685">
      <w:pPr>
        <w:pStyle w:val="ListParagraph"/>
        <w:numPr>
          <w:ilvl w:val="0"/>
          <w:numId w:val="29"/>
        </w:numPr>
        <w:spacing w:before="120" w:after="0" w:line="240" w:lineRule="auto"/>
        <w:ind w:left="1134" w:hanging="425"/>
        <w:contextualSpacing w:val="0"/>
        <w:rPr>
          <w:szCs w:val="22"/>
          <w:highlight w:val="yellow"/>
        </w:rPr>
      </w:pPr>
      <w:r w:rsidRPr="00C2077D">
        <w:rPr>
          <w:szCs w:val="22"/>
          <w:highlight w:val="yellow"/>
        </w:rPr>
        <w:t xml:space="preserve">enables </w:t>
      </w:r>
      <w:r w:rsidR="007B6D93" w:rsidRPr="00C2077D">
        <w:rPr>
          <w:szCs w:val="22"/>
          <w:highlight w:val="yellow"/>
        </w:rPr>
        <w:t>clients</w:t>
      </w:r>
      <w:r w:rsidRPr="00C2077D">
        <w:rPr>
          <w:szCs w:val="22"/>
          <w:highlight w:val="yellow"/>
        </w:rPr>
        <w:t xml:space="preserve"> to exercise choice regarding which provider best meets their needs; and</w:t>
      </w:r>
    </w:p>
    <w:p w14:paraId="3D237224" w14:textId="77777777" w:rsidR="004A388F" w:rsidRPr="00C2077D" w:rsidRDefault="004A388F" w:rsidP="00693685">
      <w:pPr>
        <w:pStyle w:val="ListParagraph"/>
        <w:numPr>
          <w:ilvl w:val="0"/>
          <w:numId w:val="29"/>
        </w:numPr>
        <w:spacing w:before="120" w:after="0" w:line="240" w:lineRule="auto"/>
        <w:ind w:left="1134" w:hanging="425"/>
        <w:contextualSpacing w:val="0"/>
        <w:rPr>
          <w:szCs w:val="22"/>
          <w:highlight w:val="yellow"/>
        </w:rPr>
      </w:pPr>
      <w:r w:rsidRPr="00C2077D">
        <w:rPr>
          <w:szCs w:val="22"/>
          <w:highlight w:val="yellow"/>
        </w:rPr>
        <w:t>contains an evolving mix of small and large; new and established; local, regional, and national; specialist and generalist organisations.</w:t>
      </w:r>
    </w:p>
    <w:p w14:paraId="2862FD14" w14:textId="79E2E237" w:rsidR="006F1A3F" w:rsidRPr="00B42371" w:rsidRDefault="006F1A3F" w:rsidP="006F1A3F">
      <w:pPr>
        <w:pStyle w:val="ListParagraph"/>
        <w:numPr>
          <w:ilvl w:val="0"/>
          <w:numId w:val="28"/>
        </w:numPr>
        <w:spacing w:before="120" w:after="0" w:line="240" w:lineRule="auto"/>
        <w:ind w:left="709" w:hanging="709"/>
        <w:contextualSpacing w:val="0"/>
        <w:rPr>
          <w:rStyle w:val="CommentReference"/>
          <w:sz w:val="22"/>
          <w:szCs w:val="22"/>
        </w:rPr>
      </w:pPr>
      <w:r w:rsidRPr="006F1A3F">
        <w:rPr>
          <w:szCs w:val="22"/>
        </w:rPr>
        <w:t xml:space="preserve">Careful consideration has gone into the planning process to ensure </w:t>
      </w:r>
      <w:r w:rsidR="0069673E">
        <w:rPr>
          <w:szCs w:val="22"/>
        </w:rPr>
        <w:t>G</w:t>
      </w:r>
      <w:r w:rsidRPr="006F1A3F">
        <w:rPr>
          <w:szCs w:val="22"/>
        </w:rPr>
        <w:t>overnment has listened to the information obtained during the engagement phase</w:t>
      </w:r>
      <w:r>
        <w:rPr>
          <w:szCs w:val="22"/>
        </w:rPr>
        <w:t>.</w:t>
      </w:r>
      <w:r w:rsidRPr="006F1A3F">
        <w:rPr>
          <w:szCs w:val="22"/>
        </w:rPr>
        <w:t xml:space="preserve"> </w:t>
      </w:r>
    </w:p>
    <w:p w14:paraId="74A85AC6" w14:textId="70766D10" w:rsidR="006F1A3F" w:rsidRPr="006F1A3F" w:rsidRDefault="006F1A3F" w:rsidP="00B42371">
      <w:pPr>
        <w:pStyle w:val="ListParagraph"/>
        <w:numPr>
          <w:ilvl w:val="0"/>
          <w:numId w:val="28"/>
        </w:numPr>
        <w:spacing w:before="120" w:after="0" w:line="240" w:lineRule="auto"/>
        <w:ind w:left="709" w:hanging="709"/>
        <w:contextualSpacing w:val="0"/>
        <w:rPr>
          <w:szCs w:val="22"/>
        </w:rPr>
      </w:pPr>
      <w:r>
        <w:t xml:space="preserve">The investment phase of commissioning </w:t>
      </w:r>
      <w:r w:rsidR="00C2077D" w:rsidRPr="00C2077D">
        <w:rPr>
          <w:highlight w:val="yellow"/>
        </w:rPr>
        <w:t>&lt;NAME&gt;</w:t>
      </w:r>
      <w:r>
        <w:t xml:space="preserve"> services will seek to ensure that the sector is viable and sustainable.</w:t>
      </w:r>
    </w:p>
    <w:p w14:paraId="2160CB0A" w14:textId="5B49F81A" w:rsidR="00FE0085" w:rsidRPr="00FE0085" w:rsidRDefault="00C2077D" w:rsidP="00DB24B9">
      <w:pPr>
        <w:pStyle w:val="Heading1"/>
      </w:pPr>
      <w:bookmarkStart w:id="4" w:name="_Toc116548585"/>
      <w:r>
        <w:t xml:space="preserve">Investment </w:t>
      </w:r>
      <w:r w:rsidR="004A388F">
        <w:t xml:space="preserve">Engagement </w:t>
      </w:r>
      <w:r w:rsidR="008D23FB">
        <w:t>Methodologies</w:t>
      </w:r>
      <w:bookmarkEnd w:id="4"/>
    </w:p>
    <w:p w14:paraId="35498667" w14:textId="72803EC8" w:rsidR="006F1A3F" w:rsidRPr="002754B6" w:rsidRDefault="002754B6" w:rsidP="006F1A3F">
      <w:pPr>
        <w:pStyle w:val="ListParagraph"/>
        <w:numPr>
          <w:ilvl w:val="0"/>
          <w:numId w:val="30"/>
        </w:numPr>
        <w:spacing w:before="120" w:after="0" w:line="240" w:lineRule="auto"/>
        <w:ind w:hanging="720"/>
        <w:contextualSpacing w:val="0"/>
        <w:rPr>
          <w:szCs w:val="22"/>
          <w:highlight w:val="yellow"/>
        </w:rPr>
      </w:pPr>
      <w:r w:rsidRPr="002754B6">
        <w:rPr>
          <w:szCs w:val="22"/>
          <w:highlight w:val="yellow"/>
        </w:rPr>
        <w:t xml:space="preserve">What is different about the engagement methodology you have chosen from how the sector and services are currently funded? </w:t>
      </w:r>
    </w:p>
    <w:p w14:paraId="796EC1B9" w14:textId="3CF56383" w:rsidR="006F1A3F" w:rsidRDefault="00656B4A" w:rsidP="00693685">
      <w:pPr>
        <w:pStyle w:val="ListParagraph"/>
        <w:numPr>
          <w:ilvl w:val="0"/>
          <w:numId w:val="30"/>
        </w:numPr>
        <w:spacing w:before="120" w:after="0" w:line="240" w:lineRule="auto"/>
        <w:ind w:hanging="720"/>
        <w:contextualSpacing w:val="0"/>
        <w:rPr>
          <w:szCs w:val="22"/>
        </w:rPr>
      </w:pPr>
      <w:r>
        <w:rPr>
          <w:szCs w:val="22"/>
        </w:rPr>
        <w:t>To support this more tailored approach,</w:t>
      </w:r>
      <w:r w:rsidR="006F1A3F">
        <w:rPr>
          <w:szCs w:val="22"/>
        </w:rPr>
        <w:t xml:space="preserve"> </w:t>
      </w:r>
      <w:r>
        <w:rPr>
          <w:szCs w:val="22"/>
        </w:rPr>
        <w:t>a</w:t>
      </w:r>
      <w:r w:rsidR="007A0612" w:rsidRPr="00DF3B6F">
        <w:rPr>
          <w:szCs w:val="22"/>
        </w:rPr>
        <w:t xml:space="preserve"> range of </w:t>
      </w:r>
      <w:r w:rsidR="00B42371">
        <w:rPr>
          <w:szCs w:val="22"/>
        </w:rPr>
        <w:t xml:space="preserve">approaches </w:t>
      </w:r>
      <w:r w:rsidR="006F1A3F">
        <w:rPr>
          <w:szCs w:val="22"/>
        </w:rPr>
        <w:t xml:space="preserve">to engage services </w:t>
      </w:r>
      <w:r w:rsidR="007A0612" w:rsidRPr="00DF3B6F">
        <w:rPr>
          <w:szCs w:val="22"/>
        </w:rPr>
        <w:t>will be used</w:t>
      </w:r>
      <w:r w:rsidR="006F1A3F">
        <w:rPr>
          <w:szCs w:val="22"/>
        </w:rPr>
        <w:t>, including:</w:t>
      </w:r>
    </w:p>
    <w:p w14:paraId="2CF75EF3" w14:textId="28DFAB00" w:rsidR="002754B6" w:rsidRPr="002754B6" w:rsidRDefault="002754B6" w:rsidP="002754B6">
      <w:pPr>
        <w:pStyle w:val="ListParagraph"/>
        <w:spacing w:before="120" w:after="0" w:line="240" w:lineRule="auto"/>
        <w:jc w:val="center"/>
        <w:rPr>
          <w:i/>
          <w:iCs/>
          <w:szCs w:val="22"/>
        </w:rPr>
      </w:pPr>
      <w:r w:rsidRPr="002754B6">
        <w:rPr>
          <w:i/>
          <w:iCs/>
          <w:szCs w:val="22"/>
          <w:highlight w:val="lightGray"/>
        </w:rPr>
        <w:t>Describe the ways you will invest and seek responses from the sector/partners:</w:t>
      </w:r>
    </w:p>
    <w:p w14:paraId="446A759F" w14:textId="7D72E65C" w:rsidR="006F1A3F" w:rsidRPr="002754B6" w:rsidRDefault="006F1A3F" w:rsidP="006F1A3F">
      <w:pPr>
        <w:pStyle w:val="ListParagraph"/>
        <w:numPr>
          <w:ilvl w:val="0"/>
          <w:numId w:val="26"/>
        </w:numPr>
        <w:spacing w:before="120" w:after="0" w:line="240" w:lineRule="auto"/>
        <w:ind w:left="1134" w:hanging="425"/>
        <w:contextualSpacing w:val="0"/>
        <w:rPr>
          <w:color w:val="000000" w:themeColor="text1"/>
          <w:szCs w:val="22"/>
          <w:highlight w:val="yellow"/>
        </w:rPr>
      </w:pPr>
      <w:r w:rsidRPr="002754B6">
        <w:rPr>
          <w:color w:val="000000" w:themeColor="text1"/>
          <w:szCs w:val="22"/>
          <w:highlight w:val="yellow"/>
        </w:rPr>
        <w:t>Direct Sourcing grant: a direct approach to an organisation. In relation to the homelessness sector, a number of organisations will be issued the opportunity to submit a grant application through Direct Sourcing.</w:t>
      </w:r>
    </w:p>
    <w:p w14:paraId="432F3D49" w14:textId="5C471506" w:rsidR="006F1A3F" w:rsidRPr="002754B6" w:rsidRDefault="006F1A3F" w:rsidP="006F1A3F">
      <w:pPr>
        <w:pStyle w:val="ListParagraph"/>
        <w:numPr>
          <w:ilvl w:val="0"/>
          <w:numId w:val="26"/>
        </w:numPr>
        <w:spacing w:before="120" w:after="0" w:line="240" w:lineRule="auto"/>
        <w:ind w:left="1134" w:hanging="425"/>
        <w:contextualSpacing w:val="0"/>
        <w:rPr>
          <w:color w:val="000000" w:themeColor="text1"/>
          <w:szCs w:val="22"/>
          <w:highlight w:val="yellow"/>
        </w:rPr>
      </w:pPr>
      <w:r w:rsidRPr="002754B6">
        <w:rPr>
          <w:color w:val="000000" w:themeColor="text1"/>
          <w:szCs w:val="22"/>
          <w:highlight w:val="yellow"/>
        </w:rPr>
        <w:t>Select grant: an approach to multiple identified organisations for a limited number of programs.</w:t>
      </w:r>
    </w:p>
    <w:p w14:paraId="064F0246" w14:textId="3BFC61F7" w:rsidR="006F1A3F" w:rsidRPr="002754B6" w:rsidRDefault="006F1A3F" w:rsidP="006F1A3F">
      <w:pPr>
        <w:pStyle w:val="ListParagraph"/>
        <w:numPr>
          <w:ilvl w:val="0"/>
          <w:numId w:val="26"/>
        </w:numPr>
        <w:spacing w:before="120" w:after="0" w:line="240" w:lineRule="auto"/>
        <w:ind w:left="1134" w:hanging="425"/>
        <w:contextualSpacing w:val="0"/>
        <w:rPr>
          <w:color w:val="000000" w:themeColor="text1"/>
          <w:szCs w:val="22"/>
          <w:highlight w:val="yellow"/>
        </w:rPr>
      </w:pPr>
      <w:r w:rsidRPr="002754B6">
        <w:rPr>
          <w:color w:val="000000" w:themeColor="text1"/>
          <w:szCs w:val="22"/>
          <w:highlight w:val="yellow"/>
        </w:rPr>
        <w:t>An Open grant or tender: the public release of the grant or tender through TendersACT or the ACT Government Grants website.</w:t>
      </w:r>
    </w:p>
    <w:p w14:paraId="14723A6F" w14:textId="00A6E21D" w:rsidR="006F1A3F" w:rsidRPr="002754B6" w:rsidRDefault="002E5B30" w:rsidP="006F1A3F">
      <w:pPr>
        <w:pStyle w:val="ListParagraph"/>
        <w:numPr>
          <w:ilvl w:val="0"/>
          <w:numId w:val="26"/>
        </w:numPr>
        <w:spacing w:before="120" w:after="0" w:line="240" w:lineRule="auto"/>
        <w:ind w:left="1134" w:hanging="425"/>
        <w:contextualSpacing w:val="0"/>
        <w:rPr>
          <w:color w:val="000000" w:themeColor="text1"/>
          <w:szCs w:val="22"/>
          <w:highlight w:val="yellow"/>
        </w:rPr>
      </w:pPr>
      <w:r w:rsidRPr="002754B6">
        <w:rPr>
          <w:color w:val="000000" w:themeColor="text1"/>
          <w:szCs w:val="22"/>
          <w:highlight w:val="yellow"/>
        </w:rPr>
        <w:t xml:space="preserve">Extensions of contracts for 12 months for </w:t>
      </w:r>
      <w:r w:rsidR="006F1A3F" w:rsidRPr="002754B6">
        <w:rPr>
          <w:color w:val="000000" w:themeColor="text1"/>
          <w:szCs w:val="22"/>
          <w:highlight w:val="yellow"/>
        </w:rPr>
        <w:t xml:space="preserve">a small number of identified service programs with a transition out </w:t>
      </w:r>
      <w:r w:rsidR="00B42371" w:rsidRPr="002754B6">
        <w:rPr>
          <w:color w:val="000000" w:themeColor="text1"/>
          <w:szCs w:val="22"/>
          <w:highlight w:val="yellow"/>
        </w:rPr>
        <w:t xml:space="preserve">(termination of </w:t>
      </w:r>
      <w:r w:rsidR="00D14BEB" w:rsidRPr="002754B6">
        <w:rPr>
          <w:color w:val="000000" w:themeColor="text1"/>
          <w:szCs w:val="22"/>
          <w:highlight w:val="yellow"/>
        </w:rPr>
        <w:t>contract</w:t>
      </w:r>
      <w:r w:rsidR="00B42371" w:rsidRPr="002754B6">
        <w:rPr>
          <w:color w:val="000000" w:themeColor="text1"/>
          <w:szCs w:val="22"/>
          <w:highlight w:val="yellow"/>
        </w:rPr>
        <w:t xml:space="preserve">) </w:t>
      </w:r>
      <w:r w:rsidR="006F1A3F" w:rsidRPr="002754B6">
        <w:rPr>
          <w:color w:val="000000" w:themeColor="text1"/>
          <w:szCs w:val="22"/>
          <w:highlight w:val="yellow"/>
        </w:rPr>
        <w:t>clause will be undertaken to enable further co-design</w:t>
      </w:r>
      <w:r w:rsidR="00EA47E3" w:rsidRPr="002754B6">
        <w:rPr>
          <w:color w:val="000000" w:themeColor="text1"/>
          <w:szCs w:val="22"/>
          <w:highlight w:val="yellow"/>
        </w:rPr>
        <w:t>.</w:t>
      </w:r>
      <w:r w:rsidR="006F1A3F" w:rsidRPr="002754B6">
        <w:rPr>
          <w:color w:val="000000" w:themeColor="text1"/>
          <w:szCs w:val="22"/>
          <w:highlight w:val="yellow"/>
        </w:rPr>
        <w:t xml:space="preserve"> </w:t>
      </w:r>
      <w:r w:rsidR="0069673E" w:rsidRPr="002754B6">
        <w:rPr>
          <w:color w:val="000000" w:themeColor="text1"/>
          <w:szCs w:val="22"/>
          <w:highlight w:val="yellow"/>
        </w:rPr>
        <w:t xml:space="preserve">Further information on the co-design activities to be undertaken is provided in section 9.1.3 below. </w:t>
      </w:r>
      <w:r w:rsidRPr="002754B6">
        <w:rPr>
          <w:color w:val="000000" w:themeColor="text1"/>
          <w:szCs w:val="22"/>
          <w:highlight w:val="yellow"/>
        </w:rPr>
        <w:t>Following completion of t</w:t>
      </w:r>
      <w:r w:rsidR="0069673E" w:rsidRPr="002754B6">
        <w:rPr>
          <w:color w:val="000000" w:themeColor="text1"/>
          <w:szCs w:val="22"/>
          <w:highlight w:val="yellow"/>
        </w:rPr>
        <w:t>hese</w:t>
      </w:r>
      <w:r w:rsidRPr="002754B6">
        <w:rPr>
          <w:color w:val="000000" w:themeColor="text1"/>
          <w:szCs w:val="22"/>
          <w:highlight w:val="yellow"/>
        </w:rPr>
        <w:t xml:space="preserve"> co-design activities, a grant or tender process will then be undertaken in relation to these </w:t>
      </w:r>
      <w:r w:rsidR="00EA47E3" w:rsidRPr="002754B6">
        <w:rPr>
          <w:color w:val="000000" w:themeColor="text1"/>
          <w:szCs w:val="22"/>
          <w:highlight w:val="yellow"/>
        </w:rPr>
        <w:t xml:space="preserve">service </w:t>
      </w:r>
      <w:r w:rsidRPr="002754B6">
        <w:rPr>
          <w:color w:val="000000" w:themeColor="text1"/>
          <w:szCs w:val="22"/>
          <w:highlight w:val="yellow"/>
        </w:rPr>
        <w:t xml:space="preserve">programs. </w:t>
      </w:r>
    </w:p>
    <w:p w14:paraId="6EAD43B5" w14:textId="4DD23EE6" w:rsidR="00B769CC" w:rsidRDefault="000B7423" w:rsidP="00B769CC">
      <w:pPr>
        <w:pStyle w:val="ListParagraph"/>
        <w:numPr>
          <w:ilvl w:val="0"/>
          <w:numId w:val="30"/>
        </w:numPr>
        <w:spacing w:before="120" w:after="0" w:line="240" w:lineRule="auto"/>
        <w:ind w:hanging="720"/>
        <w:contextualSpacing w:val="0"/>
        <w:rPr>
          <w:szCs w:val="22"/>
        </w:rPr>
      </w:pPr>
      <w:r w:rsidRPr="00DF3B6F">
        <w:rPr>
          <w:szCs w:val="22"/>
        </w:rPr>
        <w:t xml:space="preserve">Regardless of </w:t>
      </w:r>
      <w:r w:rsidR="00EA47E3">
        <w:rPr>
          <w:szCs w:val="22"/>
        </w:rPr>
        <w:t xml:space="preserve">whether a direct, </w:t>
      </w:r>
      <w:r w:rsidR="002754B6">
        <w:rPr>
          <w:szCs w:val="22"/>
        </w:rPr>
        <w:t>select,</w:t>
      </w:r>
      <w:r w:rsidR="00EA47E3">
        <w:rPr>
          <w:szCs w:val="22"/>
        </w:rPr>
        <w:t xml:space="preserve"> or open approach i</w:t>
      </w:r>
      <w:r w:rsidR="002E5B30">
        <w:rPr>
          <w:szCs w:val="22"/>
        </w:rPr>
        <w:t xml:space="preserve">s </w:t>
      </w:r>
      <w:r w:rsidR="006F1A3F">
        <w:rPr>
          <w:szCs w:val="22"/>
        </w:rPr>
        <w:t xml:space="preserve">used, </w:t>
      </w:r>
      <w:r w:rsidRPr="00DF3B6F">
        <w:rPr>
          <w:szCs w:val="22"/>
        </w:rPr>
        <w:t xml:space="preserve">organisations will be required to apply </w:t>
      </w:r>
      <w:r w:rsidR="00B769CC">
        <w:rPr>
          <w:szCs w:val="22"/>
        </w:rPr>
        <w:t xml:space="preserve">for future funding </w:t>
      </w:r>
      <w:r w:rsidRPr="00DF3B6F">
        <w:rPr>
          <w:szCs w:val="22"/>
        </w:rPr>
        <w:t xml:space="preserve">and be assessed as meeting </w:t>
      </w:r>
      <w:r w:rsidR="00B769CC">
        <w:rPr>
          <w:szCs w:val="22"/>
        </w:rPr>
        <w:t xml:space="preserve">the </w:t>
      </w:r>
      <w:r w:rsidRPr="00DF3B6F">
        <w:rPr>
          <w:szCs w:val="22"/>
        </w:rPr>
        <w:t xml:space="preserve">criteria for funding.  </w:t>
      </w:r>
      <w:r w:rsidR="00B769CC" w:rsidRPr="00DF3B6F">
        <w:rPr>
          <w:szCs w:val="22"/>
        </w:rPr>
        <w:t>This provides an opportunity to</w:t>
      </w:r>
      <w:r w:rsidR="00B769CC">
        <w:rPr>
          <w:szCs w:val="22"/>
        </w:rPr>
        <w:t>:</w:t>
      </w:r>
    </w:p>
    <w:p w14:paraId="080B6FC4" w14:textId="77777777" w:rsidR="00B769CC" w:rsidRPr="002754B6" w:rsidRDefault="00B769CC" w:rsidP="00B769CC">
      <w:pPr>
        <w:pStyle w:val="ListParagraph"/>
        <w:numPr>
          <w:ilvl w:val="0"/>
          <w:numId w:val="53"/>
        </w:numPr>
        <w:spacing w:before="120" w:after="0" w:line="240" w:lineRule="auto"/>
        <w:contextualSpacing w:val="0"/>
        <w:rPr>
          <w:color w:val="000000" w:themeColor="text1"/>
          <w:szCs w:val="22"/>
          <w:highlight w:val="yellow"/>
        </w:rPr>
      </w:pPr>
      <w:r w:rsidRPr="002754B6">
        <w:rPr>
          <w:color w:val="000000" w:themeColor="text1"/>
          <w:szCs w:val="22"/>
          <w:highlight w:val="yellow"/>
        </w:rPr>
        <w:t>review and reset service models to meet current and future needs;</w:t>
      </w:r>
    </w:p>
    <w:p w14:paraId="39CB732B" w14:textId="77777777" w:rsidR="00B769CC" w:rsidRPr="002754B6" w:rsidRDefault="00B769CC" w:rsidP="00B769CC">
      <w:pPr>
        <w:pStyle w:val="ListParagraph"/>
        <w:numPr>
          <w:ilvl w:val="0"/>
          <w:numId w:val="53"/>
        </w:numPr>
        <w:spacing w:before="120" w:after="0" w:line="240" w:lineRule="auto"/>
        <w:contextualSpacing w:val="0"/>
        <w:rPr>
          <w:color w:val="000000" w:themeColor="text1"/>
          <w:szCs w:val="22"/>
          <w:highlight w:val="yellow"/>
        </w:rPr>
      </w:pPr>
      <w:r w:rsidRPr="002754B6">
        <w:rPr>
          <w:color w:val="000000" w:themeColor="text1"/>
          <w:szCs w:val="22"/>
          <w:highlight w:val="yellow"/>
        </w:rPr>
        <w:t>respond to the gaps and barriers identified during the commissioning engagement phase;</w:t>
      </w:r>
    </w:p>
    <w:p w14:paraId="4D0DFE9B" w14:textId="77777777" w:rsidR="00B769CC" w:rsidRPr="002754B6" w:rsidRDefault="00B769CC" w:rsidP="00B769CC">
      <w:pPr>
        <w:pStyle w:val="ListParagraph"/>
        <w:numPr>
          <w:ilvl w:val="0"/>
          <w:numId w:val="53"/>
        </w:numPr>
        <w:spacing w:before="120" w:after="0" w:line="240" w:lineRule="auto"/>
        <w:contextualSpacing w:val="0"/>
        <w:rPr>
          <w:color w:val="000000" w:themeColor="text1"/>
          <w:szCs w:val="22"/>
          <w:highlight w:val="yellow"/>
        </w:rPr>
      </w:pPr>
      <w:r w:rsidRPr="002754B6">
        <w:rPr>
          <w:color w:val="000000" w:themeColor="text1"/>
          <w:szCs w:val="22"/>
          <w:highlight w:val="yellow"/>
        </w:rPr>
        <w:lastRenderedPageBreak/>
        <w:t xml:space="preserve">contribute to a more integrated homelessness service system; and, </w:t>
      </w:r>
    </w:p>
    <w:p w14:paraId="2CED4CD0" w14:textId="77777777" w:rsidR="00B769CC" w:rsidRPr="002754B6" w:rsidRDefault="00B769CC" w:rsidP="00B769CC">
      <w:pPr>
        <w:pStyle w:val="ListParagraph"/>
        <w:numPr>
          <w:ilvl w:val="0"/>
          <w:numId w:val="53"/>
        </w:numPr>
        <w:spacing w:before="120" w:after="0" w:line="240" w:lineRule="auto"/>
        <w:contextualSpacing w:val="0"/>
        <w:rPr>
          <w:color w:val="000000" w:themeColor="text1"/>
          <w:szCs w:val="22"/>
          <w:highlight w:val="yellow"/>
        </w:rPr>
      </w:pPr>
      <w:r w:rsidRPr="002754B6">
        <w:rPr>
          <w:color w:val="000000" w:themeColor="text1"/>
          <w:szCs w:val="22"/>
          <w:highlight w:val="yellow"/>
        </w:rPr>
        <w:t xml:space="preserve">ensure that government and the sector fulfill legislative and community expectations to achieve economies of scale and value for money. </w:t>
      </w:r>
    </w:p>
    <w:p w14:paraId="65799893" w14:textId="6735BC3B" w:rsidR="007A0612" w:rsidRPr="00DF3B6F" w:rsidRDefault="000B7423" w:rsidP="00693685">
      <w:pPr>
        <w:pStyle w:val="ListParagraph"/>
        <w:numPr>
          <w:ilvl w:val="0"/>
          <w:numId w:val="30"/>
        </w:numPr>
        <w:spacing w:before="120" w:after="0" w:line="240" w:lineRule="auto"/>
        <w:ind w:hanging="720"/>
        <w:contextualSpacing w:val="0"/>
        <w:rPr>
          <w:szCs w:val="22"/>
        </w:rPr>
      </w:pPr>
      <w:r w:rsidRPr="00DF3B6F">
        <w:rPr>
          <w:szCs w:val="22"/>
        </w:rPr>
        <w:t xml:space="preserve">Government recognises that </w:t>
      </w:r>
      <w:r w:rsidR="000413BD">
        <w:rPr>
          <w:szCs w:val="22"/>
        </w:rPr>
        <w:t xml:space="preserve">applying for funding takes up time and resources, </w:t>
      </w:r>
      <w:r w:rsidRPr="00DF3B6F">
        <w:rPr>
          <w:szCs w:val="22"/>
        </w:rPr>
        <w:t xml:space="preserve">and intends to work with </w:t>
      </w:r>
      <w:r w:rsidR="000413BD">
        <w:rPr>
          <w:szCs w:val="22"/>
        </w:rPr>
        <w:t xml:space="preserve">organisations, </w:t>
      </w:r>
      <w:r w:rsidRPr="00DF3B6F">
        <w:rPr>
          <w:szCs w:val="22"/>
        </w:rPr>
        <w:t xml:space="preserve">particularly smaller entities, to support their participation in the process. </w:t>
      </w:r>
    </w:p>
    <w:p w14:paraId="46F8008B" w14:textId="77777777" w:rsidR="00AF4372" w:rsidRPr="00DF3B6F" w:rsidRDefault="00AF4372" w:rsidP="00693685">
      <w:pPr>
        <w:pStyle w:val="ListParagraph"/>
        <w:numPr>
          <w:ilvl w:val="0"/>
          <w:numId w:val="30"/>
        </w:numPr>
        <w:spacing w:before="120" w:after="0" w:line="240" w:lineRule="auto"/>
        <w:ind w:hanging="720"/>
        <w:contextualSpacing w:val="0"/>
        <w:rPr>
          <w:szCs w:val="22"/>
        </w:rPr>
      </w:pPr>
      <w:r w:rsidRPr="00DF3B6F">
        <w:rPr>
          <w:szCs w:val="22"/>
        </w:rPr>
        <w:t>In determining whether to offer a grant or a procurement the following factors were considered:</w:t>
      </w:r>
    </w:p>
    <w:p w14:paraId="3339B90D" w14:textId="77777777" w:rsidR="00AF4372" w:rsidRPr="00DF3B6F" w:rsidRDefault="00AF4372" w:rsidP="00693685">
      <w:pPr>
        <w:pStyle w:val="CS-Paragraphnumbering"/>
        <w:numPr>
          <w:ilvl w:val="0"/>
          <w:numId w:val="50"/>
        </w:numPr>
        <w:spacing w:before="120" w:after="0" w:line="240" w:lineRule="auto"/>
        <w:ind w:left="1418" w:hanging="698"/>
        <w:rPr>
          <w:sz w:val="22"/>
          <w:szCs w:val="22"/>
        </w:rPr>
      </w:pPr>
      <w:r w:rsidRPr="00DF3B6F">
        <w:rPr>
          <w:sz w:val="22"/>
          <w:szCs w:val="22"/>
        </w:rPr>
        <w:t xml:space="preserve">definition of Procurement &amp; Grant (as defined in the </w:t>
      </w:r>
      <w:r w:rsidRPr="00013E34">
        <w:rPr>
          <w:i/>
          <w:iCs/>
          <w:sz w:val="22"/>
          <w:szCs w:val="22"/>
        </w:rPr>
        <w:t>Government Procurement Act 2001</w:t>
      </w:r>
      <w:r w:rsidRPr="00DF3B6F">
        <w:rPr>
          <w:sz w:val="22"/>
          <w:szCs w:val="22"/>
        </w:rPr>
        <w:t>);</w:t>
      </w:r>
    </w:p>
    <w:p w14:paraId="487CF86C" w14:textId="77777777" w:rsidR="00AF4372" w:rsidRPr="00DF3B6F" w:rsidRDefault="00AF4372" w:rsidP="00693685">
      <w:pPr>
        <w:pStyle w:val="CS-Paragraphnumbering"/>
        <w:numPr>
          <w:ilvl w:val="0"/>
          <w:numId w:val="50"/>
        </w:numPr>
        <w:spacing w:before="120" w:after="0" w:line="240" w:lineRule="auto"/>
        <w:ind w:left="1418" w:hanging="698"/>
        <w:rPr>
          <w:sz w:val="22"/>
          <w:szCs w:val="22"/>
        </w:rPr>
      </w:pPr>
      <w:r w:rsidRPr="00DF3B6F">
        <w:rPr>
          <w:sz w:val="22"/>
          <w:szCs w:val="22"/>
        </w:rPr>
        <w:t>Grant or Procurement Indicators (Procurement ACT);</w:t>
      </w:r>
    </w:p>
    <w:p w14:paraId="7D5312C2" w14:textId="77777777" w:rsidR="00AF4372" w:rsidRPr="00DF3B6F" w:rsidRDefault="00AF4372" w:rsidP="00693685">
      <w:pPr>
        <w:pStyle w:val="CS-Paragraphnumbering"/>
        <w:numPr>
          <w:ilvl w:val="0"/>
          <w:numId w:val="50"/>
        </w:numPr>
        <w:spacing w:before="120" w:after="0" w:line="240" w:lineRule="auto"/>
        <w:ind w:left="1418" w:hanging="698"/>
        <w:rPr>
          <w:sz w:val="22"/>
          <w:szCs w:val="22"/>
        </w:rPr>
      </w:pPr>
      <w:r w:rsidRPr="00DF3B6F">
        <w:rPr>
          <w:sz w:val="22"/>
          <w:szCs w:val="22"/>
        </w:rPr>
        <w:t>how best the needs and aspirations of our clients can be met;</w:t>
      </w:r>
    </w:p>
    <w:p w14:paraId="7703A046" w14:textId="30CC8B02" w:rsidR="00AF4372" w:rsidRPr="00DF3B6F" w:rsidRDefault="00AF4372" w:rsidP="00693685">
      <w:pPr>
        <w:pStyle w:val="CS-Paragraphnumbering"/>
        <w:numPr>
          <w:ilvl w:val="0"/>
          <w:numId w:val="50"/>
        </w:numPr>
        <w:spacing w:before="120" w:after="0" w:line="240" w:lineRule="auto"/>
        <w:ind w:left="1418" w:hanging="698"/>
        <w:rPr>
          <w:sz w:val="22"/>
          <w:szCs w:val="22"/>
        </w:rPr>
      </w:pPr>
      <w:r w:rsidRPr="00DF3B6F">
        <w:rPr>
          <w:sz w:val="22"/>
          <w:szCs w:val="22"/>
        </w:rPr>
        <w:t>the organisations that we work with, their experience and capability to undertake service</w:t>
      </w:r>
      <w:r w:rsidR="00CA321B">
        <w:rPr>
          <w:sz w:val="22"/>
          <w:szCs w:val="22"/>
        </w:rPr>
        <w:t xml:space="preserve"> provision</w:t>
      </w:r>
      <w:r w:rsidRPr="00DF3B6F">
        <w:rPr>
          <w:sz w:val="22"/>
          <w:szCs w:val="22"/>
        </w:rPr>
        <w:t>;</w:t>
      </w:r>
    </w:p>
    <w:p w14:paraId="61288AC0" w14:textId="2980CBEA" w:rsidR="00AF4372" w:rsidRPr="00DF3B6F" w:rsidRDefault="00AF4372" w:rsidP="00693685">
      <w:pPr>
        <w:pStyle w:val="CS-Paragraphnumbering"/>
        <w:numPr>
          <w:ilvl w:val="0"/>
          <w:numId w:val="50"/>
        </w:numPr>
        <w:spacing w:before="120" w:after="0" w:line="240" w:lineRule="auto"/>
        <w:ind w:left="1418" w:hanging="698"/>
        <w:rPr>
          <w:sz w:val="22"/>
          <w:szCs w:val="22"/>
        </w:rPr>
      </w:pPr>
      <w:r w:rsidRPr="00DF3B6F">
        <w:rPr>
          <w:sz w:val="22"/>
          <w:szCs w:val="22"/>
        </w:rPr>
        <w:t>value of funding; and</w:t>
      </w:r>
    </w:p>
    <w:p w14:paraId="6B5FC230" w14:textId="77777777" w:rsidR="00AF4372" w:rsidRPr="00DF3B6F" w:rsidRDefault="00AF4372" w:rsidP="00693685">
      <w:pPr>
        <w:pStyle w:val="CS-Paragraphnumbering"/>
        <w:numPr>
          <w:ilvl w:val="0"/>
          <w:numId w:val="50"/>
        </w:numPr>
        <w:spacing w:before="120" w:after="0" w:line="240" w:lineRule="auto"/>
        <w:ind w:left="1418" w:hanging="698"/>
        <w:rPr>
          <w:sz w:val="22"/>
          <w:szCs w:val="22"/>
        </w:rPr>
      </w:pPr>
      <w:r w:rsidRPr="00DF3B6F">
        <w:rPr>
          <w:sz w:val="22"/>
          <w:szCs w:val="22"/>
        </w:rPr>
        <w:t>risks.</w:t>
      </w:r>
    </w:p>
    <w:p w14:paraId="35C47A74" w14:textId="242CA205" w:rsidR="00E51989" w:rsidRPr="00DF3B6F" w:rsidRDefault="00E51989" w:rsidP="00693685">
      <w:pPr>
        <w:pStyle w:val="ListParagraph"/>
        <w:numPr>
          <w:ilvl w:val="0"/>
          <w:numId w:val="30"/>
        </w:numPr>
        <w:spacing w:before="120" w:after="0" w:line="240" w:lineRule="auto"/>
        <w:ind w:hanging="720"/>
        <w:contextualSpacing w:val="0"/>
        <w:rPr>
          <w:szCs w:val="22"/>
        </w:rPr>
      </w:pPr>
      <w:r w:rsidRPr="00DF3B6F">
        <w:rPr>
          <w:szCs w:val="22"/>
        </w:rPr>
        <w:t>Have we got it right?  We will know this following feedback from the market sounding papers. We acknowledge that some organisations may be impacted, depending upon the outcome of the evaluation of the responses received.</w:t>
      </w:r>
    </w:p>
    <w:p w14:paraId="32F52479" w14:textId="7AE39C41" w:rsidR="002754B6" w:rsidRPr="002754B6" w:rsidRDefault="002754B6" w:rsidP="00F07FBB">
      <w:pPr>
        <w:pStyle w:val="ListParagraph"/>
        <w:numPr>
          <w:ilvl w:val="0"/>
          <w:numId w:val="30"/>
        </w:numPr>
        <w:spacing w:before="120" w:after="0" w:line="240" w:lineRule="auto"/>
        <w:ind w:hanging="720"/>
        <w:contextualSpacing w:val="0"/>
        <w:rPr>
          <w:szCs w:val="22"/>
          <w:highlight w:val="yellow"/>
        </w:rPr>
      </w:pPr>
      <w:r w:rsidRPr="002754B6">
        <w:rPr>
          <w:szCs w:val="22"/>
          <w:highlight w:val="yellow"/>
        </w:rPr>
        <w:t xml:space="preserve">Currently how many funded organisations are there and how may services to they provide? </w:t>
      </w:r>
    </w:p>
    <w:p w14:paraId="5AAAFE1A" w14:textId="0C116F86" w:rsidR="00013E34" w:rsidRDefault="00B769CC" w:rsidP="00013E34">
      <w:pPr>
        <w:pStyle w:val="ListParagraph"/>
        <w:numPr>
          <w:ilvl w:val="0"/>
          <w:numId w:val="30"/>
        </w:numPr>
        <w:spacing w:before="120" w:after="0" w:line="240" w:lineRule="auto"/>
        <w:ind w:hanging="720"/>
        <w:contextualSpacing w:val="0"/>
      </w:pPr>
      <w:r>
        <w:rPr>
          <w:szCs w:val="22"/>
        </w:rPr>
        <w:t>W</w:t>
      </w:r>
      <w:r w:rsidR="00216914" w:rsidRPr="00DF3B6F">
        <w:rPr>
          <w:szCs w:val="22"/>
        </w:rPr>
        <w:t xml:space="preserve">hen submitting </w:t>
      </w:r>
      <w:r w:rsidR="00013E34">
        <w:rPr>
          <w:szCs w:val="22"/>
        </w:rPr>
        <w:t>a select or open</w:t>
      </w:r>
      <w:r w:rsidR="00013E34" w:rsidRPr="00DF3B6F">
        <w:rPr>
          <w:szCs w:val="22"/>
        </w:rPr>
        <w:t xml:space="preserve"> </w:t>
      </w:r>
      <w:r w:rsidR="00216914" w:rsidRPr="00DF3B6F">
        <w:rPr>
          <w:szCs w:val="22"/>
        </w:rPr>
        <w:t xml:space="preserve">grant or tender </w:t>
      </w:r>
      <w:r w:rsidR="00013E34">
        <w:rPr>
          <w:szCs w:val="22"/>
        </w:rPr>
        <w:t>proposal</w:t>
      </w:r>
      <w:r w:rsidR="00216914" w:rsidRPr="00DF3B6F">
        <w:rPr>
          <w:szCs w:val="22"/>
        </w:rPr>
        <w:t xml:space="preserve">, </w:t>
      </w:r>
      <w:r>
        <w:rPr>
          <w:szCs w:val="22"/>
        </w:rPr>
        <w:t xml:space="preserve">organisations </w:t>
      </w:r>
      <w:r w:rsidR="00AF4372" w:rsidRPr="00DF3B6F">
        <w:rPr>
          <w:szCs w:val="22"/>
        </w:rPr>
        <w:t>can nominate to</w:t>
      </w:r>
      <w:r w:rsidR="00013E34">
        <w:t xml:space="preserve"> </w:t>
      </w:r>
      <w:proofErr w:type="gramStart"/>
      <w:r w:rsidR="00013E34">
        <w:t>enter into</w:t>
      </w:r>
      <w:proofErr w:type="gramEnd"/>
      <w:r w:rsidR="00013E34">
        <w:t xml:space="preserve"> a partnership arrangement with a lead organisation or other alternative arrangements.</w:t>
      </w:r>
    </w:p>
    <w:p w14:paraId="483826CE" w14:textId="378A86AE" w:rsidR="005C302A" w:rsidRPr="00DF3B6F" w:rsidRDefault="005C302A" w:rsidP="00693685">
      <w:pPr>
        <w:pStyle w:val="ListParagraph"/>
        <w:numPr>
          <w:ilvl w:val="0"/>
          <w:numId w:val="30"/>
        </w:numPr>
        <w:spacing w:before="120" w:after="0" w:line="240" w:lineRule="auto"/>
        <w:ind w:hanging="720"/>
        <w:contextualSpacing w:val="0"/>
        <w:rPr>
          <w:szCs w:val="22"/>
        </w:rPr>
      </w:pPr>
      <w:r w:rsidRPr="00DF3B6F">
        <w:rPr>
          <w:szCs w:val="22"/>
        </w:rPr>
        <w:t>In summary the following table outlines the proposed engagement methodology:</w:t>
      </w:r>
    </w:p>
    <w:p w14:paraId="37DD865F" w14:textId="77777777" w:rsidR="004A388F" w:rsidRDefault="004A388F" w:rsidP="00BE1B8A">
      <w:pPr>
        <w:spacing w:before="120" w:after="0" w:line="240" w:lineRule="auto"/>
      </w:pPr>
    </w:p>
    <w:tbl>
      <w:tblPr>
        <w:tblStyle w:val="TableGrid"/>
        <w:tblW w:w="4561" w:type="pct"/>
        <w:tblInd w:w="846" w:type="dxa"/>
        <w:tblLook w:val="04A0" w:firstRow="1" w:lastRow="0" w:firstColumn="1" w:lastColumn="0" w:noHBand="0" w:noVBand="1"/>
      </w:tblPr>
      <w:tblGrid>
        <w:gridCol w:w="3969"/>
        <w:gridCol w:w="4815"/>
      </w:tblGrid>
      <w:tr w:rsidR="005C302A" w:rsidRPr="00DF3B6F" w14:paraId="19636CA9" w14:textId="77777777" w:rsidTr="004A388F">
        <w:tc>
          <w:tcPr>
            <w:tcW w:w="2259" w:type="pct"/>
          </w:tcPr>
          <w:p w14:paraId="177311A6" w14:textId="568D8E53" w:rsidR="005C302A" w:rsidRPr="00DF3B6F" w:rsidRDefault="005C302A" w:rsidP="00BE1B8A">
            <w:pPr>
              <w:spacing w:before="120" w:after="0" w:line="240" w:lineRule="auto"/>
              <w:rPr>
                <w:b/>
                <w:bCs/>
                <w:szCs w:val="22"/>
              </w:rPr>
            </w:pPr>
            <w:bookmarkStart w:id="5" w:name="_Hlk116384864"/>
            <w:r w:rsidRPr="00DF3B6F">
              <w:rPr>
                <w:b/>
                <w:bCs/>
                <w:szCs w:val="22"/>
              </w:rPr>
              <w:t>Approach</w:t>
            </w:r>
          </w:p>
        </w:tc>
        <w:tc>
          <w:tcPr>
            <w:tcW w:w="2741" w:type="pct"/>
          </w:tcPr>
          <w:p w14:paraId="61B43267" w14:textId="4E66E200" w:rsidR="005C302A" w:rsidRPr="00DF3B6F" w:rsidRDefault="005C302A" w:rsidP="00BE1B8A">
            <w:pPr>
              <w:spacing w:before="120" w:after="0" w:line="240" w:lineRule="auto"/>
              <w:jc w:val="center"/>
              <w:rPr>
                <w:b/>
                <w:bCs/>
                <w:szCs w:val="22"/>
              </w:rPr>
            </w:pPr>
            <w:r w:rsidRPr="00DF3B6F">
              <w:rPr>
                <w:b/>
                <w:bCs/>
                <w:szCs w:val="22"/>
              </w:rPr>
              <w:t xml:space="preserve">Number of </w:t>
            </w:r>
            <w:r w:rsidR="00472B05" w:rsidRPr="00DF3B6F">
              <w:rPr>
                <w:b/>
                <w:bCs/>
                <w:szCs w:val="22"/>
              </w:rPr>
              <w:t xml:space="preserve">Service </w:t>
            </w:r>
            <w:r w:rsidRPr="00DF3B6F">
              <w:rPr>
                <w:b/>
                <w:bCs/>
                <w:szCs w:val="22"/>
              </w:rPr>
              <w:t xml:space="preserve">Programs </w:t>
            </w:r>
          </w:p>
          <w:p w14:paraId="3478C461" w14:textId="3BC08223" w:rsidR="00195BBE" w:rsidRPr="00DF3B6F" w:rsidRDefault="00195BBE" w:rsidP="00BE1B8A">
            <w:pPr>
              <w:spacing w:before="120" w:after="0" w:line="240" w:lineRule="auto"/>
              <w:jc w:val="center"/>
              <w:rPr>
                <w:b/>
                <w:bCs/>
                <w:szCs w:val="22"/>
              </w:rPr>
            </w:pPr>
            <w:r w:rsidRPr="00DF3B6F">
              <w:rPr>
                <w:b/>
                <w:bCs/>
                <w:szCs w:val="22"/>
              </w:rPr>
              <w:t>(Subject to change)</w:t>
            </w:r>
          </w:p>
        </w:tc>
      </w:tr>
      <w:tr w:rsidR="005C302A" w:rsidRPr="00DF3B6F" w14:paraId="040C6332" w14:textId="77777777" w:rsidTr="004A388F">
        <w:tc>
          <w:tcPr>
            <w:tcW w:w="2259" w:type="pct"/>
          </w:tcPr>
          <w:p w14:paraId="164C493E" w14:textId="31E179FC" w:rsidR="005C302A" w:rsidRPr="00DF3B6F" w:rsidRDefault="005C302A" w:rsidP="00BE1B8A">
            <w:pPr>
              <w:spacing w:before="120" w:after="0" w:line="240" w:lineRule="auto"/>
              <w:rPr>
                <w:szCs w:val="22"/>
              </w:rPr>
            </w:pPr>
            <w:r w:rsidRPr="00DF3B6F">
              <w:rPr>
                <w:szCs w:val="22"/>
              </w:rPr>
              <w:t>Direct Approach</w:t>
            </w:r>
            <w:r w:rsidR="00195BBE" w:rsidRPr="00DF3B6F">
              <w:rPr>
                <w:szCs w:val="22"/>
              </w:rPr>
              <w:t xml:space="preserve"> to Organisations</w:t>
            </w:r>
          </w:p>
        </w:tc>
        <w:tc>
          <w:tcPr>
            <w:tcW w:w="2741" w:type="pct"/>
          </w:tcPr>
          <w:p w14:paraId="07A28BB2" w14:textId="383D6B8B" w:rsidR="005C302A" w:rsidRPr="00DF3B6F" w:rsidRDefault="002754B6" w:rsidP="00BE1B8A">
            <w:pPr>
              <w:spacing w:before="120" w:after="0" w:line="240" w:lineRule="auto"/>
              <w:jc w:val="center"/>
              <w:rPr>
                <w:szCs w:val="22"/>
              </w:rPr>
            </w:pPr>
            <w:r>
              <w:rPr>
                <w:szCs w:val="22"/>
              </w:rPr>
              <w:t>##</w:t>
            </w:r>
          </w:p>
        </w:tc>
      </w:tr>
      <w:tr w:rsidR="005C302A" w:rsidRPr="00DF3B6F" w14:paraId="7A300068" w14:textId="77777777" w:rsidTr="004A388F">
        <w:tc>
          <w:tcPr>
            <w:tcW w:w="2259" w:type="pct"/>
          </w:tcPr>
          <w:p w14:paraId="6A46221F" w14:textId="3D6C3CDA" w:rsidR="005C302A" w:rsidRPr="00DF3B6F" w:rsidRDefault="005C302A" w:rsidP="00BE1B8A">
            <w:pPr>
              <w:spacing w:before="120" w:after="0" w:line="240" w:lineRule="auto"/>
              <w:rPr>
                <w:szCs w:val="22"/>
              </w:rPr>
            </w:pPr>
            <w:r w:rsidRPr="00DF3B6F">
              <w:rPr>
                <w:szCs w:val="22"/>
              </w:rPr>
              <w:t>Select Approach</w:t>
            </w:r>
            <w:r w:rsidR="00195BBE" w:rsidRPr="00DF3B6F">
              <w:rPr>
                <w:szCs w:val="22"/>
              </w:rPr>
              <w:t xml:space="preserve"> to identified </w:t>
            </w:r>
            <w:r w:rsidR="00216914" w:rsidRPr="00DF3B6F">
              <w:rPr>
                <w:szCs w:val="22"/>
              </w:rPr>
              <w:t>O</w:t>
            </w:r>
            <w:r w:rsidR="00195BBE" w:rsidRPr="00DF3B6F">
              <w:rPr>
                <w:szCs w:val="22"/>
              </w:rPr>
              <w:t>rganisations</w:t>
            </w:r>
          </w:p>
        </w:tc>
        <w:tc>
          <w:tcPr>
            <w:tcW w:w="2741" w:type="pct"/>
          </w:tcPr>
          <w:p w14:paraId="1F97EF7F" w14:textId="7BC5E539" w:rsidR="005C302A" w:rsidRPr="00DF3B6F" w:rsidRDefault="002754B6" w:rsidP="00BE1B8A">
            <w:pPr>
              <w:spacing w:before="120" w:after="0" w:line="240" w:lineRule="auto"/>
              <w:jc w:val="center"/>
              <w:rPr>
                <w:szCs w:val="22"/>
              </w:rPr>
            </w:pPr>
            <w:r>
              <w:rPr>
                <w:szCs w:val="22"/>
              </w:rPr>
              <w:t>##</w:t>
            </w:r>
          </w:p>
        </w:tc>
      </w:tr>
      <w:tr w:rsidR="005C302A" w:rsidRPr="00DF3B6F" w14:paraId="098842C1" w14:textId="77777777" w:rsidTr="004A388F">
        <w:tc>
          <w:tcPr>
            <w:tcW w:w="2259" w:type="pct"/>
          </w:tcPr>
          <w:p w14:paraId="1E8C8401" w14:textId="5B6B2931" w:rsidR="005C302A" w:rsidRPr="00DF3B6F" w:rsidRDefault="005C302A" w:rsidP="00BE1B8A">
            <w:pPr>
              <w:spacing w:before="120" w:after="0" w:line="240" w:lineRule="auto"/>
              <w:rPr>
                <w:szCs w:val="22"/>
              </w:rPr>
            </w:pPr>
            <w:r w:rsidRPr="00DF3B6F">
              <w:rPr>
                <w:szCs w:val="22"/>
              </w:rPr>
              <w:t>Open Grant</w:t>
            </w:r>
            <w:r w:rsidR="00195BBE" w:rsidRPr="00DF3B6F">
              <w:rPr>
                <w:szCs w:val="22"/>
              </w:rPr>
              <w:t xml:space="preserve"> – ACT Government Grants website</w:t>
            </w:r>
          </w:p>
        </w:tc>
        <w:tc>
          <w:tcPr>
            <w:tcW w:w="2741" w:type="pct"/>
          </w:tcPr>
          <w:p w14:paraId="0FB0D556" w14:textId="2DC447D0" w:rsidR="005C302A" w:rsidRPr="00DF3B6F" w:rsidRDefault="002754B6" w:rsidP="00BE1B8A">
            <w:pPr>
              <w:spacing w:before="120" w:after="0" w:line="240" w:lineRule="auto"/>
              <w:jc w:val="center"/>
              <w:rPr>
                <w:szCs w:val="22"/>
              </w:rPr>
            </w:pPr>
            <w:r>
              <w:rPr>
                <w:szCs w:val="22"/>
              </w:rPr>
              <w:t>##</w:t>
            </w:r>
          </w:p>
        </w:tc>
      </w:tr>
      <w:tr w:rsidR="005C302A" w:rsidRPr="00DF3B6F" w14:paraId="45984C07" w14:textId="77777777" w:rsidTr="004A388F">
        <w:tc>
          <w:tcPr>
            <w:tcW w:w="2259" w:type="pct"/>
          </w:tcPr>
          <w:p w14:paraId="5580D0B2" w14:textId="216890E4" w:rsidR="005C302A" w:rsidRPr="00DF3B6F" w:rsidRDefault="005C302A" w:rsidP="00BE1B8A">
            <w:pPr>
              <w:spacing w:before="120" w:after="0" w:line="240" w:lineRule="auto"/>
              <w:rPr>
                <w:szCs w:val="22"/>
              </w:rPr>
            </w:pPr>
            <w:r w:rsidRPr="00DF3B6F">
              <w:rPr>
                <w:szCs w:val="22"/>
              </w:rPr>
              <w:t>Open Tender</w:t>
            </w:r>
            <w:r w:rsidR="00F47020" w:rsidRPr="00DF3B6F">
              <w:rPr>
                <w:szCs w:val="22"/>
              </w:rPr>
              <w:t xml:space="preserve"> – TendersACT website</w:t>
            </w:r>
          </w:p>
        </w:tc>
        <w:tc>
          <w:tcPr>
            <w:tcW w:w="2741" w:type="pct"/>
          </w:tcPr>
          <w:p w14:paraId="49D32DFE" w14:textId="58BCA067" w:rsidR="005C302A" w:rsidRPr="00DF3B6F" w:rsidRDefault="002754B6" w:rsidP="00BE1B8A">
            <w:pPr>
              <w:spacing w:before="120" w:after="0" w:line="240" w:lineRule="auto"/>
              <w:jc w:val="center"/>
              <w:rPr>
                <w:szCs w:val="22"/>
              </w:rPr>
            </w:pPr>
            <w:r>
              <w:rPr>
                <w:szCs w:val="22"/>
              </w:rPr>
              <w:t>##</w:t>
            </w:r>
          </w:p>
        </w:tc>
      </w:tr>
      <w:tr w:rsidR="005C302A" w:rsidRPr="00DF3B6F" w14:paraId="4112D170" w14:textId="77777777" w:rsidTr="004A388F">
        <w:tc>
          <w:tcPr>
            <w:tcW w:w="2259" w:type="pct"/>
          </w:tcPr>
          <w:p w14:paraId="02A759C4" w14:textId="3D9893F6" w:rsidR="005C302A" w:rsidRPr="00DF3B6F" w:rsidRDefault="005C302A" w:rsidP="00BE1B8A">
            <w:pPr>
              <w:spacing w:before="120" w:after="0" w:line="240" w:lineRule="auto"/>
              <w:rPr>
                <w:b/>
                <w:bCs/>
                <w:szCs w:val="22"/>
              </w:rPr>
            </w:pPr>
            <w:r w:rsidRPr="00DF3B6F">
              <w:rPr>
                <w:b/>
                <w:bCs/>
                <w:szCs w:val="22"/>
              </w:rPr>
              <w:t>Total</w:t>
            </w:r>
          </w:p>
        </w:tc>
        <w:tc>
          <w:tcPr>
            <w:tcW w:w="2741" w:type="pct"/>
          </w:tcPr>
          <w:p w14:paraId="692B66C7" w14:textId="40BFF502" w:rsidR="005C302A" w:rsidRPr="00DF3B6F" w:rsidRDefault="002754B6" w:rsidP="00BE1B8A">
            <w:pPr>
              <w:spacing w:before="120" w:after="0" w:line="240" w:lineRule="auto"/>
              <w:jc w:val="center"/>
              <w:rPr>
                <w:b/>
                <w:bCs/>
                <w:szCs w:val="22"/>
              </w:rPr>
            </w:pPr>
            <w:r>
              <w:rPr>
                <w:b/>
                <w:bCs/>
                <w:szCs w:val="22"/>
              </w:rPr>
              <w:t>##</w:t>
            </w:r>
          </w:p>
        </w:tc>
      </w:tr>
      <w:bookmarkEnd w:id="5"/>
    </w:tbl>
    <w:p w14:paraId="627BB817" w14:textId="77777777" w:rsidR="00D14BEB" w:rsidRDefault="00D14BEB" w:rsidP="00BE1B8A">
      <w:pPr>
        <w:spacing w:before="120" w:after="0" w:line="240" w:lineRule="auto"/>
      </w:pPr>
    </w:p>
    <w:tbl>
      <w:tblPr>
        <w:tblStyle w:val="TableGrid"/>
        <w:tblW w:w="4561" w:type="pct"/>
        <w:tblInd w:w="846" w:type="dxa"/>
        <w:tblLook w:val="04A0" w:firstRow="1" w:lastRow="0" w:firstColumn="1" w:lastColumn="0" w:noHBand="0" w:noVBand="1"/>
      </w:tblPr>
      <w:tblGrid>
        <w:gridCol w:w="3969"/>
        <w:gridCol w:w="4815"/>
      </w:tblGrid>
      <w:tr w:rsidR="00F47020" w14:paraId="6D545139" w14:textId="77777777" w:rsidTr="004A388F">
        <w:tc>
          <w:tcPr>
            <w:tcW w:w="2259" w:type="pct"/>
          </w:tcPr>
          <w:p w14:paraId="3450CC8A" w14:textId="530BEA36" w:rsidR="00F47020" w:rsidRPr="00DF3B6F" w:rsidRDefault="00F47020" w:rsidP="00BE1B8A">
            <w:pPr>
              <w:spacing w:before="120" w:after="0" w:line="240" w:lineRule="auto"/>
              <w:rPr>
                <w:b/>
                <w:bCs/>
                <w:szCs w:val="22"/>
              </w:rPr>
            </w:pPr>
            <w:r w:rsidRPr="00DF3B6F">
              <w:rPr>
                <w:b/>
                <w:bCs/>
                <w:szCs w:val="22"/>
              </w:rPr>
              <w:t xml:space="preserve">Variation to existing </w:t>
            </w:r>
            <w:r w:rsidR="00216914" w:rsidRPr="00DF3B6F">
              <w:rPr>
                <w:b/>
                <w:bCs/>
                <w:szCs w:val="22"/>
              </w:rPr>
              <w:t xml:space="preserve">Agreements for identified </w:t>
            </w:r>
            <w:r w:rsidR="00545100">
              <w:rPr>
                <w:b/>
                <w:bCs/>
                <w:szCs w:val="22"/>
              </w:rPr>
              <w:t>S</w:t>
            </w:r>
            <w:r w:rsidR="00216914" w:rsidRPr="00DF3B6F">
              <w:rPr>
                <w:b/>
                <w:bCs/>
                <w:szCs w:val="22"/>
              </w:rPr>
              <w:t xml:space="preserve">ervice </w:t>
            </w:r>
            <w:r w:rsidR="00545100">
              <w:rPr>
                <w:b/>
                <w:bCs/>
                <w:szCs w:val="22"/>
              </w:rPr>
              <w:t>P</w:t>
            </w:r>
            <w:r w:rsidR="00216914" w:rsidRPr="00DF3B6F">
              <w:rPr>
                <w:b/>
                <w:bCs/>
                <w:szCs w:val="22"/>
              </w:rPr>
              <w:t>rograms</w:t>
            </w:r>
          </w:p>
        </w:tc>
        <w:tc>
          <w:tcPr>
            <w:tcW w:w="2741" w:type="pct"/>
          </w:tcPr>
          <w:p w14:paraId="1AC3AB9E" w14:textId="78FD87BE" w:rsidR="00F47020" w:rsidRPr="00DF3B6F" w:rsidRDefault="00F47020" w:rsidP="00BE1B8A">
            <w:pPr>
              <w:spacing w:before="120" w:after="0" w:line="240" w:lineRule="auto"/>
              <w:jc w:val="center"/>
              <w:rPr>
                <w:b/>
                <w:bCs/>
                <w:szCs w:val="22"/>
              </w:rPr>
            </w:pPr>
            <w:r w:rsidRPr="00DF3B6F">
              <w:rPr>
                <w:b/>
                <w:bCs/>
                <w:szCs w:val="22"/>
              </w:rPr>
              <w:t>Number of Organisations</w:t>
            </w:r>
          </w:p>
          <w:p w14:paraId="5F9B8BF0" w14:textId="77777777" w:rsidR="00F47020" w:rsidRPr="00DF3B6F" w:rsidRDefault="00F47020" w:rsidP="00BE1B8A">
            <w:pPr>
              <w:spacing w:before="120" w:after="0" w:line="240" w:lineRule="auto"/>
              <w:jc w:val="center"/>
              <w:rPr>
                <w:b/>
                <w:bCs/>
                <w:szCs w:val="22"/>
              </w:rPr>
            </w:pPr>
            <w:r w:rsidRPr="00DF3B6F">
              <w:rPr>
                <w:b/>
                <w:bCs/>
                <w:szCs w:val="22"/>
              </w:rPr>
              <w:t>(Subject to change)</w:t>
            </w:r>
          </w:p>
        </w:tc>
      </w:tr>
      <w:tr w:rsidR="00F47020" w14:paraId="55E806B9" w14:textId="77777777" w:rsidTr="004A388F">
        <w:tc>
          <w:tcPr>
            <w:tcW w:w="2259" w:type="pct"/>
          </w:tcPr>
          <w:p w14:paraId="22A9EEC1" w14:textId="30245C2B" w:rsidR="00F47020" w:rsidRPr="00DF3B6F" w:rsidRDefault="00F47020" w:rsidP="00BE1B8A">
            <w:pPr>
              <w:spacing w:before="120" w:after="0" w:line="240" w:lineRule="auto"/>
              <w:rPr>
                <w:szCs w:val="22"/>
              </w:rPr>
            </w:pPr>
            <w:r w:rsidRPr="00DF3B6F">
              <w:rPr>
                <w:szCs w:val="22"/>
              </w:rPr>
              <w:t>Clients with High and Complex Needs</w:t>
            </w:r>
            <w:r w:rsidR="00013E34">
              <w:rPr>
                <w:szCs w:val="22"/>
              </w:rPr>
              <w:t xml:space="preserve"> and </w:t>
            </w:r>
            <w:proofErr w:type="spellStart"/>
            <w:r w:rsidR="00013E34">
              <w:rPr>
                <w:szCs w:val="22"/>
              </w:rPr>
              <w:t>OneLink</w:t>
            </w:r>
            <w:proofErr w:type="spellEnd"/>
          </w:p>
          <w:p w14:paraId="56BCEC25" w14:textId="291F65EA" w:rsidR="00F47020" w:rsidRPr="00DF3B6F" w:rsidRDefault="00F47020" w:rsidP="00BE1B8A">
            <w:pPr>
              <w:spacing w:before="120" w:after="0" w:line="240" w:lineRule="auto"/>
              <w:rPr>
                <w:szCs w:val="22"/>
              </w:rPr>
            </w:pPr>
            <w:r w:rsidRPr="00DF3B6F">
              <w:rPr>
                <w:szCs w:val="22"/>
              </w:rPr>
              <w:t>Engagement approach to be determined.</w:t>
            </w:r>
          </w:p>
        </w:tc>
        <w:tc>
          <w:tcPr>
            <w:tcW w:w="2741" w:type="pct"/>
          </w:tcPr>
          <w:p w14:paraId="28BC2BC6" w14:textId="5F1B261E" w:rsidR="00F47020" w:rsidRPr="00DF3B6F" w:rsidRDefault="002754B6" w:rsidP="00BE1B8A">
            <w:pPr>
              <w:spacing w:before="120" w:after="0" w:line="240" w:lineRule="auto"/>
              <w:jc w:val="center"/>
              <w:rPr>
                <w:szCs w:val="22"/>
              </w:rPr>
            </w:pPr>
            <w:r>
              <w:rPr>
                <w:szCs w:val="22"/>
              </w:rPr>
              <w:t>##</w:t>
            </w:r>
          </w:p>
        </w:tc>
      </w:tr>
      <w:tr w:rsidR="00F47020" w14:paraId="40453A24" w14:textId="77777777" w:rsidTr="004A388F">
        <w:tc>
          <w:tcPr>
            <w:tcW w:w="2259" w:type="pct"/>
          </w:tcPr>
          <w:p w14:paraId="4156BF19" w14:textId="3FF79F03" w:rsidR="00F47020" w:rsidRPr="00DF3B6F" w:rsidRDefault="00F47020" w:rsidP="00BE1B8A">
            <w:pPr>
              <w:spacing w:before="120" w:after="0" w:line="240" w:lineRule="auto"/>
              <w:rPr>
                <w:szCs w:val="22"/>
              </w:rPr>
            </w:pPr>
            <w:r w:rsidRPr="00DF3B6F">
              <w:rPr>
                <w:szCs w:val="22"/>
              </w:rPr>
              <w:t>Generalist Support Services. Extension of contracts for 12 months to align with CSD commissioning.</w:t>
            </w:r>
          </w:p>
        </w:tc>
        <w:tc>
          <w:tcPr>
            <w:tcW w:w="2741" w:type="pct"/>
          </w:tcPr>
          <w:p w14:paraId="37EDFE65" w14:textId="25BC2444" w:rsidR="00F47020" w:rsidRPr="00DF3B6F" w:rsidRDefault="002754B6" w:rsidP="00BE1B8A">
            <w:pPr>
              <w:spacing w:before="120" w:after="0" w:line="240" w:lineRule="auto"/>
              <w:jc w:val="center"/>
              <w:rPr>
                <w:szCs w:val="22"/>
              </w:rPr>
            </w:pPr>
            <w:r>
              <w:rPr>
                <w:szCs w:val="22"/>
              </w:rPr>
              <w:t>##</w:t>
            </w:r>
          </w:p>
        </w:tc>
      </w:tr>
      <w:tr w:rsidR="00F47020" w14:paraId="0FBFF335" w14:textId="77777777" w:rsidTr="004A388F">
        <w:tc>
          <w:tcPr>
            <w:tcW w:w="2259" w:type="pct"/>
          </w:tcPr>
          <w:p w14:paraId="22915D11" w14:textId="77777777" w:rsidR="00F47020" w:rsidRPr="00DF3B6F" w:rsidRDefault="00F47020" w:rsidP="00BE1B8A">
            <w:pPr>
              <w:spacing w:before="120" w:after="0" w:line="240" w:lineRule="auto"/>
              <w:rPr>
                <w:b/>
                <w:bCs/>
                <w:szCs w:val="22"/>
              </w:rPr>
            </w:pPr>
            <w:r w:rsidRPr="00DF3B6F">
              <w:rPr>
                <w:b/>
                <w:bCs/>
                <w:szCs w:val="22"/>
              </w:rPr>
              <w:lastRenderedPageBreak/>
              <w:t>Total</w:t>
            </w:r>
          </w:p>
        </w:tc>
        <w:tc>
          <w:tcPr>
            <w:tcW w:w="2741" w:type="pct"/>
          </w:tcPr>
          <w:p w14:paraId="3DAC22CD" w14:textId="01CDE5E2" w:rsidR="00F47020" w:rsidRPr="00DF3B6F" w:rsidRDefault="002754B6" w:rsidP="00BE1B8A">
            <w:pPr>
              <w:spacing w:before="120" w:after="0" w:line="240" w:lineRule="auto"/>
              <w:jc w:val="center"/>
              <w:rPr>
                <w:b/>
                <w:bCs/>
                <w:szCs w:val="22"/>
              </w:rPr>
            </w:pPr>
            <w:r>
              <w:rPr>
                <w:b/>
                <w:bCs/>
                <w:szCs w:val="22"/>
              </w:rPr>
              <w:t>##</w:t>
            </w:r>
          </w:p>
        </w:tc>
      </w:tr>
    </w:tbl>
    <w:p w14:paraId="2C90911F" w14:textId="235B8BF8" w:rsidR="008B5D97" w:rsidRPr="00DF3B6F" w:rsidRDefault="008B5D97" w:rsidP="00693685">
      <w:pPr>
        <w:pStyle w:val="ListParagraph"/>
        <w:numPr>
          <w:ilvl w:val="0"/>
          <w:numId w:val="30"/>
        </w:numPr>
        <w:spacing w:before="120" w:after="0" w:line="240" w:lineRule="auto"/>
        <w:ind w:hanging="720"/>
        <w:contextualSpacing w:val="0"/>
        <w:rPr>
          <w:szCs w:val="22"/>
        </w:rPr>
      </w:pPr>
      <w:r w:rsidRPr="00DF3B6F">
        <w:rPr>
          <w:szCs w:val="22"/>
        </w:rPr>
        <w:t xml:space="preserve">Individual organisations will be advised of the proposed engagement methodology </w:t>
      </w:r>
      <w:r w:rsidR="003942B4">
        <w:rPr>
          <w:szCs w:val="22"/>
        </w:rPr>
        <w:t>for</w:t>
      </w:r>
      <w:r w:rsidRPr="00DF3B6F">
        <w:rPr>
          <w:szCs w:val="22"/>
        </w:rPr>
        <w:t xml:space="preserve"> the</w:t>
      </w:r>
      <w:r w:rsidR="00545100">
        <w:rPr>
          <w:szCs w:val="22"/>
        </w:rPr>
        <w:t>ir</w:t>
      </w:r>
      <w:r w:rsidRPr="00DF3B6F">
        <w:rPr>
          <w:szCs w:val="22"/>
        </w:rPr>
        <w:t xml:space="preserve"> existing </w:t>
      </w:r>
      <w:r w:rsidR="00216914" w:rsidRPr="00DF3B6F">
        <w:rPr>
          <w:szCs w:val="22"/>
        </w:rPr>
        <w:t xml:space="preserve">service </w:t>
      </w:r>
      <w:r w:rsidRPr="00DF3B6F">
        <w:rPr>
          <w:szCs w:val="22"/>
        </w:rPr>
        <w:t>program</w:t>
      </w:r>
      <w:r w:rsidR="00216914" w:rsidRPr="00DF3B6F">
        <w:rPr>
          <w:szCs w:val="22"/>
        </w:rPr>
        <w:t>/</w:t>
      </w:r>
      <w:r w:rsidRPr="00DF3B6F">
        <w:rPr>
          <w:szCs w:val="22"/>
        </w:rPr>
        <w:t>s</w:t>
      </w:r>
      <w:r w:rsidR="00693685" w:rsidRPr="00DF3B6F">
        <w:rPr>
          <w:szCs w:val="22"/>
        </w:rPr>
        <w:t xml:space="preserve"> through market sounding papers and direct correspondence</w:t>
      </w:r>
      <w:r w:rsidRPr="00DF3B6F">
        <w:rPr>
          <w:szCs w:val="22"/>
        </w:rPr>
        <w:t>.</w:t>
      </w:r>
    </w:p>
    <w:p w14:paraId="3CB29E72" w14:textId="7F537B27" w:rsidR="000E6B4A" w:rsidRPr="00DF3B6F" w:rsidRDefault="000E6B4A" w:rsidP="00693685">
      <w:pPr>
        <w:pStyle w:val="ListParagraph"/>
        <w:numPr>
          <w:ilvl w:val="0"/>
          <w:numId w:val="30"/>
        </w:numPr>
        <w:spacing w:before="120" w:after="0" w:line="240" w:lineRule="auto"/>
        <w:ind w:hanging="720"/>
        <w:contextualSpacing w:val="0"/>
        <w:rPr>
          <w:szCs w:val="22"/>
        </w:rPr>
      </w:pPr>
      <w:r w:rsidRPr="00DF3B6F">
        <w:rPr>
          <w:szCs w:val="22"/>
        </w:rPr>
        <w:t xml:space="preserve">The select and open grant/tender engagement methodologies will enable the option for the Territory to choose one or more organisations for </w:t>
      </w:r>
      <w:r w:rsidR="00216914" w:rsidRPr="00DF3B6F">
        <w:rPr>
          <w:szCs w:val="22"/>
        </w:rPr>
        <w:t>a service</w:t>
      </w:r>
      <w:r w:rsidRPr="00DF3B6F">
        <w:rPr>
          <w:szCs w:val="22"/>
        </w:rPr>
        <w:t xml:space="preserve"> program. </w:t>
      </w:r>
    </w:p>
    <w:p w14:paraId="3CDEEED4" w14:textId="51A281C4" w:rsidR="00FE5BE0" w:rsidRPr="00DF3B6F" w:rsidRDefault="00FE5BE0" w:rsidP="00693685">
      <w:pPr>
        <w:pStyle w:val="ListParagraph"/>
        <w:numPr>
          <w:ilvl w:val="0"/>
          <w:numId w:val="30"/>
        </w:numPr>
        <w:spacing w:before="120" w:after="0" w:line="240" w:lineRule="auto"/>
        <w:ind w:hanging="720"/>
        <w:contextualSpacing w:val="0"/>
        <w:rPr>
          <w:szCs w:val="22"/>
        </w:rPr>
      </w:pPr>
      <w:r w:rsidRPr="00DF3B6F">
        <w:rPr>
          <w:szCs w:val="22"/>
        </w:rPr>
        <w:t>In considering a direct, select or an open methodology the following factors were considered as a guide:</w:t>
      </w:r>
    </w:p>
    <w:p w14:paraId="0A248023" w14:textId="355487FF" w:rsidR="000E6B4A" w:rsidRPr="002754B6" w:rsidRDefault="000E6B4A" w:rsidP="00693685">
      <w:pPr>
        <w:pStyle w:val="ListParagraph"/>
        <w:numPr>
          <w:ilvl w:val="0"/>
          <w:numId w:val="27"/>
        </w:numPr>
        <w:spacing w:before="120" w:after="0" w:line="240" w:lineRule="auto"/>
        <w:ind w:left="1134" w:hanging="425"/>
        <w:contextualSpacing w:val="0"/>
        <w:rPr>
          <w:szCs w:val="22"/>
          <w:highlight w:val="yellow"/>
        </w:rPr>
      </w:pPr>
      <w:r w:rsidRPr="002754B6">
        <w:rPr>
          <w:szCs w:val="22"/>
          <w:highlight w:val="yellow"/>
        </w:rPr>
        <w:t>how best we can meet the needs of clients;</w:t>
      </w:r>
    </w:p>
    <w:p w14:paraId="06F20DD8" w14:textId="45F74685" w:rsidR="000E6B4A" w:rsidRPr="002754B6" w:rsidRDefault="000E6B4A" w:rsidP="00693685">
      <w:pPr>
        <w:pStyle w:val="ListParagraph"/>
        <w:numPr>
          <w:ilvl w:val="0"/>
          <w:numId w:val="27"/>
        </w:numPr>
        <w:spacing w:before="120" w:after="0" w:line="240" w:lineRule="auto"/>
        <w:ind w:left="1134" w:hanging="425"/>
        <w:contextualSpacing w:val="0"/>
        <w:rPr>
          <w:szCs w:val="22"/>
          <w:highlight w:val="yellow"/>
        </w:rPr>
      </w:pPr>
      <w:r w:rsidRPr="002754B6">
        <w:rPr>
          <w:szCs w:val="22"/>
          <w:highlight w:val="yellow"/>
        </w:rPr>
        <w:t>the impact on clients of potential interruption to service provision;</w:t>
      </w:r>
    </w:p>
    <w:p w14:paraId="4F7D16CD" w14:textId="77777777" w:rsidR="00FE5BE0" w:rsidRPr="002754B6" w:rsidRDefault="00FE5BE0" w:rsidP="00693685">
      <w:pPr>
        <w:pStyle w:val="ListParagraph"/>
        <w:numPr>
          <w:ilvl w:val="0"/>
          <w:numId w:val="27"/>
        </w:numPr>
        <w:spacing w:before="120" w:after="0" w:line="240" w:lineRule="auto"/>
        <w:ind w:left="1134" w:hanging="425"/>
        <w:contextualSpacing w:val="0"/>
        <w:rPr>
          <w:szCs w:val="22"/>
          <w:highlight w:val="yellow"/>
        </w:rPr>
      </w:pPr>
      <w:r w:rsidRPr="002754B6">
        <w:rPr>
          <w:szCs w:val="22"/>
          <w:highlight w:val="yellow"/>
        </w:rPr>
        <w:t>the size of the organisations and the type of services they provide;</w:t>
      </w:r>
    </w:p>
    <w:p w14:paraId="0CE0A3DF" w14:textId="6CF6630D" w:rsidR="00FE5BE0" w:rsidRPr="002754B6" w:rsidRDefault="00FE5BE0" w:rsidP="00693685">
      <w:pPr>
        <w:pStyle w:val="ListParagraph"/>
        <w:numPr>
          <w:ilvl w:val="0"/>
          <w:numId w:val="27"/>
        </w:numPr>
        <w:spacing w:before="120" w:after="0" w:line="240" w:lineRule="auto"/>
        <w:ind w:left="1134" w:hanging="425"/>
        <w:contextualSpacing w:val="0"/>
        <w:rPr>
          <w:szCs w:val="22"/>
          <w:highlight w:val="yellow"/>
        </w:rPr>
      </w:pPr>
      <w:r w:rsidRPr="002754B6">
        <w:rPr>
          <w:szCs w:val="22"/>
          <w:highlight w:val="yellow"/>
        </w:rPr>
        <w:t xml:space="preserve">the number of </w:t>
      </w:r>
      <w:r w:rsidR="00216914" w:rsidRPr="002754B6">
        <w:rPr>
          <w:szCs w:val="22"/>
          <w:highlight w:val="yellow"/>
        </w:rPr>
        <w:t xml:space="preserve">service </w:t>
      </w:r>
      <w:r w:rsidRPr="002754B6">
        <w:rPr>
          <w:szCs w:val="22"/>
          <w:highlight w:val="yellow"/>
        </w:rPr>
        <w:t xml:space="preserve">programs they deliver and whether the </w:t>
      </w:r>
      <w:r w:rsidR="00686BB4" w:rsidRPr="002754B6">
        <w:rPr>
          <w:szCs w:val="22"/>
          <w:highlight w:val="yellow"/>
        </w:rPr>
        <w:t>homelessness service</w:t>
      </w:r>
      <w:r w:rsidR="00216914" w:rsidRPr="002754B6">
        <w:rPr>
          <w:szCs w:val="22"/>
          <w:highlight w:val="yellow"/>
        </w:rPr>
        <w:t xml:space="preserve"> </w:t>
      </w:r>
      <w:r w:rsidR="00545100" w:rsidRPr="002754B6">
        <w:rPr>
          <w:szCs w:val="22"/>
          <w:highlight w:val="yellow"/>
        </w:rPr>
        <w:t xml:space="preserve">program </w:t>
      </w:r>
      <w:r w:rsidR="00216914" w:rsidRPr="002754B6">
        <w:rPr>
          <w:szCs w:val="22"/>
          <w:highlight w:val="yellow"/>
        </w:rPr>
        <w:t>i</w:t>
      </w:r>
      <w:r w:rsidRPr="002754B6">
        <w:rPr>
          <w:szCs w:val="22"/>
          <w:highlight w:val="yellow"/>
        </w:rPr>
        <w:t xml:space="preserve">s their primary </w:t>
      </w:r>
      <w:r w:rsidR="00216914" w:rsidRPr="002754B6">
        <w:rPr>
          <w:szCs w:val="22"/>
          <w:highlight w:val="yellow"/>
        </w:rPr>
        <w:t>service</w:t>
      </w:r>
      <w:r w:rsidRPr="002754B6">
        <w:rPr>
          <w:szCs w:val="22"/>
          <w:highlight w:val="yellow"/>
        </w:rPr>
        <w:t>;</w:t>
      </w:r>
    </w:p>
    <w:p w14:paraId="20FB5CFC" w14:textId="077EE6B5" w:rsidR="00FE5BE0" w:rsidRPr="002754B6" w:rsidRDefault="00FE5BE0" w:rsidP="00693685">
      <w:pPr>
        <w:pStyle w:val="ListParagraph"/>
        <w:numPr>
          <w:ilvl w:val="0"/>
          <w:numId w:val="27"/>
        </w:numPr>
        <w:spacing w:before="120" w:after="0" w:line="240" w:lineRule="auto"/>
        <w:ind w:left="1134" w:hanging="425"/>
        <w:contextualSpacing w:val="0"/>
        <w:rPr>
          <w:szCs w:val="22"/>
          <w:highlight w:val="yellow"/>
        </w:rPr>
      </w:pPr>
      <w:r w:rsidRPr="002754B6">
        <w:rPr>
          <w:szCs w:val="22"/>
          <w:highlight w:val="yellow"/>
        </w:rPr>
        <w:t xml:space="preserve">whether the </w:t>
      </w:r>
      <w:r w:rsidR="00216914" w:rsidRPr="002754B6">
        <w:rPr>
          <w:szCs w:val="22"/>
          <w:highlight w:val="yellow"/>
        </w:rPr>
        <w:t xml:space="preserve">service </w:t>
      </w:r>
      <w:r w:rsidRPr="002754B6">
        <w:rPr>
          <w:szCs w:val="22"/>
          <w:highlight w:val="yellow"/>
        </w:rPr>
        <w:t xml:space="preserve">program is being run from properties owned by the Organisation; </w:t>
      </w:r>
    </w:p>
    <w:p w14:paraId="160C5216" w14:textId="77777777" w:rsidR="00FE5BE0" w:rsidRPr="002754B6" w:rsidRDefault="00FE5BE0" w:rsidP="00693685">
      <w:pPr>
        <w:pStyle w:val="ListParagraph"/>
        <w:numPr>
          <w:ilvl w:val="0"/>
          <w:numId w:val="27"/>
        </w:numPr>
        <w:spacing w:before="120" w:after="0" w:line="240" w:lineRule="auto"/>
        <w:ind w:left="1134" w:hanging="425"/>
        <w:contextualSpacing w:val="0"/>
        <w:rPr>
          <w:szCs w:val="22"/>
          <w:highlight w:val="yellow"/>
        </w:rPr>
      </w:pPr>
      <w:r w:rsidRPr="002754B6">
        <w:rPr>
          <w:szCs w:val="22"/>
          <w:highlight w:val="yellow"/>
        </w:rPr>
        <w:t>value of the funding; and</w:t>
      </w:r>
    </w:p>
    <w:p w14:paraId="71B5E351" w14:textId="271A415B" w:rsidR="00FE5BE0" w:rsidRPr="002754B6" w:rsidRDefault="00FE5BE0" w:rsidP="00693685">
      <w:pPr>
        <w:pStyle w:val="ListParagraph"/>
        <w:numPr>
          <w:ilvl w:val="0"/>
          <w:numId w:val="27"/>
        </w:numPr>
        <w:spacing w:before="120" w:after="0" w:line="240" w:lineRule="auto"/>
        <w:ind w:left="1134" w:hanging="425"/>
        <w:contextualSpacing w:val="0"/>
        <w:rPr>
          <w:szCs w:val="22"/>
          <w:highlight w:val="yellow"/>
        </w:rPr>
      </w:pPr>
      <w:r w:rsidRPr="002754B6">
        <w:rPr>
          <w:szCs w:val="22"/>
          <w:highlight w:val="yellow"/>
        </w:rPr>
        <w:t>political risks.</w:t>
      </w:r>
    </w:p>
    <w:p w14:paraId="3E950B99" w14:textId="116B675D" w:rsidR="00E51989" w:rsidRPr="00DF3B6F" w:rsidRDefault="00E51989" w:rsidP="00693685">
      <w:pPr>
        <w:pStyle w:val="ListParagraph"/>
        <w:numPr>
          <w:ilvl w:val="0"/>
          <w:numId w:val="30"/>
        </w:numPr>
        <w:spacing w:before="120" w:after="0" w:line="240" w:lineRule="auto"/>
        <w:ind w:hanging="720"/>
        <w:contextualSpacing w:val="0"/>
        <w:rPr>
          <w:szCs w:val="22"/>
        </w:rPr>
      </w:pPr>
      <w:r w:rsidRPr="00DF3B6F">
        <w:rPr>
          <w:szCs w:val="22"/>
        </w:rPr>
        <w:t xml:space="preserve">The following table </w:t>
      </w:r>
      <w:r w:rsidR="008B5D97" w:rsidRPr="00DF3B6F">
        <w:rPr>
          <w:szCs w:val="22"/>
        </w:rPr>
        <w:t>details the considerations identified in investment planning.</w:t>
      </w:r>
    </w:p>
    <w:p w14:paraId="606906FE" w14:textId="77777777" w:rsidR="00385761" w:rsidRDefault="00385761" w:rsidP="00BE1B8A">
      <w:pPr>
        <w:spacing w:before="120" w:after="0" w:line="240" w:lineRule="auto"/>
      </w:pPr>
    </w:p>
    <w:tbl>
      <w:tblPr>
        <w:tblStyle w:val="TableGrid"/>
        <w:tblW w:w="5000" w:type="pct"/>
        <w:tblLook w:val="04A0" w:firstRow="1" w:lastRow="0" w:firstColumn="1" w:lastColumn="0" w:noHBand="0" w:noVBand="1"/>
      </w:tblPr>
      <w:tblGrid>
        <w:gridCol w:w="3240"/>
        <w:gridCol w:w="2046"/>
        <w:gridCol w:w="2046"/>
        <w:gridCol w:w="2297"/>
      </w:tblGrid>
      <w:tr w:rsidR="008B5D97" w:rsidRPr="00DF3B6F" w14:paraId="2F6250EF" w14:textId="77777777" w:rsidTr="004A388F">
        <w:tc>
          <w:tcPr>
            <w:tcW w:w="1682" w:type="pct"/>
          </w:tcPr>
          <w:p w14:paraId="2E6CC100" w14:textId="77777777" w:rsidR="008B5D97" w:rsidRPr="006A2AC5" w:rsidRDefault="008B5D97" w:rsidP="00BE1B8A">
            <w:pPr>
              <w:spacing w:before="120" w:after="0" w:line="240" w:lineRule="auto"/>
              <w:jc w:val="center"/>
              <w:rPr>
                <w:b/>
                <w:bCs/>
                <w:szCs w:val="22"/>
                <w:highlight w:val="yellow"/>
              </w:rPr>
            </w:pPr>
            <w:r w:rsidRPr="006A2AC5">
              <w:rPr>
                <w:b/>
                <w:bCs/>
                <w:szCs w:val="22"/>
                <w:highlight w:val="yellow"/>
              </w:rPr>
              <w:t>Considerations</w:t>
            </w:r>
          </w:p>
          <w:p w14:paraId="714EDDE9" w14:textId="218B8C30" w:rsidR="002754B6" w:rsidRPr="006A2AC5" w:rsidRDefault="002754B6" w:rsidP="00BE1B8A">
            <w:pPr>
              <w:spacing w:before="120" w:after="0" w:line="240" w:lineRule="auto"/>
              <w:jc w:val="center"/>
              <w:rPr>
                <w:b/>
                <w:bCs/>
                <w:i/>
                <w:iCs/>
                <w:szCs w:val="22"/>
                <w:highlight w:val="yellow"/>
              </w:rPr>
            </w:pPr>
            <w:r w:rsidRPr="006A2AC5">
              <w:rPr>
                <w:b/>
                <w:bCs/>
                <w:i/>
                <w:iCs/>
                <w:szCs w:val="22"/>
                <w:highlight w:val="yellow"/>
              </w:rPr>
              <w:t>Examples</w:t>
            </w:r>
          </w:p>
        </w:tc>
        <w:tc>
          <w:tcPr>
            <w:tcW w:w="1062" w:type="pct"/>
          </w:tcPr>
          <w:p w14:paraId="79A43125" w14:textId="77777777" w:rsidR="008B5D97" w:rsidRPr="006A2AC5" w:rsidRDefault="008B5D97" w:rsidP="00BE1B8A">
            <w:pPr>
              <w:spacing w:before="120" w:after="0" w:line="240" w:lineRule="auto"/>
              <w:jc w:val="center"/>
              <w:rPr>
                <w:b/>
                <w:bCs/>
                <w:szCs w:val="22"/>
                <w:highlight w:val="yellow"/>
              </w:rPr>
            </w:pPr>
            <w:r w:rsidRPr="006A2AC5">
              <w:rPr>
                <w:b/>
                <w:bCs/>
                <w:szCs w:val="22"/>
                <w:highlight w:val="yellow"/>
              </w:rPr>
              <w:t>Direct Sourcing – Grants</w:t>
            </w:r>
          </w:p>
          <w:p w14:paraId="2AFE623C" w14:textId="73A534AB" w:rsidR="008B5D97" w:rsidRPr="006A2AC5" w:rsidRDefault="008B5D97" w:rsidP="00BE1B8A">
            <w:pPr>
              <w:spacing w:before="120" w:after="0" w:line="240" w:lineRule="auto"/>
              <w:jc w:val="center"/>
              <w:rPr>
                <w:b/>
                <w:bCs/>
                <w:szCs w:val="22"/>
                <w:highlight w:val="yellow"/>
              </w:rPr>
            </w:pPr>
            <w:r w:rsidRPr="006A2AC5">
              <w:rPr>
                <w:szCs w:val="22"/>
                <w:highlight w:val="yellow"/>
              </w:rPr>
              <w:t xml:space="preserve">Direct to an existing service provider for specific </w:t>
            </w:r>
            <w:r w:rsidR="00216914" w:rsidRPr="006A2AC5">
              <w:rPr>
                <w:szCs w:val="22"/>
                <w:highlight w:val="yellow"/>
              </w:rPr>
              <w:t xml:space="preserve">service </w:t>
            </w:r>
            <w:r w:rsidRPr="006A2AC5">
              <w:rPr>
                <w:szCs w:val="22"/>
                <w:highlight w:val="yellow"/>
              </w:rPr>
              <w:t>programs</w:t>
            </w:r>
          </w:p>
        </w:tc>
        <w:tc>
          <w:tcPr>
            <w:tcW w:w="1062" w:type="pct"/>
          </w:tcPr>
          <w:p w14:paraId="7C0B7322" w14:textId="77777777" w:rsidR="008B5D97" w:rsidRPr="006A2AC5" w:rsidRDefault="008B5D97" w:rsidP="00BE1B8A">
            <w:pPr>
              <w:spacing w:before="120" w:after="0" w:line="240" w:lineRule="auto"/>
              <w:jc w:val="center"/>
              <w:rPr>
                <w:b/>
                <w:bCs/>
                <w:szCs w:val="22"/>
                <w:highlight w:val="yellow"/>
              </w:rPr>
            </w:pPr>
            <w:r w:rsidRPr="006A2AC5">
              <w:rPr>
                <w:b/>
                <w:bCs/>
                <w:szCs w:val="22"/>
                <w:highlight w:val="yellow"/>
              </w:rPr>
              <w:t>Select Process – Grants</w:t>
            </w:r>
          </w:p>
          <w:p w14:paraId="5E4CC94C" w14:textId="33450E18" w:rsidR="008B5D97" w:rsidRPr="006A2AC5" w:rsidRDefault="008B5D97" w:rsidP="00BE1B8A">
            <w:pPr>
              <w:spacing w:before="120" w:after="0" w:line="240" w:lineRule="auto"/>
              <w:jc w:val="center"/>
              <w:rPr>
                <w:b/>
                <w:bCs/>
                <w:szCs w:val="22"/>
                <w:highlight w:val="yellow"/>
              </w:rPr>
            </w:pPr>
            <w:r w:rsidRPr="006A2AC5">
              <w:rPr>
                <w:szCs w:val="22"/>
                <w:highlight w:val="yellow"/>
              </w:rPr>
              <w:t xml:space="preserve">To multiple service providers (existing or new) for specific </w:t>
            </w:r>
            <w:r w:rsidR="00216914" w:rsidRPr="006A2AC5">
              <w:rPr>
                <w:szCs w:val="22"/>
                <w:highlight w:val="yellow"/>
              </w:rPr>
              <w:t xml:space="preserve">service </w:t>
            </w:r>
            <w:r w:rsidRPr="006A2AC5">
              <w:rPr>
                <w:szCs w:val="22"/>
                <w:highlight w:val="yellow"/>
              </w:rPr>
              <w:t>programs</w:t>
            </w:r>
          </w:p>
        </w:tc>
        <w:tc>
          <w:tcPr>
            <w:tcW w:w="1193" w:type="pct"/>
          </w:tcPr>
          <w:p w14:paraId="42D362D1" w14:textId="77777777" w:rsidR="008B5D97" w:rsidRPr="006A2AC5" w:rsidRDefault="008B5D97" w:rsidP="00BE1B8A">
            <w:pPr>
              <w:spacing w:before="120" w:after="0" w:line="240" w:lineRule="auto"/>
              <w:jc w:val="center"/>
              <w:rPr>
                <w:b/>
                <w:bCs/>
                <w:szCs w:val="22"/>
                <w:highlight w:val="yellow"/>
              </w:rPr>
            </w:pPr>
            <w:r w:rsidRPr="006A2AC5">
              <w:rPr>
                <w:b/>
                <w:bCs/>
                <w:szCs w:val="22"/>
                <w:highlight w:val="yellow"/>
              </w:rPr>
              <w:t>Open Grant/Tender</w:t>
            </w:r>
          </w:p>
          <w:p w14:paraId="4282CF95" w14:textId="77777777" w:rsidR="008B5D97" w:rsidRPr="006A2AC5" w:rsidRDefault="008B5D97" w:rsidP="00BE1B8A">
            <w:pPr>
              <w:spacing w:before="120" w:after="0" w:line="240" w:lineRule="auto"/>
              <w:jc w:val="center"/>
              <w:rPr>
                <w:b/>
                <w:bCs/>
                <w:szCs w:val="22"/>
                <w:highlight w:val="yellow"/>
              </w:rPr>
            </w:pPr>
            <w:r w:rsidRPr="006A2AC5">
              <w:rPr>
                <w:szCs w:val="22"/>
                <w:highlight w:val="yellow"/>
              </w:rPr>
              <w:t xml:space="preserve">Publicly released through TendersACT and </w:t>
            </w:r>
            <w:proofErr w:type="spellStart"/>
            <w:r w:rsidRPr="006A2AC5">
              <w:rPr>
                <w:szCs w:val="22"/>
                <w:highlight w:val="yellow"/>
              </w:rPr>
              <w:t>SmartyGrants</w:t>
            </w:r>
            <w:proofErr w:type="spellEnd"/>
            <w:r w:rsidRPr="006A2AC5">
              <w:rPr>
                <w:szCs w:val="22"/>
                <w:highlight w:val="yellow"/>
              </w:rPr>
              <w:t xml:space="preserve"> portal.</w:t>
            </w:r>
          </w:p>
        </w:tc>
      </w:tr>
      <w:tr w:rsidR="008B5D97" w:rsidRPr="00DF3B6F" w14:paraId="58B75F69" w14:textId="77777777" w:rsidTr="004A388F">
        <w:tc>
          <w:tcPr>
            <w:tcW w:w="1682" w:type="pct"/>
          </w:tcPr>
          <w:p w14:paraId="69C7B770" w14:textId="6D16751A" w:rsidR="008B5D97" w:rsidRPr="00DF3B6F" w:rsidRDefault="008B5D97" w:rsidP="00BE1B8A">
            <w:pPr>
              <w:spacing w:before="120" w:after="0" w:line="240" w:lineRule="auto"/>
              <w:rPr>
                <w:b/>
                <w:bCs/>
                <w:szCs w:val="22"/>
              </w:rPr>
            </w:pPr>
            <w:r w:rsidRPr="00DF3B6F">
              <w:rPr>
                <w:szCs w:val="22"/>
              </w:rPr>
              <w:t xml:space="preserve">Consideration of existing </w:t>
            </w:r>
            <w:r w:rsidR="00216914" w:rsidRPr="00DF3B6F">
              <w:rPr>
                <w:szCs w:val="22"/>
              </w:rPr>
              <w:t xml:space="preserve">service </w:t>
            </w:r>
            <w:r w:rsidRPr="00DF3B6F">
              <w:rPr>
                <w:szCs w:val="22"/>
              </w:rPr>
              <w:t xml:space="preserve">program </w:t>
            </w:r>
          </w:p>
        </w:tc>
        <w:tc>
          <w:tcPr>
            <w:tcW w:w="1062" w:type="pct"/>
          </w:tcPr>
          <w:p w14:paraId="2DD542FE"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062" w:type="pct"/>
          </w:tcPr>
          <w:p w14:paraId="6977D50D"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193" w:type="pct"/>
          </w:tcPr>
          <w:p w14:paraId="55B9EC9E" w14:textId="6A05A475" w:rsidR="008B5D97" w:rsidRPr="00DF3B6F" w:rsidRDefault="008B5D97" w:rsidP="00BE1B8A">
            <w:pPr>
              <w:spacing w:before="120" w:after="0" w:line="240" w:lineRule="auto"/>
              <w:jc w:val="center"/>
              <w:rPr>
                <w:b/>
                <w:bCs/>
                <w:szCs w:val="22"/>
              </w:rPr>
            </w:pPr>
            <w:r w:rsidRPr="00DF3B6F">
              <w:rPr>
                <w:b/>
                <w:bCs/>
                <w:szCs w:val="22"/>
              </w:rPr>
              <w:sym w:font="Wingdings 2" w:char="F050"/>
            </w:r>
          </w:p>
        </w:tc>
      </w:tr>
      <w:tr w:rsidR="008B5D97" w:rsidRPr="00DF3B6F" w14:paraId="0D856348" w14:textId="77777777" w:rsidTr="004A388F">
        <w:tc>
          <w:tcPr>
            <w:tcW w:w="1682" w:type="pct"/>
          </w:tcPr>
          <w:p w14:paraId="0DD41C35" w14:textId="77777777" w:rsidR="008B5D97" w:rsidRPr="00DF3B6F" w:rsidRDefault="008B5D97" w:rsidP="00BE1B8A">
            <w:pPr>
              <w:spacing w:before="120" w:after="0" w:line="240" w:lineRule="auto"/>
              <w:rPr>
                <w:b/>
                <w:bCs/>
                <w:szCs w:val="22"/>
              </w:rPr>
            </w:pPr>
            <w:r w:rsidRPr="00DF3B6F">
              <w:rPr>
                <w:szCs w:val="22"/>
              </w:rPr>
              <w:t>Niche program/service</w:t>
            </w:r>
          </w:p>
        </w:tc>
        <w:tc>
          <w:tcPr>
            <w:tcW w:w="1062" w:type="pct"/>
          </w:tcPr>
          <w:p w14:paraId="1D4AE7A9"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062" w:type="pct"/>
          </w:tcPr>
          <w:p w14:paraId="5DA60008" w14:textId="77777777" w:rsidR="008B5D97" w:rsidRPr="00DF3B6F" w:rsidRDefault="008B5D97" w:rsidP="00BE1B8A">
            <w:pPr>
              <w:spacing w:before="120" w:after="0" w:line="240" w:lineRule="auto"/>
              <w:jc w:val="center"/>
              <w:rPr>
                <w:b/>
                <w:bCs/>
                <w:szCs w:val="22"/>
              </w:rPr>
            </w:pPr>
          </w:p>
        </w:tc>
        <w:tc>
          <w:tcPr>
            <w:tcW w:w="1193" w:type="pct"/>
          </w:tcPr>
          <w:p w14:paraId="1B0E454D" w14:textId="77777777" w:rsidR="008B5D97" w:rsidRPr="00DF3B6F" w:rsidRDefault="008B5D97" w:rsidP="00BE1B8A">
            <w:pPr>
              <w:spacing w:before="120" w:after="0" w:line="240" w:lineRule="auto"/>
              <w:jc w:val="center"/>
              <w:rPr>
                <w:b/>
                <w:bCs/>
                <w:szCs w:val="22"/>
              </w:rPr>
            </w:pPr>
          </w:p>
        </w:tc>
      </w:tr>
      <w:tr w:rsidR="008B5D97" w:rsidRPr="00DF3B6F" w14:paraId="5BDCCC6A" w14:textId="77777777" w:rsidTr="004A388F">
        <w:tc>
          <w:tcPr>
            <w:tcW w:w="1682" w:type="pct"/>
          </w:tcPr>
          <w:p w14:paraId="513E7F7F" w14:textId="77777777" w:rsidR="008B5D97" w:rsidRPr="00DF3B6F" w:rsidRDefault="008B5D97" w:rsidP="00BE1B8A">
            <w:pPr>
              <w:spacing w:before="120" w:after="0" w:line="240" w:lineRule="auto"/>
              <w:rPr>
                <w:b/>
                <w:bCs/>
                <w:szCs w:val="22"/>
              </w:rPr>
            </w:pPr>
            <w:r w:rsidRPr="00DF3B6F">
              <w:rPr>
                <w:szCs w:val="22"/>
              </w:rPr>
              <w:t>Specific Cohort</w:t>
            </w:r>
          </w:p>
        </w:tc>
        <w:tc>
          <w:tcPr>
            <w:tcW w:w="1062" w:type="pct"/>
          </w:tcPr>
          <w:p w14:paraId="65AE09C5"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062" w:type="pct"/>
          </w:tcPr>
          <w:p w14:paraId="60B9B437"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193" w:type="pct"/>
          </w:tcPr>
          <w:p w14:paraId="6B98B175" w14:textId="77777777" w:rsidR="008B5D97" w:rsidRPr="00DF3B6F" w:rsidRDefault="008B5D97" w:rsidP="00BE1B8A">
            <w:pPr>
              <w:spacing w:before="120" w:after="0" w:line="240" w:lineRule="auto"/>
              <w:jc w:val="center"/>
              <w:rPr>
                <w:b/>
                <w:bCs/>
                <w:szCs w:val="22"/>
              </w:rPr>
            </w:pPr>
          </w:p>
        </w:tc>
      </w:tr>
      <w:tr w:rsidR="008B5D97" w:rsidRPr="00DF3B6F" w14:paraId="7F6926AC" w14:textId="77777777" w:rsidTr="004A388F">
        <w:tc>
          <w:tcPr>
            <w:tcW w:w="1682" w:type="pct"/>
          </w:tcPr>
          <w:p w14:paraId="409AE28A" w14:textId="77777777" w:rsidR="008B5D97" w:rsidRPr="00DF3B6F" w:rsidRDefault="008B5D97" w:rsidP="00BE1B8A">
            <w:pPr>
              <w:spacing w:before="120" w:after="0" w:line="240" w:lineRule="auto"/>
              <w:rPr>
                <w:b/>
                <w:bCs/>
                <w:szCs w:val="22"/>
              </w:rPr>
            </w:pPr>
            <w:r w:rsidRPr="00DF3B6F">
              <w:rPr>
                <w:szCs w:val="22"/>
              </w:rPr>
              <w:t>Established relationships/networks</w:t>
            </w:r>
          </w:p>
        </w:tc>
        <w:tc>
          <w:tcPr>
            <w:tcW w:w="1062" w:type="pct"/>
          </w:tcPr>
          <w:p w14:paraId="10F18E6B"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062" w:type="pct"/>
          </w:tcPr>
          <w:p w14:paraId="1DF160E3"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193" w:type="pct"/>
          </w:tcPr>
          <w:p w14:paraId="40DD288B" w14:textId="75DF6E82" w:rsidR="008B5D97" w:rsidRPr="00DF3B6F" w:rsidRDefault="008B5D97" w:rsidP="00BE1B8A">
            <w:pPr>
              <w:spacing w:before="120" w:after="0" w:line="240" w:lineRule="auto"/>
              <w:jc w:val="center"/>
              <w:rPr>
                <w:b/>
                <w:bCs/>
                <w:szCs w:val="22"/>
              </w:rPr>
            </w:pPr>
            <w:r w:rsidRPr="00DF3B6F">
              <w:rPr>
                <w:b/>
                <w:bCs/>
                <w:szCs w:val="22"/>
              </w:rPr>
              <w:sym w:font="Wingdings 2" w:char="F050"/>
            </w:r>
          </w:p>
        </w:tc>
      </w:tr>
      <w:tr w:rsidR="008B5D97" w:rsidRPr="00DF3B6F" w14:paraId="69E97DEF" w14:textId="77777777" w:rsidTr="004A388F">
        <w:tc>
          <w:tcPr>
            <w:tcW w:w="1682" w:type="pct"/>
          </w:tcPr>
          <w:p w14:paraId="7FFD8DF1" w14:textId="77777777" w:rsidR="008B5D97" w:rsidRPr="00DF3B6F" w:rsidRDefault="008B5D97" w:rsidP="00BE1B8A">
            <w:pPr>
              <w:spacing w:before="120" w:after="0" w:line="240" w:lineRule="auto"/>
              <w:rPr>
                <w:b/>
                <w:bCs/>
                <w:szCs w:val="22"/>
              </w:rPr>
            </w:pPr>
            <w:r w:rsidRPr="00DF3B6F">
              <w:rPr>
                <w:szCs w:val="22"/>
              </w:rPr>
              <w:t>Organisational maturity</w:t>
            </w:r>
          </w:p>
        </w:tc>
        <w:tc>
          <w:tcPr>
            <w:tcW w:w="1062" w:type="pct"/>
          </w:tcPr>
          <w:p w14:paraId="3D3B4153"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062" w:type="pct"/>
          </w:tcPr>
          <w:p w14:paraId="2545E0D9"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193" w:type="pct"/>
          </w:tcPr>
          <w:p w14:paraId="30348545" w14:textId="3CD53335" w:rsidR="008B5D97" w:rsidRPr="00DF3B6F" w:rsidRDefault="008B5D97" w:rsidP="00BE1B8A">
            <w:pPr>
              <w:spacing w:before="120" w:after="0" w:line="240" w:lineRule="auto"/>
              <w:jc w:val="center"/>
              <w:rPr>
                <w:b/>
                <w:bCs/>
                <w:szCs w:val="22"/>
              </w:rPr>
            </w:pPr>
            <w:r w:rsidRPr="00DF3B6F">
              <w:rPr>
                <w:b/>
                <w:bCs/>
                <w:szCs w:val="22"/>
              </w:rPr>
              <w:sym w:font="Wingdings 2" w:char="F050"/>
            </w:r>
          </w:p>
        </w:tc>
      </w:tr>
      <w:tr w:rsidR="008B5D97" w:rsidRPr="00DF3B6F" w14:paraId="1C73D5C0" w14:textId="77777777" w:rsidTr="004A388F">
        <w:tc>
          <w:tcPr>
            <w:tcW w:w="1682" w:type="pct"/>
          </w:tcPr>
          <w:p w14:paraId="3D9119CF" w14:textId="77777777" w:rsidR="008B5D97" w:rsidRPr="00DF3B6F" w:rsidRDefault="008B5D97" w:rsidP="00BE1B8A">
            <w:pPr>
              <w:spacing w:before="120" w:after="0" w:line="240" w:lineRule="auto"/>
              <w:rPr>
                <w:b/>
                <w:bCs/>
                <w:szCs w:val="22"/>
              </w:rPr>
            </w:pPr>
            <w:r w:rsidRPr="00DF3B6F">
              <w:rPr>
                <w:szCs w:val="22"/>
              </w:rPr>
              <w:t>Without direct sourcing if unsuccessful would have direct impact on sustainability of organisation</w:t>
            </w:r>
          </w:p>
        </w:tc>
        <w:tc>
          <w:tcPr>
            <w:tcW w:w="1062" w:type="pct"/>
          </w:tcPr>
          <w:p w14:paraId="0297E7D4"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062" w:type="pct"/>
          </w:tcPr>
          <w:p w14:paraId="18A56A63" w14:textId="77777777" w:rsidR="008B5D97" w:rsidRPr="00DF3B6F" w:rsidRDefault="008B5D97" w:rsidP="00BE1B8A">
            <w:pPr>
              <w:spacing w:before="120" w:after="0" w:line="240" w:lineRule="auto"/>
              <w:jc w:val="center"/>
              <w:rPr>
                <w:b/>
                <w:bCs/>
                <w:szCs w:val="22"/>
              </w:rPr>
            </w:pPr>
          </w:p>
        </w:tc>
        <w:tc>
          <w:tcPr>
            <w:tcW w:w="1193" w:type="pct"/>
          </w:tcPr>
          <w:p w14:paraId="1CEF1E8D" w14:textId="77777777" w:rsidR="008B5D97" w:rsidRPr="00DF3B6F" w:rsidRDefault="008B5D97" w:rsidP="00BE1B8A">
            <w:pPr>
              <w:spacing w:before="120" w:after="0" w:line="240" w:lineRule="auto"/>
              <w:jc w:val="center"/>
              <w:rPr>
                <w:b/>
                <w:bCs/>
                <w:szCs w:val="22"/>
              </w:rPr>
            </w:pPr>
          </w:p>
        </w:tc>
      </w:tr>
      <w:tr w:rsidR="008B5D97" w:rsidRPr="00DF3B6F" w14:paraId="2E13AB7D" w14:textId="77777777" w:rsidTr="004A388F">
        <w:tc>
          <w:tcPr>
            <w:tcW w:w="1682" w:type="pct"/>
          </w:tcPr>
          <w:p w14:paraId="69609CF2" w14:textId="75B49DCB" w:rsidR="008B5D97" w:rsidRPr="00DF3B6F" w:rsidRDefault="008B5D97" w:rsidP="00BE1B8A">
            <w:pPr>
              <w:spacing w:before="120" w:after="0" w:line="240" w:lineRule="auto"/>
              <w:rPr>
                <w:b/>
                <w:bCs/>
                <w:szCs w:val="22"/>
              </w:rPr>
            </w:pPr>
            <w:r w:rsidRPr="00DF3B6F">
              <w:rPr>
                <w:szCs w:val="22"/>
              </w:rPr>
              <w:t xml:space="preserve">Property owned by </w:t>
            </w:r>
            <w:r w:rsidR="00216914" w:rsidRPr="00DF3B6F">
              <w:rPr>
                <w:szCs w:val="22"/>
              </w:rPr>
              <w:t>o</w:t>
            </w:r>
            <w:r w:rsidRPr="00DF3B6F">
              <w:rPr>
                <w:szCs w:val="22"/>
              </w:rPr>
              <w:t>rganisation</w:t>
            </w:r>
          </w:p>
        </w:tc>
        <w:tc>
          <w:tcPr>
            <w:tcW w:w="1062" w:type="pct"/>
          </w:tcPr>
          <w:p w14:paraId="3A71D24C"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062" w:type="pct"/>
          </w:tcPr>
          <w:p w14:paraId="3B9D740B"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193" w:type="pct"/>
          </w:tcPr>
          <w:p w14:paraId="227999F2" w14:textId="6D6810B9" w:rsidR="008B5D97" w:rsidRPr="00DF3B6F" w:rsidRDefault="008B5D97" w:rsidP="00BE1B8A">
            <w:pPr>
              <w:spacing w:before="120" w:after="0" w:line="240" w:lineRule="auto"/>
              <w:jc w:val="center"/>
              <w:rPr>
                <w:b/>
                <w:bCs/>
                <w:szCs w:val="22"/>
              </w:rPr>
            </w:pPr>
          </w:p>
        </w:tc>
      </w:tr>
      <w:tr w:rsidR="008B5D97" w:rsidRPr="00DF3B6F" w14:paraId="34647E30" w14:textId="77777777" w:rsidTr="004A388F">
        <w:tc>
          <w:tcPr>
            <w:tcW w:w="1682" w:type="pct"/>
          </w:tcPr>
          <w:p w14:paraId="43A69454" w14:textId="50DC4819" w:rsidR="008B5D97" w:rsidRPr="00DF3B6F" w:rsidRDefault="008B5D97" w:rsidP="00BE1B8A">
            <w:pPr>
              <w:spacing w:before="120" w:after="0" w:line="240" w:lineRule="auto"/>
              <w:rPr>
                <w:b/>
                <w:bCs/>
                <w:szCs w:val="22"/>
              </w:rPr>
            </w:pPr>
            <w:r w:rsidRPr="00DF3B6F">
              <w:rPr>
                <w:szCs w:val="22"/>
              </w:rPr>
              <w:t xml:space="preserve">Program co-funded by </w:t>
            </w:r>
            <w:r w:rsidR="00216914" w:rsidRPr="00DF3B6F">
              <w:rPr>
                <w:szCs w:val="22"/>
              </w:rPr>
              <w:t>o</w:t>
            </w:r>
            <w:r w:rsidRPr="00DF3B6F">
              <w:rPr>
                <w:szCs w:val="22"/>
              </w:rPr>
              <w:t>rganisation</w:t>
            </w:r>
          </w:p>
        </w:tc>
        <w:tc>
          <w:tcPr>
            <w:tcW w:w="1062" w:type="pct"/>
          </w:tcPr>
          <w:p w14:paraId="68954403"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062" w:type="pct"/>
          </w:tcPr>
          <w:p w14:paraId="415F1DB4" w14:textId="77777777" w:rsidR="008B5D97" w:rsidRPr="00DF3B6F" w:rsidRDefault="008B5D97" w:rsidP="00BE1B8A">
            <w:pPr>
              <w:spacing w:before="120" w:after="0" w:line="240" w:lineRule="auto"/>
              <w:jc w:val="center"/>
              <w:rPr>
                <w:b/>
                <w:bCs/>
                <w:szCs w:val="22"/>
              </w:rPr>
            </w:pPr>
          </w:p>
        </w:tc>
        <w:tc>
          <w:tcPr>
            <w:tcW w:w="1193" w:type="pct"/>
          </w:tcPr>
          <w:p w14:paraId="0E4CD3C2" w14:textId="77777777" w:rsidR="008B5D97" w:rsidRPr="00DF3B6F" w:rsidRDefault="008B5D97" w:rsidP="00BE1B8A">
            <w:pPr>
              <w:spacing w:before="120" w:after="0" w:line="240" w:lineRule="auto"/>
              <w:jc w:val="center"/>
              <w:rPr>
                <w:b/>
                <w:bCs/>
                <w:szCs w:val="22"/>
              </w:rPr>
            </w:pPr>
          </w:p>
        </w:tc>
      </w:tr>
      <w:tr w:rsidR="008B5D97" w:rsidRPr="00DF3B6F" w14:paraId="2C101F61" w14:textId="77777777" w:rsidTr="004A388F">
        <w:tc>
          <w:tcPr>
            <w:tcW w:w="1682" w:type="pct"/>
          </w:tcPr>
          <w:p w14:paraId="0E49C092" w14:textId="77777777" w:rsidR="008B5D97" w:rsidRPr="00DF3B6F" w:rsidRDefault="008B5D97" w:rsidP="00BE1B8A">
            <w:pPr>
              <w:spacing w:before="120" w:after="0" w:line="240" w:lineRule="auto"/>
              <w:rPr>
                <w:b/>
                <w:bCs/>
                <w:szCs w:val="22"/>
              </w:rPr>
            </w:pPr>
            <w:r w:rsidRPr="00DF3B6F">
              <w:rPr>
                <w:szCs w:val="22"/>
              </w:rPr>
              <w:t>Meet or excel key performance indicators in current programs</w:t>
            </w:r>
          </w:p>
        </w:tc>
        <w:tc>
          <w:tcPr>
            <w:tcW w:w="1062" w:type="pct"/>
          </w:tcPr>
          <w:p w14:paraId="3E6D5F4E"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062" w:type="pct"/>
          </w:tcPr>
          <w:p w14:paraId="04EE0B02"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193" w:type="pct"/>
          </w:tcPr>
          <w:p w14:paraId="3B28ECC5" w14:textId="77777777" w:rsidR="008B5D97" w:rsidRPr="00DF3B6F" w:rsidRDefault="008B5D97" w:rsidP="00BE1B8A">
            <w:pPr>
              <w:spacing w:before="120" w:after="0" w:line="240" w:lineRule="auto"/>
              <w:jc w:val="center"/>
              <w:rPr>
                <w:b/>
                <w:bCs/>
                <w:szCs w:val="22"/>
              </w:rPr>
            </w:pPr>
          </w:p>
        </w:tc>
      </w:tr>
      <w:tr w:rsidR="008B5D97" w:rsidRPr="00DF3B6F" w14:paraId="03FACA84" w14:textId="77777777" w:rsidTr="004A388F">
        <w:tc>
          <w:tcPr>
            <w:tcW w:w="1682" w:type="pct"/>
          </w:tcPr>
          <w:p w14:paraId="01908F9A" w14:textId="68AF1907" w:rsidR="008B5D97" w:rsidRPr="00DF3B6F" w:rsidRDefault="008B5D97" w:rsidP="00BE1B8A">
            <w:pPr>
              <w:spacing w:before="120" w:after="0" w:line="240" w:lineRule="auto"/>
              <w:rPr>
                <w:szCs w:val="22"/>
              </w:rPr>
            </w:pPr>
            <w:r w:rsidRPr="00DF3B6F">
              <w:rPr>
                <w:szCs w:val="22"/>
              </w:rPr>
              <w:lastRenderedPageBreak/>
              <w:t xml:space="preserve">Known organisations provide same </w:t>
            </w:r>
            <w:r w:rsidR="00216914" w:rsidRPr="00DF3B6F">
              <w:rPr>
                <w:szCs w:val="22"/>
              </w:rPr>
              <w:t xml:space="preserve">service </w:t>
            </w:r>
            <w:r w:rsidRPr="00DF3B6F">
              <w:rPr>
                <w:szCs w:val="22"/>
              </w:rPr>
              <w:t>program</w:t>
            </w:r>
          </w:p>
        </w:tc>
        <w:tc>
          <w:tcPr>
            <w:tcW w:w="1062" w:type="pct"/>
          </w:tcPr>
          <w:p w14:paraId="21E1C5BD"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062" w:type="pct"/>
          </w:tcPr>
          <w:p w14:paraId="6D6B9F60"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193" w:type="pct"/>
          </w:tcPr>
          <w:p w14:paraId="54CE28A9"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r>
      <w:tr w:rsidR="008B5D97" w:rsidRPr="00DF3B6F" w14:paraId="65C806FB" w14:textId="77777777" w:rsidTr="004A388F">
        <w:tc>
          <w:tcPr>
            <w:tcW w:w="1682" w:type="pct"/>
          </w:tcPr>
          <w:p w14:paraId="4737EBBD" w14:textId="2015CF6D" w:rsidR="008B5D97" w:rsidRPr="00DF3B6F" w:rsidRDefault="008B5D97" w:rsidP="00BE1B8A">
            <w:pPr>
              <w:spacing w:before="120" w:after="0" w:line="240" w:lineRule="auto"/>
              <w:rPr>
                <w:szCs w:val="22"/>
              </w:rPr>
            </w:pPr>
            <w:r w:rsidRPr="00DF3B6F">
              <w:rPr>
                <w:szCs w:val="22"/>
              </w:rPr>
              <w:t xml:space="preserve">ACCO organisations – new and existing </w:t>
            </w:r>
            <w:r w:rsidR="00216914" w:rsidRPr="00DF3B6F">
              <w:rPr>
                <w:szCs w:val="22"/>
              </w:rPr>
              <w:t>o</w:t>
            </w:r>
            <w:r w:rsidRPr="00DF3B6F">
              <w:rPr>
                <w:szCs w:val="22"/>
              </w:rPr>
              <w:t>rganisations</w:t>
            </w:r>
          </w:p>
        </w:tc>
        <w:tc>
          <w:tcPr>
            <w:tcW w:w="1062" w:type="pct"/>
          </w:tcPr>
          <w:p w14:paraId="475B9DEE"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062" w:type="pct"/>
          </w:tcPr>
          <w:p w14:paraId="20C69F5C"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193" w:type="pct"/>
          </w:tcPr>
          <w:p w14:paraId="7EDC5579" w14:textId="77777777" w:rsidR="008B5D97" w:rsidRPr="00DF3B6F" w:rsidRDefault="008B5D97" w:rsidP="00BE1B8A">
            <w:pPr>
              <w:spacing w:before="120" w:after="0" w:line="240" w:lineRule="auto"/>
              <w:jc w:val="center"/>
              <w:rPr>
                <w:b/>
                <w:bCs/>
                <w:szCs w:val="22"/>
              </w:rPr>
            </w:pPr>
          </w:p>
        </w:tc>
      </w:tr>
      <w:tr w:rsidR="008B5D97" w:rsidRPr="00DF3B6F" w14:paraId="025800EF" w14:textId="77777777" w:rsidTr="004A388F">
        <w:tc>
          <w:tcPr>
            <w:tcW w:w="1682" w:type="pct"/>
          </w:tcPr>
          <w:p w14:paraId="45C0A71F" w14:textId="77777777" w:rsidR="008B5D97" w:rsidRPr="00DF3B6F" w:rsidRDefault="008B5D97" w:rsidP="00BE1B8A">
            <w:pPr>
              <w:spacing w:before="120" w:after="0" w:line="240" w:lineRule="auto"/>
              <w:rPr>
                <w:szCs w:val="22"/>
              </w:rPr>
            </w:pPr>
            <w:r w:rsidRPr="00DF3B6F">
              <w:rPr>
                <w:szCs w:val="22"/>
              </w:rPr>
              <w:t>Specific Cohort – Aboriginal and Torres Strait Islanders</w:t>
            </w:r>
          </w:p>
        </w:tc>
        <w:tc>
          <w:tcPr>
            <w:tcW w:w="1062" w:type="pct"/>
          </w:tcPr>
          <w:p w14:paraId="0AD8253C"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062" w:type="pct"/>
          </w:tcPr>
          <w:p w14:paraId="21192187"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193" w:type="pct"/>
          </w:tcPr>
          <w:p w14:paraId="5C27EA65" w14:textId="77777777" w:rsidR="008B5D97" w:rsidRPr="00DF3B6F" w:rsidRDefault="008B5D97" w:rsidP="00BE1B8A">
            <w:pPr>
              <w:spacing w:before="120" w:after="0" w:line="240" w:lineRule="auto"/>
              <w:jc w:val="center"/>
              <w:rPr>
                <w:b/>
                <w:bCs/>
                <w:szCs w:val="22"/>
              </w:rPr>
            </w:pPr>
          </w:p>
        </w:tc>
      </w:tr>
      <w:tr w:rsidR="008B5D97" w:rsidRPr="00DF3B6F" w14:paraId="6DA0D108" w14:textId="77777777" w:rsidTr="004A388F">
        <w:tc>
          <w:tcPr>
            <w:tcW w:w="1682" w:type="pct"/>
          </w:tcPr>
          <w:p w14:paraId="052874F2" w14:textId="47D5AA18" w:rsidR="008B5D97" w:rsidRPr="00DF3B6F" w:rsidRDefault="008B5D97" w:rsidP="00BE1B8A">
            <w:pPr>
              <w:spacing w:before="120" w:after="0" w:line="240" w:lineRule="auto"/>
              <w:rPr>
                <w:szCs w:val="22"/>
              </w:rPr>
            </w:pPr>
            <w:r w:rsidRPr="00DF3B6F">
              <w:rPr>
                <w:szCs w:val="22"/>
              </w:rPr>
              <w:t xml:space="preserve">Established networking and advocacy </w:t>
            </w:r>
            <w:r w:rsidR="00216914" w:rsidRPr="00DF3B6F">
              <w:rPr>
                <w:szCs w:val="22"/>
              </w:rPr>
              <w:t xml:space="preserve">service </w:t>
            </w:r>
            <w:r w:rsidRPr="00DF3B6F">
              <w:rPr>
                <w:szCs w:val="22"/>
              </w:rPr>
              <w:t>programs</w:t>
            </w:r>
          </w:p>
        </w:tc>
        <w:tc>
          <w:tcPr>
            <w:tcW w:w="1062" w:type="pct"/>
          </w:tcPr>
          <w:p w14:paraId="7C1B0A28"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062" w:type="pct"/>
          </w:tcPr>
          <w:p w14:paraId="346191BD"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193" w:type="pct"/>
          </w:tcPr>
          <w:p w14:paraId="1E20DBE6"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r>
      <w:tr w:rsidR="008B5D97" w:rsidRPr="00DF3B6F" w14:paraId="1E56F9D1" w14:textId="77777777" w:rsidTr="004A388F">
        <w:tc>
          <w:tcPr>
            <w:tcW w:w="1682" w:type="pct"/>
          </w:tcPr>
          <w:p w14:paraId="4D800EE0" w14:textId="77777777" w:rsidR="008B5D97" w:rsidRPr="00DF3B6F" w:rsidRDefault="008B5D97" w:rsidP="00BE1B8A">
            <w:pPr>
              <w:spacing w:before="120" w:after="0" w:line="240" w:lineRule="auto"/>
              <w:rPr>
                <w:szCs w:val="22"/>
              </w:rPr>
            </w:pPr>
            <w:r w:rsidRPr="00DF3B6F">
              <w:rPr>
                <w:szCs w:val="22"/>
              </w:rPr>
              <w:t xml:space="preserve">Testing alternative models </w:t>
            </w:r>
          </w:p>
        </w:tc>
        <w:tc>
          <w:tcPr>
            <w:tcW w:w="1062" w:type="pct"/>
          </w:tcPr>
          <w:p w14:paraId="44C781AA" w14:textId="77777777" w:rsidR="008B5D97" w:rsidRPr="00DF3B6F" w:rsidRDefault="008B5D97" w:rsidP="00BE1B8A">
            <w:pPr>
              <w:spacing w:before="120" w:after="0" w:line="240" w:lineRule="auto"/>
              <w:jc w:val="center"/>
              <w:rPr>
                <w:b/>
                <w:bCs/>
                <w:szCs w:val="22"/>
              </w:rPr>
            </w:pPr>
          </w:p>
        </w:tc>
        <w:tc>
          <w:tcPr>
            <w:tcW w:w="1062" w:type="pct"/>
          </w:tcPr>
          <w:p w14:paraId="34C62BE1" w14:textId="77777777" w:rsidR="008B5D97" w:rsidRPr="00DF3B6F" w:rsidRDefault="008B5D97" w:rsidP="00BE1B8A">
            <w:pPr>
              <w:spacing w:before="120" w:after="0" w:line="240" w:lineRule="auto"/>
              <w:jc w:val="center"/>
              <w:rPr>
                <w:b/>
                <w:bCs/>
                <w:szCs w:val="22"/>
              </w:rPr>
            </w:pPr>
          </w:p>
        </w:tc>
        <w:tc>
          <w:tcPr>
            <w:tcW w:w="1193" w:type="pct"/>
          </w:tcPr>
          <w:p w14:paraId="33249AE4" w14:textId="0D239C45" w:rsidR="008B5D97" w:rsidRPr="00DF3B6F" w:rsidRDefault="008B5D97" w:rsidP="00BE1B8A">
            <w:pPr>
              <w:spacing w:before="120" w:after="0" w:line="240" w:lineRule="auto"/>
              <w:jc w:val="center"/>
              <w:rPr>
                <w:b/>
                <w:bCs/>
                <w:szCs w:val="22"/>
              </w:rPr>
            </w:pPr>
            <w:r w:rsidRPr="00DF3B6F">
              <w:rPr>
                <w:b/>
                <w:bCs/>
                <w:szCs w:val="22"/>
              </w:rPr>
              <w:sym w:font="Wingdings 2" w:char="F050"/>
            </w:r>
          </w:p>
        </w:tc>
      </w:tr>
      <w:tr w:rsidR="008B5D97" w:rsidRPr="00DF3B6F" w14:paraId="4504DF62" w14:textId="77777777" w:rsidTr="004A388F">
        <w:tc>
          <w:tcPr>
            <w:tcW w:w="1682" w:type="pct"/>
          </w:tcPr>
          <w:p w14:paraId="09BA8A5D" w14:textId="77777777" w:rsidR="008B5D97" w:rsidRPr="00DF3B6F" w:rsidRDefault="008B5D97" w:rsidP="00BE1B8A">
            <w:pPr>
              <w:spacing w:before="120" w:after="0" w:line="240" w:lineRule="auto"/>
              <w:rPr>
                <w:szCs w:val="22"/>
              </w:rPr>
            </w:pPr>
            <w:r w:rsidRPr="00DF3B6F">
              <w:rPr>
                <w:szCs w:val="22"/>
              </w:rPr>
              <w:t xml:space="preserve">Organisations will respond; with capacity to decrease or increase their market share. </w:t>
            </w:r>
          </w:p>
        </w:tc>
        <w:tc>
          <w:tcPr>
            <w:tcW w:w="1062" w:type="pct"/>
          </w:tcPr>
          <w:p w14:paraId="545AD78B" w14:textId="77777777" w:rsidR="008B5D97" w:rsidRPr="00DF3B6F" w:rsidRDefault="008B5D97" w:rsidP="00BE1B8A">
            <w:pPr>
              <w:spacing w:before="120" w:after="0" w:line="240" w:lineRule="auto"/>
              <w:jc w:val="center"/>
              <w:rPr>
                <w:b/>
                <w:bCs/>
                <w:szCs w:val="22"/>
              </w:rPr>
            </w:pPr>
          </w:p>
        </w:tc>
        <w:tc>
          <w:tcPr>
            <w:tcW w:w="1062" w:type="pct"/>
          </w:tcPr>
          <w:p w14:paraId="3C0BCD75" w14:textId="77777777" w:rsidR="008B5D97" w:rsidRPr="00DF3B6F" w:rsidRDefault="008B5D97" w:rsidP="00BE1B8A">
            <w:pPr>
              <w:spacing w:before="120" w:after="0" w:line="240" w:lineRule="auto"/>
              <w:jc w:val="center"/>
              <w:rPr>
                <w:b/>
                <w:bCs/>
                <w:szCs w:val="22"/>
              </w:rPr>
            </w:pPr>
          </w:p>
        </w:tc>
        <w:tc>
          <w:tcPr>
            <w:tcW w:w="1193" w:type="pct"/>
          </w:tcPr>
          <w:p w14:paraId="2BD5D2CD"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r>
      <w:tr w:rsidR="008B5D97" w:rsidRPr="00DF3B6F" w14:paraId="7B67623A" w14:textId="77777777" w:rsidTr="004A388F">
        <w:tc>
          <w:tcPr>
            <w:tcW w:w="1682" w:type="pct"/>
          </w:tcPr>
          <w:p w14:paraId="66FA956E" w14:textId="02797FF2" w:rsidR="008B5D97" w:rsidRPr="00DF3B6F" w:rsidRDefault="008B5D97" w:rsidP="00BE1B8A">
            <w:pPr>
              <w:spacing w:before="120" w:after="0" w:line="240" w:lineRule="auto"/>
              <w:rPr>
                <w:szCs w:val="22"/>
              </w:rPr>
            </w:pPr>
            <w:r w:rsidRPr="00DF3B6F">
              <w:rPr>
                <w:szCs w:val="22"/>
              </w:rPr>
              <w:t>Larger organisations have capability and capacity to undertake service</w:t>
            </w:r>
            <w:r w:rsidR="00545100">
              <w:rPr>
                <w:szCs w:val="22"/>
              </w:rPr>
              <w:t xml:space="preserve"> programs</w:t>
            </w:r>
          </w:p>
        </w:tc>
        <w:tc>
          <w:tcPr>
            <w:tcW w:w="1062" w:type="pct"/>
          </w:tcPr>
          <w:p w14:paraId="36438D34" w14:textId="77777777" w:rsidR="008B5D97" w:rsidRPr="00DF3B6F" w:rsidRDefault="008B5D97" w:rsidP="00BE1B8A">
            <w:pPr>
              <w:spacing w:before="120" w:after="0" w:line="240" w:lineRule="auto"/>
              <w:jc w:val="center"/>
              <w:rPr>
                <w:b/>
                <w:bCs/>
                <w:szCs w:val="22"/>
              </w:rPr>
            </w:pPr>
          </w:p>
        </w:tc>
        <w:tc>
          <w:tcPr>
            <w:tcW w:w="1062" w:type="pct"/>
          </w:tcPr>
          <w:p w14:paraId="588CE17A" w14:textId="77777777" w:rsidR="008B5D97" w:rsidRPr="00DF3B6F" w:rsidRDefault="008B5D97" w:rsidP="00BE1B8A">
            <w:pPr>
              <w:spacing w:before="120" w:after="0" w:line="240" w:lineRule="auto"/>
              <w:jc w:val="center"/>
              <w:rPr>
                <w:b/>
                <w:bCs/>
                <w:szCs w:val="22"/>
              </w:rPr>
            </w:pPr>
          </w:p>
        </w:tc>
        <w:tc>
          <w:tcPr>
            <w:tcW w:w="1193" w:type="pct"/>
          </w:tcPr>
          <w:p w14:paraId="2FB2DA24"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r>
      <w:tr w:rsidR="008B5D97" w:rsidRPr="00DF3B6F" w14:paraId="05DACBC6" w14:textId="77777777" w:rsidTr="004A388F">
        <w:tc>
          <w:tcPr>
            <w:tcW w:w="1682" w:type="pct"/>
          </w:tcPr>
          <w:p w14:paraId="48305264" w14:textId="05D8D62F" w:rsidR="008B5D97" w:rsidRPr="00DF3B6F" w:rsidRDefault="008B5D97" w:rsidP="00BE1B8A">
            <w:pPr>
              <w:spacing w:before="120" w:after="0" w:line="240" w:lineRule="auto"/>
              <w:rPr>
                <w:szCs w:val="22"/>
              </w:rPr>
            </w:pPr>
            <w:r w:rsidRPr="00DF3B6F">
              <w:rPr>
                <w:szCs w:val="22"/>
              </w:rPr>
              <w:t xml:space="preserve">Larger funding amount with </w:t>
            </w:r>
            <w:r w:rsidR="00216914" w:rsidRPr="00DF3B6F">
              <w:rPr>
                <w:szCs w:val="22"/>
              </w:rPr>
              <w:t xml:space="preserve">higher </w:t>
            </w:r>
            <w:r w:rsidRPr="00DF3B6F">
              <w:rPr>
                <w:szCs w:val="22"/>
              </w:rPr>
              <w:t>risks</w:t>
            </w:r>
          </w:p>
        </w:tc>
        <w:tc>
          <w:tcPr>
            <w:tcW w:w="1062" w:type="pct"/>
          </w:tcPr>
          <w:p w14:paraId="00D5A1F8" w14:textId="77777777" w:rsidR="008B5D97" w:rsidRPr="00DF3B6F" w:rsidRDefault="008B5D97" w:rsidP="00BE1B8A">
            <w:pPr>
              <w:spacing w:before="120" w:after="0" w:line="240" w:lineRule="auto"/>
              <w:jc w:val="center"/>
              <w:rPr>
                <w:b/>
                <w:bCs/>
                <w:szCs w:val="22"/>
              </w:rPr>
            </w:pPr>
          </w:p>
        </w:tc>
        <w:tc>
          <w:tcPr>
            <w:tcW w:w="1062" w:type="pct"/>
          </w:tcPr>
          <w:p w14:paraId="1EB36031" w14:textId="77777777" w:rsidR="008B5D97" w:rsidRPr="00DF3B6F" w:rsidRDefault="008B5D97" w:rsidP="00BE1B8A">
            <w:pPr>
              <w:spacing w:before="120" w:after="0" w:line="240" w:lineRule="auto"/>
              <w:jc w:val="center"/>
              <w:rPr>
                <w:b/>
                <w:bCs/>
                <w:szCs w:val="22"/>
              </w:rPr>
            </w:pPr>
          </w:p>
        </w:tc>
        <w:tc>
          <w:tcPr>
            <w:tcW w:w="1193" w:type="pct"/>
          </w:tcPr>
          <w:p w14:paraId="161384D0" w14:textId="2A17EC5F" w:rsidR="008B5D97" w:rsidRPr="00DF3B6F" w:rsidRDefault="008B5D97" w:rsidP="00BE1B8A">
            <w:pPr>
              <w:spacing w:before="120" w:after="0" w:line="240" w:lineRule="auto"/>
              <w:jc w:val="center"/>
              <w:rPr>
                <w:b/>
                <w:bCs/>
                <w:szCs w:val="22"/>
              </w:rPr>
            </w:pPr>
            <w:r w:rsidRPr="00DF3B6F">
              <w:rPr>
                <w:b/>
                <w:bCs/>
                <w:szCs w:val="22"/>
              </w:rPr>
              <w:sym w:font="Wingdings 2" w:char="F050"/>
            </w:r>
          </w:p>
        </w:tc>
      </w:tr>
      <w:tr w:rsidR="008B5D97" w:rsidRPr="00DF3B6F" w14:paraId="0A130DB0" w14:textId="77777777" w:rsidTr="004A388F">
        <w:trPr>
          <w:trHeight w:val="715"/>
        </w:trPr>
        <w:tc>
          <w:tcPr>
            <w:tcW w:w="1682" w:type="pct"/>
          </w:tcPr>
          <w:p w14:paraId="35C824DA" w14:textId="0D3A3A7F" w:rsidR="008B5D97" w:rsidRPr="00DF3B6F" w:rsidRDefault="008B5D97" w:rsidP="00BE1B8A">
            <w:pPr>
              <w:spacing w:before="120" w:after="0" w:line="240" w:lineRule="auto"/>
              <w:rPr>
                <w:szCs w:val="22"/>
              </w:rPr>
            </w:pPr>
            <w:r w:rsidRPr="00DF3B6F">
              <w:rPr>
                <w:szCs w:val="22"/>
              </w:rPr>
              <w:t xml:space="preserve">Higher </w:t>
            </w:r>
            <w:r w:rsidR="00216914" w:rsidRPr="00DF3B6F">
              <w:rPr>
                <w:szCs w:val="22"/>
              </w:rPr>
              <w:t xml:space="preserve">service </w:t>
            </w:r>
            <w:r w:rsidRPr="00DF3B6F">
              <w:rPr>
                <w:szCs w:val="22"/>
              </w:rPr>
              <w:t>program risks</w:t>
            </w:r>
          </w:p>
        </w:tc>
        <w:tc>
          <w:tcPr>
            <w:tcW w:w="1062" w:type="pct"/>
          </w:tcPr>
          <w:p w14:paraId="5A3A8254" w14:textId="77777777" w:rsidR="008B5D97" w:rsidRPr="00DF3B6F" w:rsidRDefault="008B5D97" w:rsidP="00BE1B8A">
            <w:pPr>
              <w:spacing w:before="120" w:after="0" w:line="240" w:lineRule="auto"/>
              <w:jc w:val="center"/>
              <w:rPr>
                <w:b/>
                <w:bCs/>
                <w:szCs w:val="22"/>
              </w:rPr>
            </w:pPr>
          </w:p>
        </w:tc>
        <w:tc>
          <w:tcPr>
            <w:tcW w:w="1062" w:type="pct"/>
          </w:tcPr>
          <w:p w14:paraId="46320512" w14:textId="54E9B0AD"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193" w:type="pct"/>
          </w:tcPr>
          <w:p w14:paraId="02FEF53E" w14:textId="7AA20390" w:rsidR="008B5D97" w:rsidRPr="00DF3B6F" w:rsidRDefault="008B5D97" w:rsidP="00BE1B8A">
            <w:pPr>
              <w:spacing w:before="120" w:after="0" w:line="240" w:lineRule="auto"/>
              <w:jc w:val="center"/>
              <w:rPr>
                <w:b/>
                <w:bCs/>
                <w:szCs w:val="22"/>
              </w:rPr>
            </w:pPr>
            <w:r w:rsidRPr="00DF3B6F">
              <w:rPr>
                <w:b/>
                <w:bCs/>
                <w:szCs w:val="22"/>
              </w:rPr>
              <w:sym w:font="Wingdings 2" w:char="F050"/>
            </w:r>
          </w:p>
        </w:tc>
      </w:tr>
      <w:tr w:rsidR="008B5D97" w:rsidRPr="00DF3B6F" w14:paraId="4E403445" w14:textId="77777777" w:rsidTr="004A388F">
        <w:tc>
          <w:tcPr>
            <w:tcW w:w="1682" w:type="pct"/>
          </w:tcPr>
          <w:p w14:paraId="1800DB54" w14:textId="6C6CAE71" w:rsidR="008B5D97" w:rsidRPr="00DF3B6F" w:rsidRDefault="008B5D97" w:rsidP="00BE1B8A">
            <w:pPr>
              <w:spacing w:before="120" w:after="0" w:line="240" w:lineRule="auto"/>
              <w:rPr>
                <w:szCs w:val="22"/>
              </w:rPr>
            </w:pPr>
            <w:r w:rsidRPr="00DF3B6F">
              <w:rPr>
                <w:szCs w:val="22"/>
              </w:rPr>
              <w:t xml:space="preserve">Opportunity to refine </w:t>
            </w:r>
            <w:r w:rsidR="00216914" w:rsidRPr="00DF3B6F">
              <w:rPr>
                <w:szCs w:val="22"/>
              </w:rPr>
              <w:t xml:space="preserve">service </w:t>
            </w:r>
            <w:r w:rsidRPr="00DF3B6F">
              <w:rPr>
                <w:szCs w:val="22"/>
              </w:rPr>
              <w:t>model</w:t>
            </w:r>
          </w:p>
        </w:tc>
        <w:tc>
          <w:tcPr>
            <w:tcW w:w="1062" w:type="pct"/>
          </w:tcPr>
          <w:p w14:paraId="73EAED6F" w14:textId="77777777" w:rsidR="008B5D97" w:rsidRPr="00DF3B6F" w:rsidRDefault="008B5D97" w:rsidP="00BE1B8A">
            <w:pPr>
              <w:spacing w:before="120" w:after="0" w:line="240" w:lineRule="auto"/>
              <w:jc w:val="center"/>
              <w:rPr>
                <w:b/>
                <w:bCs/>
                <w:szCs w:val="22"/>
              </w:rPr>
            </w:pPr>
          </w:p>
        </w:tc>
        <w:tc>
          <w:tcPr>
            <w:tcW w:w="1062" w:type="pct"/>
          </w:tcPr>
          <w:p w14:paraId="223CED3E" w14:textId="0725DC51"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193" w:type="pct"/>
          </w:tcPr>
          <w:p w14:paraId="675BF7D9" w14:textId="437FF513" w:rsidR="008B5D97" w:rsidRPr="00DF3B6F" w:rsidRDefault="008B5D97" w:rsidP="00BE1B8A">
            <w:pPr>
              <w:spacing w:before="120" w:after="0" w:line="240" w:lineRule="auto"/>
              <w:jc w:val="center"/>
              <w:rPr>
                <w:b/>
                <w:bCs/>
                <w:szCs w:val="22"/>
              </w:rPr>
            </w:pPr>
            <w:r w:rsidRPr="00DF3B6F">
              <w:rPr>
                <w:b/>
                <w:bCs/>
                <w:szCs w:val="22"/>
              </w:rPr>
              <w:sym w:font="Wingdings 2" w:char="F050"/>
            </w:r>
          </w:p>
        </w:tc>
      </w:tr>
      <w:tr w:rsidR="008B5D97" w:rsidRPr="00DF3B6F" w14:paraId="7913C0DF" w14:textId="77777777" w:rsidTr="004A388F">
        <w:tc>
          <w:tcPr>
            <w:tcW w:w="1682" w:type="pct"/>
          </w:tcPr>
          <w:p w14:paraId="10221F40" w14:textId="7892A4CA" w:rsidR="008B5D97" w:rsidRPr="00DF3B6F" w:rsidRDefault="008B5D97" w:rsidP="00BE1B8A">
            <w:pPr>
              <w:spacing w:before="120" w:after="0" w:line="240" w:lineRule="auto"/>
              <w:rPr>
                <w:szCs w:val="22"/>
              </w:rPr>
            </w:pPr>
            <w:r w:rsidRPr="00DF3B6F">
              <w:rPr>
                <w:szCs w:val="22"/>
              </w:rPr>
              <w:t>Organisational maturity medium -</w:t>
            </w:r>
            <w:r w:rsidR="003942B4">
              <w:rPr>
                <w:szCs w:val="22"/>
              </w:rPr>
              <w:t xml:space="preserve"> </w:t>
            </w:r>
            <w:r w:rsidRPr="00DF3B6F">
              <w:rPr>
                <w:szCs w:val="22"/>
              </w:rPr>
              <w:t>high</w:t>
            </w:r>
          </w:p>
        </w:tc>
        <w:tc>
          <w:tcPr>
            <w:tcW w:w="1062" w:type="pct"/>
          </w:tcPr>
          <w:p w14:paraId="0815881C"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062" w:type="pct"/>
          </w:tcPr>
          <w:p w14:paraId="3D1353F1"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193" w:type="pct"/>
          </w:tcPr>
          <w:p w14:paraId="6644D106" w14:textId="7CF08D8A" w:rsidR="008B5D97" w:rsidRPr="00DF3B6F" w:rsidRDefault="008B5D97" w:rsidP="00BE1B8A">
            <w:pPr>
              <w:spacing w:before="120" w:after="0" w:line="240" w:lineRule="auto"/>
              <w:jc w:val="center"/>
              <w:rPr>
                <w:b/>
                <w:bCs/>
                <w:szCs w:val="22"/>
              </w:rPr>
            </w:pPr>
            <w:r w:rsidRPr="00DF3B6F">
              <w:rPr>
                <w:b/>
                <w:bCs/>
                <w:szCs w:val="22"/>
              </w:rPr>
              <w:sym w:font="Wingdings 2" w:char="F050"/>
            </w:r>
          </w:p>
        </w:tc>
      </w:tr>
      <w:tr w:rsidR="008B5D97" w:rsidRPr="00DF3B6F" w14:paraId="4A07BE09" w14:textId="77777777" w:rsidTr="004A388F">
        <w:tc>
          <w:tcPr>
            <w:tcW w:w="1682" w:type="pct"/>
          </w:tcPr>
          <w:p w14:paraId="05DB2839" w14:textId="77777777" w:rsidR="008B5D97" w:rsidRPr="00DF3B6F" w:rsidRDefault="008B5D97" w:rsidP="00BE1B8A">
            <w:pPr>
              <w:spacing w:before="120" w:after="0" w:line="240" w:lineRule="auto"/>
              <w:rPr>
                <w:szCs w:val="22"/>
              </w:rPr>
            </w:pPr>
            <w:r w:rsidRPr="00DF3B6F">
              <w:rPr>
                <w:szCs w:val="22"/>
              </w:rPr>
              <w:t xml:space="preserve">Market is medium – high. </w:t>
            </w:r>
          </w:p>
        </w:tc>
        <w:tc>
          <w:tcPr>
            <w:tcW w:w="1062" w:type="pct"/>
          </w:tcPr>
          <w:p w14:paraId="43A2B3E6" w14:textId="77777777" w:rsidR="008B5D97" w:rsidRPr="00DF3B6F" w:rsidRDefault="008B5D97" w:rsidP="00BE1B8A">
            <w:pPr>
              <w:spacing w:before="120" w:after="0" w:line="240" w:lineRule="auto"/>
              <w:jc w:val="center"/>
              <w:rPr>
                <w:b/>
                <w:bCs/>
                <w:szCs w:val="22"/>
              </w:rPr>
            </w:pPr>
          </w:p>
        </w:tc>
        <w:tc>
          <w:tcPr>
            <w:tcW w:w="1062" w:type="pct"/>
          </w:tcPr>
          <w:p w14:paraId="53DC6A4D" w14:textId="77777777" w:rsidR="008B5D97" w:rsidRPr="00DF3B6F" w:rsidRDefault="008B5D97" w:rsidP="00BE1B8A">
            <w:pPr>
              <w:spacing w:before="120" w:after="0" w:line="240" w:lineRule="auto"/>
              <w:jc w:val="center"/>
              <w:rPr>
                <w:b/>
                <w:bCs/>
                <w:szCs w:val="22"/>
              </w:rPr>
            </w:pPr>
          </w:p>
        </w:tc>
        <w:tc>
          <w:tcPr>
            <w:tcW w:w="1193" w:type="pct"/>
          </w:tcPr>
          <w:p w14:paraId="3B30610B" w14:textId="4FFD0F6D" w:rsidR="008B5D97" w:rsidRPr="00DF3B6F" w:rsidRDefault="008B5D97" w:rsidP="00BE1B8A">
            <w:pPr>
              <w:spacing w:before="120" w:after="0" w:line="240" w:lineRule="auto"/>
              <w:jc w:val="center"/>
              <w:rPr>
                <w:b/>
                <w:bCs/>
                <w:szCs w:val="22"/>
              </w:rPr>
            </w:pPr>
            <w:r w:rsidRPr="00DF3B6F">
              <w:rPr>
                <w:b/>
                <w:bCs/>
                <w:szCs w:val="22"/>
              </w:rPr>
              <w:sym w:font="Wingdings 2" w:char="F050"/>
            </w:r>
          </w:p>
        </w:tc>
      </w:tr>
      <w:tr w:rsidR="008B5D97" w:rsidRPr="00DF3B6F" w14:paraId="047C5B9F" w14:textId="77777777" w:rsidTr="004A388F">
        <w:tc>
          <w:tcPr>
            <w:tcW w:w="1682" w:type="pct"/>
          </w:tcPr>
          <w:p w14:paraId="26122D59" w14:textId="77777777" w:rsidR="008B5D97" w:rsidRPr="00DF3B6F" w:rsidRDefault="008B5D97" w:rsidP="00BE1B8A">
            <w:pPr>
              <w:spacing w:before="120" w:after="0" w:line="240" w:lineRule="auto"/>
              <w:rPr>
                <w:szCs w:val="22"/>
              </w:rPr>
            </w:pPr>
            <w:r w:rsidRPr="00DF3B6F">
              <w:rPr>
                <w:szCs w:val="22"/>
              </w:rPr>
              <w:t>Dedicated specialised needs</w:t>
            </w:r>
          </w:p>
        </w:tc>
        <w:tc>
          <w:tcPr>
            <w:tcW w:w="1062" w:type="pct"/>
          </w:tcPr>
          <w:p w14:paraId="22626D26"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062" w:type="pct"/>
          </w:tcPr>
          <w:p w14:paraId="35021F06"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193" w:type="pct"/>
          </w:tcPr>
          <w:p w14:paraId="4B0B1DA0" w14:textId="0BFF4653" w:rsidR="008B5D97" w:rsidRPr="00DF3B6F" w:rsidRDefault="008B5D97" w:rsidP="00BE1B8A">
            <w:pPr>
              <w:spacing w:before="120" w:after="0" w:line="240" w:lineRule="auto"/>
              <w:jc w:val="center"/>
              <w:rPr>
                <w:b/>
                <w:bCs/>
                <w:szCs w:val="22"/>
              </w:rPr>
            </w:pPr>
            <w:r w:rsidRPr="00DF3B6F">
              <w:rPr>
                <w:b/>
                <w:bCs/>
                <w:szCs w:val="22"/>
              </w:rPr>
              <w:sym w:font="Wingdings 2" w:char="F050"/>
            </w:r>
          </w:p>
        </w:tc>
      </w:tr>
      <w:tr w:rsidR="008B5D97" w:rsidRPr="00DF3B6F" w14:paraId="205E4997" w14:textId="77777777" w:rsidTr="004A388F">
        <w:tc>
          <w:tcPr>
            <w:tcW w:w="1682" w:type="pct"/>
          </w:tcPr>
          <w:p w14:paraId="31D383BB" w14:textId="77777777" w:rsidR="008B5D97" w:rsidRPr="00DF3B6F" w:rsidRDefault="008B5D97" w:rsidP="00BE1B8A">
            <w:pPr>
              <w:spacing w:before="120" w:after="0" w:line="240" w:lineRule="auto"/>
              <w:rPr>
                <w:szCs w:val="22"/>
              </w:rPr>
            </w:pPr>
            <w:r w:rsidRPr="00DF3B6F">
              <w:rPr>
                <w:szCs w:val="22"/>
              </w:rPr>
              <w:t xml:space="preserve">Strong interest in market </w:t>
            </w:r>
          </w:p>
        </w:tc>
        <w:tc>
          <w:tcPr>
            <w:tcW w:w="1062" w:type="pct"/>
          </w:tcPr>
          <w:p w14:paraId="1A7173C7" w14:textId="77777777" w:rsidR="008B5D97" w:rsidRPr="00DF3B6F" w:rsidRDefault="008B5D97" w:rsidP="00BE1B8A">
            <w:pPr>
              <w:spacing w:before="120" w:after="0" w:line="240" w:lineRule="auto"/>
              <w:jc w:val="center"/>
              <w:rPr>
                <w:b/>
                <w:bCs/>
                <w:szCs w:val="22"/>
              </w:rPr>
            </w:pPr>
          </w:p>
        </w:tc>
        <w:tc>
          <w:tcPr>
            <w:tcW w:w="1062" w:type="pct"/>
          </w:tcPr>
          <w:p w14:paraId="0D7360C7" w14:textId="77777777" w:rsidR="008B5D97" w:rsidRPr="00DF3B6F" w:rsidRDefault="008B5D97" w:rsidP="00BE1B8A">
            <w:pPr>
              <w:spacing w:before="120" w:after="0" w:line="240" w:lineRule="auto"/>
              <w:jc w:val="center"/>
              <w:rPr>
                <w:b/>
                <w:bCs/>
                <w:szCs w:val="22"/>
              </w:rPr>
            </w:pPr>
          </w:p>
        </w:tc>
        <w:tc>
          <w:tcPr>
            <w:tcW w:w="1193" w:type="pct"/>
          </w:tcPr>
          <w:p w14:paraId="2874B55C" w14:textId="49773E2A" w:rsidR="008B5D97" w:rsidRPr="00DF3B6F" w:rsidRDefault="008B5D97" w:rsidP="00BE1B8A">
            <w:pPr>
              <w:spacing w:before="120" w:after="0" w:line="240" w:lineRule="auto"/>
              <w:jc w:val="center"/>
              <w:rPr>
                <w:b/>
                <w:bCs/>
                <w:szCs w:val="22"/>
              </w:rPr>
            </w:pPr>
            <w:r w:rsidRPr="00DF3B6F">
              <w:rPr>
                <w:b/>
                <w:bCs/>
                <w:szCs w:val="22"/>
              </w:rPr>
              <w:sym w:font="Wingdings 2" w:char="F050"/>
            </w:r>
          </w:p>
        </w:tc>
      </w:tr>
      <w:tr w:rsidR="008B5D97" w:rsidRPr="00DF3B6F" w14:paraId="58750BCD" w14:textId="77777777" w:rsidTr="004A388F">
        <w:tc>
          <w:tcPr>
            <w:tcW w:w="1682" w:type="pct"/>
          </w:tcPr>
          <w:p w14:paraId="5C39DE0D" w14:textId="77777777" w:rsidR="008B5D97" w:rsidRPr="00DF3B6F" w:rsidRDefault="008B5D97" w:rsidP="00BE1B8A">
            <w:pPr>
              <w:spacing w:before="120" w:after="0" w:line="240" w:lineRule="auto"/>
              <w:rPr>
                <w:szCs w:val="22"/>
              </w:rPr>
            </w:pPr>
            <w:r w:rsidRPr="00DF3B6F">
              <w:rPr>
                <w:szCs w:val="22"/>
              </w:rPr>
              <w:t>Political Risk</w:t>
            </w:r>
          </w:p>
        </w:tc>
        <w:tc>
          <w:tcPr>
            <w:tcW w:w="1062" w:type="pct"/>
          </w:tcPr>
          <w:p w14:paraId="33087B68"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062" w:type="pct"/>
          </w:tcPr>
          <w:p w14:paraId="677300B9" w14:textId="77777777" w:rsidR="008B5D97" w:rsidRPr="00DF3B6F" w:rsidRDefault="008B5D97" w:rsidP="00BE1B8A">
            <w:pPr>
              <w:spacing w:before="120" w:after="0" w:line="240" w:lineRule="auto"/>
              <w:jc w:val="center"/>
              <w:rPr>
                <w:b/>
                <w:bCs/>
                <w:szCs w:val="22"/>
              </w:rPr>
            </w:pPr>
            <w:r w:rsidRPr="00DF3B6F">
              <w:rPr>
                <w:b/>
                <w:bCs/>
                <w:szCs w:val="22"/>
              </w:rPr>
              <w:sym w:font="Wingdings 2" w:char="F050"/>
            </w:r>
          </w:p>
        </w:tc>
        <w:tc>
          <w:tcPr>
            <w:tcW w:w="1193" w:type="pct"/>
          </w:tcPr>
          <w:p w14:paraId="20B4F057" w14:textId="4908DA11" w:rsidR="008B5D97" w:rsidRPr="00DF3B6F" w:rsidRDefault="008B5D97" w:rsidP="00BE1B8A">
            <w:pPr>
              <w:spacing w:before="120" w:after="0" w:line="240" w:lineRule="auto"/>
              <w:jc w:val="center"/>
              <w:rPr>
                <w:b/>
                <w:bCs/>
                <w:szCs w:val="22"/>
              </w:rPr>
            </w:pPr>
            <w:r w:rsidRPr="00DF3B6F">
              <w:rPr>
                <w:b/>
                <w:bCs/>
                <w:szCs w:val="22"/>
              </w:rPr>
              <w:sym w:font="Wingdings 2" w:char="F050"/>
            </w:r>
          </w:p>
        </w:tc>
      </w:tr>
    </w:tbl>
    <w:p w14:paraId="333185E6" w14:textId="77777777" w:rsidR="008B5D97" w:rsidRDefault="008B5D97" w:rsidP="00BE1B8A">
      <w:pPr>
        <w:spacing w:before="120" w:after="0" w:line="240" w:lineRule="auto"/>
      </w:pPr>
    </w:p>
    <w:p w14:paraId="26D68E4B" w14:textId="1EEC4052" w:rsidR="007A0612" w:rsidRPr="00DF3B6F" w:rsidRDefault="007A0612" w:rsidP="00693685">
      <w:pPr>
        <w:pStyle w:val="ListParagraph"/>
        <w:numPr>
          <w:ilvl w:val="0"/>
          <w:numId w:val="30"/>
        </w:numPr>
        <w:spacing w:before="120" w:after="0" w:line="240" w:lineRule="auto"/>
        <w:ind w:hanging="720"/>
        <w:contextualSpacing w:val="0"/>
        <w:rPr>
          <w:szCs w:val="22"/>
        </w:rPr>
      </w:pPr>
      <w:r w:rsidRPr="00DF3B6F">
        <w:rPr>
          <w:szCs w:val="22"/>
        </w:rPr>
        <w:t>Irr</w:t>
      </w:r>
      <w:r w:rsidR="00D4447F" w:rsidRPr="00DF3B6F">
        <w:rPr>
          <w:szCs w:val="22"/>
        </w:rPr>
        <w:t>e</w:t>
      </w:r>
      <w:r w:rsidRPr="00DF3B6F">
        <w:rPr>
          <w:szCs w:val="22"/>
        </w:rPr>
        <w:t>spective of the methodology for procuring services, each proposal will be assessed to determine if client needs will be met and value for money demonstrated. Should a response be found unsuccessful, the Territory reserves the right to reissue the grant</w:t>
      </w:r>
      <w:r w:rsidR="00B9341E" w:rsidRPr="00DF3B6F">
        <w:rPr>
          <w:szCs w:val="22"/>
        </w:rPr>
        <w:t>/tender</w:t>
      </w:r>
      <w:r w:rsidRPr="00DF3B6F">
        <w:rPr>
          <w:szCs w:val="22"/>
        </w:rPr>
        <w:t xml:space="preserve"> through alternative methodologies. </w:t>
      </w:r>
    </w:p>
    <w:p w14:paraId="5BAACECC" w14:textId="77777777" w:rsidR="006A2AC5" w:rsidRDefault="006A2AC5">
      <w:pPr>
        <w:spacing w:before="0" w:after="160" w:line="259" w:lineRule="auto"/>
        <w:rPr>
          <w:rFonts w:asciiTheme="minorHAnsi" w:eastAsiaTheme="minorHAnsi" w:hAnsiTheme="minorHAnsi" w:cstheme="minorHAnsi"/>
          <w:b/>
          <w:color w:val="7030A0"/>
          <w:kern w:val="28"/>
          <w:sz w:val="32"/>
          <w:szCs w:val="14"/>
        </w:rPr>
      </w:pPr>
      <w:bookmarkStart w:id="6" w:name="_Toc116548586"/>
      <w:r>
        <w:br w:type="page"/>
      </w:r>
    </w:p>
    <w:p w14:paraId="15E9FDAA" w14:textId="40C4DEF9" w:rsidR="00015E1E" w:rsidRPr="00FE0085" w:rsidRDefault="00015E1E" w:rsidP="00DB24B9">
      <w:pPr>
        <w:pStyle w:val="Heading1"/>
      </w:pPr>
      <w:r>
        <w:lastRenderedPageBreak/>
        <w:t>Market Sounding</w:t>
      </w:r>
      <w:bookmarkEnd w:id="6"/>
      <w:r>
        <w:t xml:space="preserve"> </w:t>
      </w:r>
    </w:p>
    <w:p w14:paraId="4CB51FD3" w14:textId="71647CD3" w:rsidR="00015E1E" w:rsidRPr="00DF3B6F" w:rsidRDefault="00015E1E" w:rsidP="00693685">
      <w:pPr>
        <w:pStyle w:val="ListParagraph"/>
        <w:numPr>
          <w:ilvl w:val="0"/>
          <w:numId w:val="31"/>
        </w:numPr>
        <w:spacing w:before="120" w:after="0" w:line="240" w:lineRule="auto"/>
        <w:ind w:hanging="720"/>
        <w:contextualSpacing w:val="0"/>
        <w:rPr>
          <w:szCs w:val="22"/>
        </w:rPr>
      </w:pPr>
      <w:r w:rsidRPr="00DF3B6F">
        <w:rPr>
          <w:szCs w:val="22"/>
        </w:rPr>
        <w:t>Market sounding is a valuable research tool for a broad spectrum of procurement and grant processes. It provides interested parties the opportunity to challenge the Directorate’s assumptions and further inform the design of the service</w:t>
      </w:r>
      <w:r w:rsidR="00216914" w:rsidRPr="00DF3B6F">
        <w:rPr>
          <w:szCs w:val="22"/>
        </w:rPr>
        <w:t xml:space="preserve">s </w:t>
      </w:r>
      <w:r w:rsidRPr="00DF3B6F">
        <w:rPr>
          <w:szCs w:val="22"/>
        </w:rPr>
        <w:t xml:space="preserve">and the requirements for any future request for </w:t>
      </w:r>
      <w:r w:rsidR="00013E34">
        <w:rPr>
          <w:szCs w:val="22"/>
        </w:rPr>
        <w:t>grants/</w:t>
      </w:r>
      <w:r w:rsidRPr="00DF3B6F">
        <w:rPr>
          <w:szCs w:val="22"/>
        </w:rPr>
        <w:t>tender</w:t>
      </w:r>
      <w:r w:rsidR="00013E34">
        <w:rPr>
          <w:szCs w:val="22"/>
        </w:rPr>
        <w:t>s</w:t>
      </w:r>
      <w:r w:rsidRPr="00DF3B6F">
        <w:rPr>
          <w:szCs w:val="22"/>
        </w:rPr>
        <w:t xml:space="preserve">. </w:t>
      </w:r>
    </w:p>
    <w:p w14:paraId="35164206" w14:textId="42CC47DE" w:rsidR="00CF5F82" w:rsidRPr="00DF3B6F" w:rsidRDefault="00CF5F82" w:rsidP="00693685">
      <w:pPr>
        <w:pStyle w:val="ListParagraph"/>
        <w:numPr>
          <w:ilvl w:val="0"/>
          <w:numId w:val="31"/>
        </w:numPr>
        <w:spacing w:before="120" w:after="0" w:line="240" w:lineRule="auto"/>
        <w:ind w:hanging="720"/>
        <w:contextualSpacing w:val="0"/>
        <w:rPr>
          <w:szCs w:val="22"/>
        </w:rPr>
      </w:pPr>
      <w:r w:rsidRPr="00DF3B6F">
        <w:rPr>
          <w:szCs w:val="22"/>
        </w:rPr>
        <w:t xml:space="preserve">Market Sounding Papers for the open grants </w:t>
      </w:r>
      <w:r w:rsidR="0084164E" w:rsidRPr="00DF3B6F">
        <w:rPr>
          <w:szCs w:val="22"/>
        </w:rPr>
        <w:t xml:space="preserve">will be released through the </w:t>
      </w:r>
      <w:r w:rsidR="00E966CA" w:rsidRPr="00DF3B6F">
        <w:rPr>
          <w:szCs w:val="22"/>
        </w:rPr>
        <w:t>ACT Government Grants portal.</w:t>
      </w:r>
      <w:r w:rsidR="00385761" w:rsidRPr="00DF3B6F">
        <w:rPr>
          <w:szCs w:val="22"/>
        </w:rPr>
        <w:t xml:space="preserve"> Market Sounding Papers for the tenders will be released through TendersACT</w:t>
      </w:r>
      <w:r w:rsidR="006C71C3" w:rsidRPr="00DF3B6F">
        <w:rPr>
          <w:szCs w:val="22"/>
        </w:rPr>
        <w:t>.  Notification of the release of the open grants/tenders will also be placed on the Commissioning website.</w:t>
      </w:r>
    </w:p>
    <w:p w14:paraId="27663FFD" w14:textId="6EF12B47" w:rsidR="00015E1E" w:rsidRPr="00DF3B6F" w:rsidRDefault="00015E1E" w:rsidP="00693685">
      <w:pPr>
        <w:pStyle w:val="ListParagraph"/>
        <w:numPr>
          <w:ilvl w:val="0"/>
          <w:numId w:val="31"/>
        </w:numPr>
        <w:spacing w:before="120" w:after="0" w:line="240" w:lineRule="auto"/>
        <w:ind w:hanging="720"/>
        <w:contextualSpacing w:val="0"/>
        <w:rPr>
          <w:szCs w:val="22"/>
        </w:rPr>
      </w:pPr>
      <w:r w:rsidRPr="00DF3B6F">
        <w:rPr>
          <w:szCs w:val="22"/>
        </w:rPr>
        <w:t>Market sounding papers will detail:</w:t>
      </w:r>
    </w:p>
    <w:p w14:paraId="18B1A4BB" w14:textId="77777777" w:rsidR="00015E1E" w:rsidRPr="006A2AC5" w:rsidRDefault="00015E1E" w:rsidP="00693685">
      <w:pPr>
        <w:pStyle w:val="ListParagraph"/>
        <w:numPr>
          <w:ilvl w:val="0"/>
          <w:numId w:val="32"/>
        </w:numPr>
        <w:spacing w:before="120" w:after="0" w:line="240" w:lineRule="auto"/>
        <w:ind w:left="1134" w:hanging="425"/>
        <w:contextualSpacing w:val="0"/>
        <w:rPr>
          <w:szCs w:val="22"/>
          <w:highlight w:val="yellow"/>
        </w:rPr>
      </w:pPr>
      <w:r w:rsidRPr="006A2AC5">
        <w:rPr>
          <w:szCs w:val="22"/>
          <w:highlight w:val="yellow"/>
        </w:rPr>
        <w:t>the purpose of commissioning;</w:t>
      </w:r>
    </w:p>
    <w:p w14:paraId="720948E9" w14:textId="77777777" w:rsidR="00015E1E" w:rsidRPr="006A2AC5" w:rsidRDefault="00015E1E" w:rsidP="00693685">
      <w:pPr>
        <w:pStyle w:val="ListParagraph"/>
        <w:numPr>
          <w:ilvl w:val="0"/>
          <w:numId w:val="32"/>
        </w:numPr>
        <w:spacing w:before="120" w:after="0" w:line="240" w:lineRule="auto"/>
        <w:ind w:left="1134" w:hanging="425"/>
        <w:contextualSpacing w:val="0"/>
        <w:rPr>
          <w:szCs w:val="22"/>
          <w:highlight w:val="yellow"/>
        </w:rPr>
      </w:pPr>
      <w:r w:rsidRPr="006A2AC5">
        <w:rPr>
          <w:szCs w:val="22"/>
          <w:highlight w:val="yellow"/>
        </w:rPr>
        <w:t>proposed engagement methodology;</w:t>
      </w:r>
    </w:p>
    <w:p w14:paraId="693F0E93" w14:textId="6A463D09" w:rsidR="00015E1E" w:rsidRPr="006A2AC5" w:rsidRDefault="00015E1E" w:rsidP="00693685">
      <w:pPr>
        <w:pStyle w:val="ListParagraph"/>
        <w:numPr>
          <w:ilvl w:val="0"/>
          <w:numId w:val="32"/>
        </w:numPr>
        <w:spacing w:before="120" w:after="0" w:line="240" w:lineRule="auto"/>
        <w:ind w:left="1134" w:hanging="425"/>
        <w:contextualSpacing w:val="0"/>
        <w:rPr>
          <w:szCs w:val="22"/>
          <w:highlight w:val="yellow"/>
        </w:rPr>
      </w:pPr>
      <w:r w:rsidRPr="006A2AC5">
        <w:rPr>
          <w:szCs w:val="22"/>
          <w:highlight w:val="yellow"/>
        </w:rPr>
        <w:t xml:space="preserve">definitions of service </w:t>
      </w:r>
      <w:r w:rsidR="006C71C3" w:rsidRPr="006A2AC5">
        <w:rPr>
          <w:szCs w:val="22"/>
          <w:highlight w:val="yellow"/>
        </w:rPr>
        <w:t>programs</w:t>
      </w:r>
      <w:r w:rsidRPr="006A2AC5">
        <w:rPr>
          <w:szCs w:val="22"/>
          <w:highlight w:val="yellow"/>
        </w:rPr>
        <w:t>;</w:t>
      </w:r>
    </w:p>
    <w:p w14:paraId="331F0807" w14:textId="77777777" w:rsidR="00015E1E" w:rsidRPr="006A2AC5" w:rsidRDefault="00015E1E" w:rsidP="00693685">
      <w:pPr>
        <w:pStyle w:val="ListParagraph"/>
        <w:numPr>
          <w:ilvl w:val="0"/>
          <w:numId w:val="32"/>
        </w:numPr>
        <w:spacing w:before="120" w:after="0" w:line="240" w:lineRule="auto"/>
        <w:ind w:left="1134" w:hanging="425"/>
        <w:contextualSpacing w:val="0"/>
        <w:rPr>
          <w:szCs w:val="22"/>
          <w:highlight w:val="yellow"/>
        </w:rPr>
      </w:pPr>
      <w:r w:rsidRPr="006A2AC5">
        <w:rPr>
          <w:szCs w:val="22"/>
          <w:highlight w:val="yellow"/>
        </w:rPr>
        <w:t xml:space="preserve">identified cohorts, needs and gaps, indicative outcomes and indicative performance indicators obtained from the commissioning engagement process; </w:t>
      </w:r>
    </w:p>
    <w:p w14:paraId="4883BA3A" w14:textId="77777777" w:rsidR="00015E1E" w:rsidRPr="006A2AC5" w:rsidRDefault="00015E1E" w:rsidP="00693685">
      <w:pPr>
        <w:pStyle w:val="ListParagraph"/>
        <w:numPr>
          <w:ilvl w:val="0"/>
          <w:numId w:val="32"/>
        </w:numPr>
        <w:spacing w:before="120" w:after="0" w:line="240" w:lineRule="auto"/>
        <w:ind w:left="1134" w:hanging="425"/>
        <w:contextualSpacing w:val="0"/>
        <w:rPr>
          <w:szCs w:val="22"/>
          <w:highlight w:val="yellow"/>
        </w:rPr>
      </w:pPr>
      <w:r w:rsidRPr="006A2AC5">
        <w:rPr>
          <w:szCs w:val="22"/>
          <w:highlight w:val="yellow"/>
        </w:rPr>
        <w:t>what government is seeking;</w:t>
      </w:r>
    </w:p>
    <w:p w14:paraId="19D0AD3C" w14:textId="77777777" w:rsidR="00015E1E" w:rsidRPr="006A2AC5" w:rsidRDefault="00015E1E" w:rsidP="00693685">
      <w:pPr>
        <w:pStyle w:val="ListParagraph"/>
        <w:numPr>
          <w:ilvl w:val="0"/>
          <w:numId w:val="32"/>
        </w:numPr>
        <w:spacing w:before="120" w:after="0" w:line="240" w:lineRule="auto"/>
        <w:ind w:left="1134" w:hanging="425"/>
        <w:contextualSpacing w:val="0"/>
        <w:rPr>
          <w:szCs w:val="22"/>
          <w:highlight w:val="yellow"/>
        </w:rPr>
      </w:pPr>
      <w:r w:rsidRPr="006A2AC5">
        <w:rPr>
          <w:szCs w:val="22"/>
          <w:highlight w:val="yellow"/>
        </w:rPr>
        <w:t>threshold requirements (where applicable); and</w:t>
      </w:r>
    </w:p>
    <w:p w14:paraId="75928CF8" w14:textId="77777777" w:rsidR="00015E1E" w:rsidRPr="006A2AC5" w:rsidRDefault="00015E1E" w:rsidP="00693685">
      <w:pPr>
        <w:pStyle w:val="ListParagraph"/>
        <w:numPr>
          <w:ilvl w:val="0"/>
          <w:numId w:val="32"/>
        </w:numPr>
        <w:spacing w:before="120" w:after="0" w:line="240" w:lineRule="auto"/>
        <w:ind w:left="1134" w:hanging="425"/>
        <w:contextualSpacing w:val="0"/>
        <w:rPr>
          <w:szCs w:val="22"/>
          <w:highlight w:val="yellow"/>
        </w:rPr>
      </w:pPr>
      <w:r w:rsidRPr="006A2AC5">
        <w:rPr>
          <w:szCs w:val="22"/>
          <w:highlight w:val="yellow"/>
        </w:rPr>
        <w:t>provide advanced notice of assessment criterion.</w:t>
      </w:r>
    </w:p>
    <w:p w14:paraId="1236F7F3" w14:textId="4AB44E30" w:rsidR="00015E1E" w:rsidRPr="006A2AC5" w:rsidRDefault="00015E1E" w:rsidP="00693685">
      <w:pPr>
        <w:pStyle w:val="ListParagraph"/>
        <w:numPr>
          <w:ilvl w:val="0"/>
          <w:numId w:val="31"/>
        </w:numPr>
        <w:spacing w:before="120" w:after="0" w:line="240" w:lineRule="auto"/>
        <w:ind w:hanging="720"/>
        <w:contextualSpacing w:val="0"/>
        <w:rPr>
          <w:szCs w:val="22"/>
          <w:highlight w:val="yellow"/>
        </w:rPr>
      </w:pPr>
      <w:r w:rsidRPr="006A2AC5">
        <w:rPr>
          <w:szCs w:val="22"/>
          <w:highlight w:val="yellow"/>
        </w:rPr>
        <w:t xml:space="preserve">The market sounding paper is not: </w:t>
      </w:r>
    </w:p>
    <w:p w14:paraId="61D2EC15" w14:textId="77777777" w:rsidR="00015E1E" w:rsidRPr="006A2AC5" w:rsidRDefault="00015E1E" w:rsidP="00693685">
      <w:pPr>
        <w:pStyle w:val="ListParagraph"/>
        <w:numPr>
          <w:ilvl w:val="0"/>
          <w:numId w:val="33"/>
        </w:numPr>
        <w:spacing w:before="120" w:after="0" w:line="240" w:lineRule="auto"/>
        <w:ind w:left="1134" w:hanging="425"/>
        <w:contextualSpacing w:val="0"/>
        <w:rPr>
          <w:rFonts w:cs="Calibri"/>
          <w:color w:val="000000"/>
          <w:szCs w:val="22"/>
          <w:highlight w:val="yellow"/>
          <w:lang w:eastAsia="en-AU"/>
        </w:rPr>
      </w:pPr>
      <w:r w:rsidRPr="006A2AC5">
        <w:rPr>
          <w:rFonts w:cs="Calibri"/>
          <w:color w:val="000000"/>
          <w:szCs w:val="22"/>
          <w:highlight w:val="yellow"/>
          <w:lang w:eastAsia="en-AU"/>
        </w:rPr>
        <w:t xml:space="preserve">part of a procurement or grant process to engage service provision; or </w:t>
      </w:r>
    </w:p>
    <w:p w14:paraId="73B7D46B" w14:textId="53DD1767" w:rsidR="00015E1E" w:rsidRPr="006A2AC5" w:rsidRDefault="00015E1E" w:rsidP="00693685">
      <w:pPr>
        <w:pStyle w:val="ListParagraph"/>
        <w:numPr>
          <w:ilvl w:val="0"/>
          <w:numId w:val="33"/>
        </w:numPr>
        <w:spacing w:before="120" w:after="0" w:line="240" w:lineRule="auto"/>
        <w:ind w:left="1134" w:hanging="425"/>
        <w:contextualSpacing w:val="0"/>
        <w:rPr>
          <w:rFonts w:cs="Calibri"/>
          <w:color w:val="000000"/>
          <w:szCs w:val="22"/>
          <w:highlight w:val="yellow"/>
          <w:lang w:eastAsia="en-AU"/>
        </w:rPr>
      </w:pPr>
      <w:r w:rsidRPr="006A2AC5">
        <w:rPr>
          <w:rFonts w:cs="Calibri"/>
          <w:color w:val="000000"/>
          <w:szCs w:val="22"/>
          <w:highlight w:val="yellow"/>
          <w:lang w:eastAsia="en-AU"/>
        </w:rPr>
        <w:t xml:space="preserve">requiring a response in order to participate in any future procurement or grant processes. </w:t>
      </w:r>
    </w:p>
    <w:p w14:paraId="288AD338" w14:textId="44B72FE5" w:rsidR="005C564F" w:rsidRPr="00FE0085" w:rsidRDefault="004D2E2C" w:rsidP="00DB24B9">
      <w:pPr>
        <w:pStyle w:val="Heading1"/>
      </w:pPr>
      <w:bookmarkStart w:id="7" w:name="_Toc116548587"/>
      <w:r>
        <w:t xml:space="preserve">Timing for </w:t>
      </w:r>
      <w:r w:rsidR="00A73FD0">
        <w:t xml:space="preserve">Grant and Tender </w:t>
      </w:r>
      <w:r>
        <w:t>processes</w:t>
      </w:r>
      <w:r w:rsidR="005C564F">
        <w:t>?</w:t>
      </w:r>
      <w:bookmarkEnd w:id="7"/>
    </w:p>
    <w:p w14:paraId="77C4B8A9" w14:textId="3A478505" w:rsidR="006A2AC5" w:rsidRPr="006A2AC5" w:rsidRDefault="006A2AC5" w:rsidP="00693685">
      <w:pPr>
        <w:pStyle w:val="ListParagraph"/>
        <w:numPr>
          <w:ilvl w:val="0"/>
          <w:numId w:val="34"/>
        </w:numPr>
        <w:spacing w:before="120" w:after="0" w:line="240" w:lineRule="auto"/>
        <w:ind w:hanging="720"/>
        <w:contextualSpacing w:val="0"/>
        <w:rPr>
          <w:szCs w:val="22"/>
          <w:highlight w:val="yellow"/>
        </w:rPr>
      </w:pPr>
      <w:r w:rsidRPr="006A2AC5">
        <w:rPr>
          <w:szCs w:val="22"/>
          <w:highlight w:val="yellow"/>
        </w:rPr>
        <w:t xml:space="preserve">What are your timings for different processes? </w:t>
      </w:r>
    </w:p>
    <w:p w14:paraId="789DCB68" w14:textId="1E34BC2C" w:rsidR="00670C2A" w:rsidRDefault="00CB038E" w:rsidP="00DB24B9">
      <w:pPr>
        <w:pStyle w:val="Heading1"/>
      </w:pPr>
      <w:bookmarkStart w:id="8" w:name="_Toc116548588"/>
      <w:r>
        <w:t>Funding levels</w:t>
      </w:r>
      <w:bookmarkEnd w:id="8"/>
    </w:p>
    <w:p w14:paraId="3B731FBE" w14:textId="244F6C53" w:rsidR="006A2AC5" w:rsidRPr="006A2AC5" w:rsidRDefault="006A2AC5" w:rsidP="00693685">
      <w:pPr>
        <w:pStyle w:val="ListParagraph"/>
        <w:numPr>
          <w:ilvl w:val="0"/>
          <w:numId w:val="35"/>
        </w:numPr>
        <w:spacing w:before="120" w:after="0" w:line="240" w:lineRule="auto"/>
        <w:ind w:hanging="720"/>
        <w:contextualSpacing w:val="0"/>
        <w:rPr>
          <w:szCs w:val="22"/>
          <w:highlight w:val="yellow"/>
        </w:rPr>
      </w:pPr>
      <w:r w:rsidRPr="006A2AC5">
        <w:rPr>
          <w:szCs w:val="22"/>
          <w:highlight w:val="yellow"/>
        </w:rPr>
        <w:t>What is the overall $$ for the services or program? Is the money all ACT or is a mix of Commonwealth and ACT.</w:t>
      </w:r>
    </w:p>
    <w:p w14:paraId="08F49872" w14:textId="2BBD7B1C" w:rsidR="0050456F" w:rsidRPr="006A2AC5" w:rsidRDefault="0050456F" w:rsidP="00693685">
      <w:pPr>
        <w:pStyle w:val="ListParagraph"/>
        <w:numPr>
          <w:ilvl w:val="0"/>
          <w:numId w:val="35"/>
        </w:numPr>
        <w:spacing w:before="120" w:after="0" w:line="240" w:lineRule="auto"/>
        <w:ind w:hanging="720"/>
        <w:contextualSpacing w:val="0"/>
        <w:rPr>
          <w:szCs w:val="22"/>
          <w:highlight w:val="yellow"/>
        </w:rPr>
      </w:pPr>
      <w:r w:rsidRPr="006A2AC5">
        <w:rPr>
          <w:szCs w:val="22"/>
          <w:highlight w:val="yellow"/>
        </w:rPr>
        <w:t xml:space="preserve">A key aim of commissioning </w:t>
      </w:r>
      <w:r w:rsidR="00DA478B" w:rsidRPr="006A2AC5">
        <w:rPr>
          <w:szCs w:val="22"/>
          <w:highlight w:val="yellow"/>
        </w:rPr>
        <w:t>i</w:t>
      </w:r>
      <w:r w:rsidRPr="006A2AC5">
        <w:rPr>
          <w:szCs w:val="22"/>
          <w:highlight w:val="yellow"/>
        </w:rPr>
        <w:t xml:space="preserve">s to provide greater funding certainty for sector partners.  Government intends to achieve this through </w:t>
      </w:r>
      <w:r w:rsidR="00C85C74" w:rsidRPr="006A2AC5">
        <w:rPr>
          <w:szCs w:val="22"/>
          <w:highlight w:val="yellow"/>
        </w:rPr>
        <w:t>entering</w:t>
      </w:r>
      <w:r w:rsidR="00DD0826" w:rsidRPr="006A2AC5">
        <w:rPr>
          <w:szCs w:val="22"/>
          <w:highlight w:val="yellow"/>
        </w:rPr>
        <w:t xml:space="preserve"> into</w:t>
      </w:r>
      <w:r w:rsidRPr="006A2AC5">
        <w:rPr>
          <w:szCs w:val="22"/>
          <w:highlight w:val="yellow"/>
        </w:rPr>
        <w:t xml:space="preserve"> longer term contracts wi</w:t>
      </w:r>
      <w:r w:rsidR="00C85C74" w:rsidRPr="006A2AC5">
        <w:rPr>
          <w:szCs w:val="22"/>
          <w:highlight w:val="yellow"/>
        </w:rPr>
        <w:t xml:space="preserve">th </w:t>
      </w:r>
      <w:r w:rsidR="00DA478B" w:rsidRPr="006A2AC5">
        <w:rPr>
          <w:szCs w:val="22"/>
          <w:highlight w:val="yellow"/>
        </w:rPr>
        <w:t>organisations</w:t>
      </w:r>
      <w:r w:rsidR="00C85C74" w:rsidRPr="006A2AC5">
        <w:rPr>
          <w:szCs w:val="22"/>
          <w:highlight w:val="yellow"/>
        </w:rPr>
        <w:t xml:space="preserve">.  The contract lengths may vary in some circumstances, but many contracts will extend across 10 years, with appropriate review points built in.  Funding certainty enables </w:t>
      </w:r>
      <w:r w:rsidR="00DA478B" w:rsidRPr="006A2AC5">
        <w:rPr>
          <w:szCs w:val="22"/>
          <w:highlight w:val="yellow"/>
        </w:rPr>
        <w:t>organisations</w:t>
      </w:r>
      <w:r w:rsidR="00C85C74" w:rsidRPr="006A2AC5">
        <w:rPr>
          <w:szCs w:val="22"/>
          <w:highlight w:val="yellow"/>
        </w:rPr>
        <w:t xml:space="preserve"> to employ ongoing staff with confidence, safely innovate and test new approaches to achieve outcomes for clients and respond flexibly to client need while reporting on outcomes rather than outputs of their service.</w:t>
      </w:r>
    </w:p>
    <w:p w14:paraId="35D14B17" w14:textId="58C8D16E" w:rsidR="000B79ED" w:rsidRDefault="004A501E" w:rsidP="00DB24B9">
      <w:pPr>
        <w:pStyle w:val="Heading1"/>
        <w:numPr>
          <w:ilvl w:val="0"/>
          <w:numId w:val="22"/>
        </w:numPr>
      </w:pPr>
      <w:bookmarkStart w:id="9" w:name="_Toc116548589"/>
      <w:r>
        <w:t>Further information about processes</w:t>
      </w:r>
      <w:bookmarkEnd w:id="9"/>
    </w:p>
    <w:p w14:paraId="35876E5D" w14:textId="3A7AFA94" w:rsidR="004A501E" w:rsidRPr="004A4134" w:rsidRDefault="004A501E" w:rsidP="00693685">
      <w:pPr>
        <w:pStyle w:val="ListParagraph"/>
        <w:numPr>
          <w:ilvl w:val="0"/>
          <w:numId w:val="37"/>
        </w:numPr>
        <w:tabs>
          <w:tab w:val="left" w:pos="709"/>
        </w:tabs>
        <w:spacing w:before="120" w:after="0" w:line="240" w:lineRule="auto"/>
        <w:ind w:left="709" w:hanging="709"/>
        <w:contextualSpacing w:val="0"/>
        <w:rPr>
          <w:szCs w:val="22"/>
        </w:rPr>
      </w:pPr>
      <w:r w:rsidRPr="004A4134">
        <w:rPr>
          <w:szCs w:val="22"/>
        </w:rPr>
        <w:t xml:space="preserve">Information about direct and select processes will be provided </w:t>
      </w:r>
      <w:r w:rsidR="007459DC" w:rsidRPr="004A4134">
        <w:rPr>
          <w:szCs w:val="22"/>
        </w:rPr>
        <w:t xml:space="preserve">directly </w:t>
      </w:r>
      <w:r w:rsidRPr="004A4134">
        <w:rPr>
          <w:szCs w:val="22"/>
        </w:rPr>
        <w:t>to the relevant organisations.  Information about open grant and tender processes will be made publicly available through the tenders and grants portals and also via the commissioning website.</w:t>
      </w:r>
    </w:p>
    <w:p w14:paraId="792F8433" w14:textId="5A7A7C2D" w:rsidR="007459DC" w:rsidRPr="004A4134" w:rsidRDefault="007459DC" w:rsidP="00693685">
      <w:pPr>
        <w:pStyle w:val="ListParagraph"/>
        <w:numPr>
          <w:ilvl w:val="0"/>
          <w:numId w:val="37"/>
        </w:numPr>
        <w:tabs>
          <w:tab w:val="left" w:pos="709"/>
        </w:tabs>
        <w:spacing w:before="120" w:after="0" w:line="240" w:lineRule="auto"/>
        <w:ind w:left="709" w:hanging="709"/>
        <w:contextualSpacing w:val="0"/>
        <w:rPr>
          <w:szCs w:val="22"/>
        </w:rPr>
      </w:pPr>
      <w:r w:rsidRPr="004A4134">
        <w:rPr>
          <w:szCs w:val="22"/>
        </w:rPr>
        <w:t xml:space="preserve">Requests for tenders will be released on Tenders ACT. Interested NGO sector partners are encouraged to pre-register on Tenders ACT and set up a personalised notification profile with at </w:t>
      </w:r>
      <w:r w:rsidRPr="004A4134">
        <w:rPr>
          <w:szCs w:val="22"/>
        </w:rPr>
        <w:lastRenderedPageBreak/>
        <w:t>least UNSPSC – Organisations &amp; clubs (94000000) and Healthcare Services (85000000). Setting up a personalised notification profile will alert you to the release of the pending procurement.</w:t>
      </w:r>
    </w:p>
    <w:p w14:paraId="706D689B" w14:textId="4828D264" w:rsidR="000B79ED" w:rsidRPr="004A4134" w:rsidRDefault="000B79ED" w:rsidP="00693685">
      <w:pPr>
        <w:pStyle w:val="ListParagraph"/>
        <w:numPr>
          <w:ilvl w:val="0"/>
          <w:numId w:val="37"/>
        </w:numPr>
        <w:tabs>
          <w:tab w:val="left" w:pos="709"/>
        </w:tabs>
        <w:spacing w:before="120" w:after="0" w:line="240" w:lineRule="auto"/>
        <w:ind w:left="709" w:hanging="709"/>
        <w:contextualSpacing w:val="0"/>
        <w:rPr>
          <w:szCs w:val="22"/>
        </w:rPr>
      </w:pPr>
      <w:r w:rsidRPr="004A4134">
        <w:rPr>
          <w:szCs w:val="22"/>
        </w:rPr>
        <w:t>Regardless of the approach (direct, select</w:t>
      </w:r>
      <w:r w:rsidR="00FE73A4" w:rsidRPr="004A4134">
        <w:rPr>
          <w:szCs w:val="22"/>
        </w:rPr>
        <w:t>,</w:t>
      </w:r>
      <w:r w:rsidRPr="004A4134">
        <w:rPr>
          <w:szCs w:val="22"/>
        </w:rPr>
        <w:t xml:space="preserve"> or open) an information session will be held for each </w:t>
      </w:r>
      <w:r w:rsidR="001F38B3">
        <w:rPr>
          <w:szCs w:val="22"/>
        </w:rPr>
        <w:t xml:space="preserve">future </w:t>
      </w:r>
      <w:r w:rsidRPr="004A4134">
        <w:rPr>
          <w:szCs w:val="22"/>
        </w:rPr>
        <w:t xml:space="preserve">funded </w:t>
      </w:r>
      <w:r w:rsidR="00BD7543">
        <w:rPr>
          <w:szCs w:val="22"/>
        </w:rPr>
        <w:t xml:space="preserve">homelessness service </w:t>
      </w:r>
      <w:r w:rsidRPr="004A4134">
        <w:rPr>
          <w:szCs w:val="22"/>
        </w:rPr>
        <w:t>program. The information session is optional. Attendees for the direct and select grants will be through invitation only.</w:t>
      </w:r>
    </w:p>
    <w:p w14:paraId="2D600905" w14:textId="133C1F77" w:rsidR="00AF4372" w:rsidRPr="004A4134" w:rsidRDefault="00AF4372" w:rsidP="00693685">
      <w:pPr>
        <w:pStyle w:val="ListParagraph"/>
        <w:numPr>
          <w:ilvl w:val="0"/>
          <w:numId w:val="37"/>
        </w:numPr>
        <w:tabs>
          <w:tab w:val="left" w:pos="709"/>
        </w:tabs>
        <w:spacing w:before="120" w:after="0" w:line="240" w:lineRule="auto"/>
        <w:ind w:left="709" w:hanging="709"/>
        <w:contextualSpacing w:val="0"/>
        <w:rPr>
          <w:szCs w:val="22"/>
        </w:rPr>
      </w:pPr>
      <w:r w:rsidRPr="004A4134">
        <w:rPr>
          <w:szCs w:val="22"/>
        </w:rPr>
        <w:t>For the various approaches, we actively encourage innovative, flexible evidence-based service models as well as demonstrating value for money.</w:t>
      </w:r>
    </w:p>
    <w:p w14:paraId="1B96F1B9" w14:textId="49B147AF" w:rsidR="00BB5403" w:rsidRPr="004A4134" w:rsidRDefault="00BB5403" w:rsidP="00693685">
      <w:pPr>
        <w:pStyle w:val="ListParagraph"/>
        <w:numPr>
          <w:ilvl w:val="0"/>
          <w:numId w:val="37"/>
        </w:numPr>
        <w:tabs>
          <w:tab w:val="left" w:pos="709"/>
        </w:tabs>
        <w:spacing w:before="120" w:after="0" w:line="240" w:lineRule="auto"/>
        <w:ind w:left="709" w:hanging="709"/>
        <w:contextualSpacing w:val="0"/>
        <w:rPr>
          <w:szCs w:val="22"/>
        </w:rPr>
      </w:pPr>
      <w:r w:rsidRPr="004A4134">
        <w:rPr>
          <w:szCs w:val="22"/>
        </w:rPr>
        <w:t xml:space="preserve">Where relevant, grant and tender documents will provide details on the number of properties and bedroom composition available for each </w:t>
      </w:r>
      <w:r w:rsidR="00DA478B" w:rsidRPr="004A4134">
        <w:rPr>
          <w:szCs w:val="22"/>
        </w:rPr>
        <w:t xml:space="preserve">service </w:t>
      </w:r>
      <w:r w:rsidRPr="004A4134">
        <w:rPr>
          <w:szCs w:val="22"/>
        </w:rPr>
        <w:t>program element.</w:t>
      </w:r>
    </w:p>
    <w:p w14:paraId="0BB61AC9" w14:textId="77777777" w:rsidR="0072642D" w:rsidRPr="004A4134" w:rsidRDefault="0072642D" w:rsidP="00693685">
      <w:pPr>
        <w:pStyle w:val="ListParagraph"/>
        <w:numPr>
          <w:ilvl w:val="0"/>
          <w:numId w:val="37"/>
        </w:numPr>
        <w:tabs>
          <w:tab w:val="left" w:pos="709"/>
        </w:tabs>
        <w:spacing w:before="120" w:after="0" w:line="240" w:lineRule="auto"/>
        <w:ind w:left="709" w:hanging="709"/>
        <w:contextualSpacing w:val="0"/>
        <w:rPr>
          <w:szCs w:val="22"/>
        </w:rPr>
      </w:pPr>
      <w:r w:rsidRPr="004A4134">
        <w:rPr>
          <w:szCs w:val="22"/>
        </w:rPr>
        <w:t xml:space="preserve">The Directorate is seeking to increase sector capability through an Expression of Interest to provide the opportunity for small to medium size organisations to engage a professional consultant to assist with the completion of their grant/tender documentation. </w:t>
      </w:r>
    </w:p>
    <w:p w14:paraId="642E3DC0" w14:textId="77777777" w:rsidR="0072642D" w:rsidRPr="006A2AC5" w:rsidRDefault="0072642D" w:rsidP="00693685">
      <w:pPr>
        <w:pStyle w:val="ListParagraph"/>
        <w:numPr>
          <w:ilvl w:val="0"/>
          <w:numId w:val="37"/>
        </w:numPr>
        <w:tabs>
          <w:tab w:val="left" w:pos="709"/>
        </w:tabs>
        <w:spacing w:before="120" w:after="0" w:line="240" w:lineRule="auto"/>
        <w:ind w:left="709" w:hanging="709"/>
        <w:contextualSpacing w:val="0"/>
        <w:rPr>
          <w:szCs w:val="22"/>
          <w:highlight w:val="yellow"/>
        </w:rPr>
      </w:pPr>
      <w:r w:rsidRPr="006A2AC5">
        <w:rPr>
          <w:szCs w:val="22"/>
          <w:highlight w:val="yellow"/>
        </w:rPr>
        <w:t xml:space="preserve">An amount of up to $2000.00 (GST </w:t>
      </w:r>
      <w:proofErr w:type="spellStart"/>
      <w:r w:rsidRPr="006A2AC5">
        <w:rPr>
          <w:szCs w:val="22"/>
          <w:highlight w:val="yellow"/>
        </w:rPr>
        <w:t>inc</w:t>
      </w:r>
      <w:proofErr w:type="spellEnd"/>
      <w:r w:rsidRPr="006A2AC5">
        <w:rPr>
          <w:szCs w:val="22"/>
          <w:highlight w:val="yellow"/>
        </w:rPr>
        <w:t xml:space="preserve">) per successful applicant is proposed to be available to engage professional assistance.  The Expression of Interest will be released with the market sounding papers. </w:t>
      </w:r>
    </w:p>
    <w:p w14:paraId="7FE4013F" w14:textId="7A89E61B" w:rsidR="00015E1E" w:rsidRPr="00FE0085" w:rsidRDefault="00015E1E" w:rsidP="00DB24B9">
      <w:pPr>
        <w:pStyle w:val="Heading1"/>
        <w:numPr>
          <w:ilvl w:val="0"/>
          <w:numId w:val="22"/>
        </w:numPr>
      </w:pPr>
      <w:bookmarkStart w:id="10" w:name="_Toc116548590"/>
      <w:r>
        <w:t>Further opportunities for collaborati</w:t>
      </w:r>
      <w:r w:rsidR="007459DC">
        <w:t>ve design</w:t>
      </w:r>
      <w:bookmarkEnd w:id="10"/>
    </w:p>
    <w:p w14:paraId="6910D594" w14:textId="5F5E885C" w:rsidR="00015E1E" w:rsidRPr="004A4134" w:rsidRDefault="00015E1E" w:rsidP="00693685">
      <w:pPr>
        <w:pStyle w:val="ListParagraph"/>
        <w:numPr>
          <w:ilvl w:val="0"/>
          <w:numId w:val="38"/>
        </w:numPr>
        <w:spacing w:before="120" w:after="0" w:line="240" w:lineRule="auto"/>
        <w:ind w:hanging="720"/>
        <w:contextualSpacing w:val="0"/>
        <w:rPr>
          <w:szCs w:val="22"/>
        </w:rPr>
      </w:pPr>
      <w:r w:rsidRPr="004A4134">
        <w:rPr>
          <w:szCs w:val="22"/>
        </w:rPr>
        <w:t xml:space="preserve">While much was achieved through the </w:t>
      </w:r>
      <w:r w:rsidR="00013E34">
        <w:rPr>
          <w:szCs w:val="22"/>
        </w:rPr>
        <w:t xml:space="preserve">strategy and design phases </w:t>
      </w:r>
      <w:r w:rsidR="00FE73A4" w:rsidRPr="004A4134">
        <w:rPr>
          <w:szCs w:val="22"/>
        </w:rPr>
        <w:t>to date</w:t>
      </w:r>
      <w:r w:rsidRPr="004A4134">
        <w:rPr>
          <w:szCs w:val="22"/>
        </w:rPr>
        <w:t>, government has identified further collaboration opportunities to inform the investment phase.</w:t>
      </w:r>
    </w:p>
    <w:p w14:paraId="6BBAE52E" w14:textId="15323FE4" w:rsidR="006A2AC5" w:rsidRPr="006A2AC5" w:rsidRDefault="006A2AC5" w:rsidP="00693685">
      <w:pPr>
        <w:pStyle w:val="ListParagraph"/>
        <w:numPr>
          <w:ilvl w:val="0"/>
          <w:numId w:val="38"/>
        </w:numPr>
        <w:spacing w:before="120" w:after="0" w:line="240" w:lineRule="auto"/>
        <w:ind w:hanging="720"/>
        <w:contextualSpacing w:val="0"/>
        <w:rPr>
          <w:szCs w:val="22"/>
          <w:highlight w:val="yellow"/>
        </w:rPr>
      </w:pPr>
      <w:r w:rsidRPr="006A2AC5">
        <w:rPr>
          <w:szCs w:val="22"/>
          <w:highlight w:val="yellow"/>
        </w:rPr>
        <w:t xml:space="preserve">Outline if further collaboration work will be undertaken to define targeted or specific services and provide timings. </w:t>
      </w:r>
    </w:p>
    <w:p w14:paraId="6B13D305" w14:textId="484D1C73" w:rsidR="00BB5403" w:rsidRDefault="00BB5403" w:rsidP="00DB24B9">
      <w:pPr>
        <w:pStyle w:val="Heading1"/>
        <w:numPr>
          <w:ilvl w:val="0"/>
          <w:numId w:val="22"/>
        </w:numPr>
      </w:pPr>
      <w:bookmarkStart w:id="11" w:name="_Toc116548591"/>
      <w:r w:rsidRPr="0072642D">
        <w:t>Responding</w:t>
      </w:r>
      <w:r>
        <w:t xml:space="preserve"> to issues that ar</w:t>
      </w:r>
      <w:r w:rsidR="00687E34">
        <w:t>o</w:t>
      </w:r>
      <w:r>
        <w:t>se during commissioning</w:t>
      </w:r>
      <w:bookmarkEnd w:id="11"/>
    </w:p>
    <w:p w14:paraId="627710B2" w14:textId="4BAF4869" w:rsidR="0072642D" w:rsidRPr="00BE1B8A" w:rsidRDefault="0072642D" w:rsidP="00BE1B8A">
      <w:pPr>
        <w:spacing w:before="120" w:after="0" w:line="240" w:lineRule="auto"/>
        <w:ind w:left="709"/>
        <w:rPr>
          <w:b/>
          <w:bCs/>
          <w:color w:val="7030A0"/>
        </w:rPr>
      </w:pPr>
      <w:r w:rsidRPr="00BE1B8A">
        <w:rPr>
          <w:b/>
          <w:bCs/>
          <w:color w:val="7030A0"/>
        </w:rPr>
        <w:t>Doing things differently</w:t>
      </w:r>
    </w:p>
    <w:p w14:paraId="3D550B49" w14:textId="79A9609C" w:rsidR="00833C90" w:rsidRPr="004A4134" w:rsidRDefault="0072642D" w:rsidP="00693685">
      <w:pPr>
        <w:pStyle w:val="ListParagraph"/>
        <w:numPr>
          <w:ilvl w:val="0"/>
          <w:numId w:val="40"/>
        </w:numPr>
        <w:tabs>
          <w:tab w:val="left" w:pos="709"/>
        </w:tabs>
        <w:spacing w:before="120" w:after="0" w:line="240" w:lineRule="auto"/>
        <w:ind w:left="709" w:hanging="709"/>
        <w:contextualSpacing w:val="0"/>
        <w:rPr>
          <w:szCs w:val="22"/>
        </w:rPr>
      </w:pPr>
      <w:r w:rsidRPr="004A4134">
        <w:rPr>
          <w:szCs w:val="22"/>
        </w:rPr>
        <w:t xml:space="preserve">The commissioning process identified a range of innovations and improvements that will enhance the effectiveness of the whole sector.  More information can be found </w:t>
      </w:r>
      <w:r w:rsidR="006A2AC5" w:rsidRPr="006A2AC5">
        <w:rPr>
          <w:szCs w:val="22"/>
          <w:highlight w:val="yellow"/>
        </w:rPr>
        <w:t>LINK URL</w:t>
      </w:r>
    </w:p>
    <w:p w14:paraId="64EE96E8" w14:textId="6B6E8327" w:rsidR="0072642D" w:rsidRPr="004A4134" w:rsidRDefault="0072642D" w:rsidP="00693685">
      <w:pPr>
        <w:pStyle w:val="ListParagraph"/>
        <w:numPr>
          <w:ilvl w:val="0"/>
          <w:numId w:val="40"/>
        </w:numPr>
        <w:tabs>
          <w:tab w:val="left" w:pos="709"/>
        </w:tabs>
        <w:spacing w:before="120" w:after="0" w:line="240" w:lineRule="auto"/>
        <w:ind w:left="709" w:hanging="709"/>
        <w:contextualSpacing w:val="0"/>
        <w:rPr>
          <w:szCs w:val="22"/>
        </w:rPr>
      </w:pPr>
      <w:r w:rsidRPr="004A4134">
        <w:rPr>
          <w:szCs w:val="22"/>
        </w:rPr>
        <w:t>These include:</w:t>
      </w:r>
    </w:p>
    <w:p w14:paraId="62FF1843" w14:textId="4BE4FF6D" w:rsidR="0072642D" w:rsidRPr="006A2AC5" w:rsidRDefault="0072642D" w:rsidP="00693685">
      <w:pPr>
        <w:pStyle w:val="ListParagraph"/>
        <w:numPr>
          <w:ilvl w:val="0"/>
          <w:numId w:val="41"/>
        </w:numPr>
        <w:tabs>
          <w:tab w:val="left" w:pos="1134"/>
        </w:tabs>
        <w:spacing w:before="120" w:after="0" w:line="240" w:lineRule="auto"/>
        <w:ind w:left="1134" w:hanging="425"/>
        <w:contextualSpacing w:val="0"/>
        <w:rPr>
          <w:szCs w:val="22"/>
          <w:highlight w:val="yellow"/>
        </w:rPr>
      </w:pPr>
      <w:r w:rsidRPr="006A2AC5">
        <w:rPr>
          <w:szCs w:val="22"/>
          <w:highlight w:val="yellow"/>
        </w:rPr>
        <w:t>Forging greater connection and collaboration with other parts of the system that are also needed by clients (such as health services).</w:t>
      </w:r>
    </w:p>
    <w:p w14:paraId="2B27C759" w14:textId="6305C9B8" w:rsidR="0072642D" w:rsidRPr="006A2AC5" w:rsidRDefault="0072642D" w:rsidP="00693685">
      <w:pPr>
        <w:pStyle w:val="ListParagraph"/>
        <w:numPr>
          <w:ilvl w:val="0"/>
          <w:numId w:val="41"/>
        </w:numPr>
        <w:tabs>
          <w:tab w:val="left" w:pos="1134"/>
        </w:tabs>
        <w:spacing w:before="120" w:after="0" w:line="240" w:lineRule="auto"/>
        <w:ind w:left="1134" w:hanging="425"/>
        <w:contextualSpacing w:val="0"/>
        <w:rPr>
          <w:szCs w:val="22"/>
          <w:highlight w:val="yellow"/>
        </w:rPr>
      </w:pPr>
      <w:r w:rsidRPr="006A2AC5">
        <w:rPr>
          <w:szCs w:val="22"/>
          <w:highlight w:val="yellow"/>
        </w:rPr>
        <w:t xml:space="preserve">Greater capability </w:t>
      </w:r>
      <w:r w:rsidR="005847B8" w:rsidRPr="006A2AC5">
        <w:rPr>
          <w:szCs w:val="22"/>
          <w:highlight w:val="yellow"/>
        </w:rPr>
        <w:t xml:space="preserve">across all services </w:t>
      </w:r>
      <w:r w:rsidRPr="006A2AC5">
        <w:rPr>
          <w:szCs w:val="22"/>
          <w:highlight w:val="yellow"/>
        </w:rPr>
        <w:t>to respond to the needs of people with specific barriers such as people from the priority population groups identified in the ACT Wellbeing Framework</w:t>
      </w:r>
      <w:r w:rsidR="00833C90" w:rsidRPr="006A2AC5">
        <w:rPr>
          <w:szCs w:val="22"/>
          <w:highlight w:val="yellow"/>
        </w:rPr>
        <w:t>.</w:t>
      </w:r>
    </w:p>
    <w:p w14:paraId="540AB32B" w14:textId="06B0B8E2" w:rsidR="0072642D" w:rsidRPr="006A2AC5" w:rsidRDefault="0072642D" w:rsidP="00693685">
      <w:pPr>
        <w:pStyle w:val="ListParagraph"/>
        <w:numPr>
          <w:ilvl w:val="0"/>
          <w:numId w:val="41"/>
        </w:numPr>
        <w:tabs>
          <w:tab w:val="left" w:pos="1134"/>
        </w:tabs>
        <w:spacing w:before="120" w:after="0" w:line="240" w:lineRule="auto"/>
        <w:ind w:left="1134" w:hanging="425"/>
        <w:contextualSpacing w:val="0"/>
        <w:rPr>
          <w:szCs w:val="22"/>
          <w:highlight w:val="yellow"/>
        </w:rPr>
      </w:pPr>
      <w:r w:rsidRPr="006A2AC5">
        <w:rPr>
          <w:szCs w:val="22"/>
          <w:highlight w:val="yellow"/>
        </w:rPr>
        <w:t>Improved consistency of data collection and sharing</w:t>
      </w:r>
      <w:r w:rsidR="00833C90" w:rsidRPr="006A2AC5">
        <w:rPr>
          <w:szCs w:val="22"/>
          <w:highlight w:val="yellow"/>
        </w:rPr>
        <w:t>.</w:t>
      </w:r>
    </w:p>
    <w:p w14:paraId="5DF62246" w14:textId="048F998E" w:rsidR="0072642D" w:rsidRPr="006A2AC5" w:rsidRDefault="0072642D" w:rsidP="00693685">
      <w:pPr>
        <w:pStyle w:val="ListParagraph"/>
        <w:numPr>
          <w:ilvl w:val="0"/>
          <w:numId w:val="41"/>
        </w:numPr>
        <w:tabs>
          <w:tab w:val="left" w:pos="1134"/>
        </w:tabs>
        <w:spacing w:before="120" w:after="0" w:line="240" w:lineRule="auto"/>
        <w:ind w:left="1134" w:hanging="425"/>
        <w:contextualSpacing w:val="0"/>
        <w:rPr>
          <w:szCs w:val="22"/>
          <w:highlight w:val="yellow"/>
        </w:rPr>
      </w:pPr>
      <w:r w:rsidRPr="006A2AC5">
        <w:rPr>
          <w:szCs w:val="22"/>
          <w:highlight w:val="yellow"/>
        </w:rPr>
        <w:t>Building clear evidence of the effectiveness and impact of your service model/s</w:t>
      </w:r>
      <w:r w:rsidR="00833C90" w:rsidRPr="006A2AC5">
        <w:rPr>
          <w:szCs w:val="22"/>
          <w:highlight w:val="yellow"/>
        </w:rPr>
        <w:t>.</w:t>
      </w:r>
    </w:p>
    <w:p w14:paraId="489D770A" w14:textId="4EE0B6CB" w:rsidR="005847B8" w:rsidRPr="006A2AC5" w:rsidRDefault="005847B8" w:rsidP="00693685">
      <w:pPr>
        <w:pStyle w:val="ListParagraph"/>
        <w:numPr>
          <w:ilvl w:val="0"/>
          <w:numId w:val="41"/>
        </w:numPr>
        <w:tabs>
          <w:tab w:val="left" w:pos="1134"/>
        </w:tabs>
        <w:spacing w:before="120" w:after="0" w:line="240" w:lineRule="auto"/>
        <w:ind w:left="1134" w:hanging="425"/>
        <w:contextualSpacing w:val="0"/>
        <w:rPr>
          <w:szCs w:val="22"/>
          <w:highlight w:val="yellow"/>
        </w:rPr>
      </w:pPr>
      <w:r w:rsidRPr="006A2AC5">
        <w:rPr>
          <w:szCs w:val="22"/>
          <w:highlight w:val="yellow"/>
        </w:rPr>
        <w:t>Use of an updated common outcomes framework</w:t>
      </w:r>
      <w:r w:rsidR="00833C90" w:rsidRPr="006A2AC5">
        <w:rPr>
          <w:szCs w:val="22"/>
          <w:highlight w:val="yellow"/>
        </w:rPr>
        <w:t>.</w:t>
      </w:r>
    </w:p>
    <w:p w14:paraId="5ED52EC7" w14:textId="7C3DAFEA" w:rsidR="0072642D" w:rsidRPr="004A4134" w:rsidRDefault="0072642D" w:rsidP="00693685">
      <w:pPr>
        <w:pStyle w:val="ListParagraph"/>
        <w:numPr>
          <w:ilvl w:val="0"/>
          <w:numId w:val="40"/>
        </w:numPr>
        <w:tabs>
          <w:tab w:val="left" w:pos="709"/>
        </w:tabs>
        <w:spacing w:before="120" w:after="0" w:line="240" w:lineRule="auto"/>
        <w:ind w:left="709" w:hanging="709"/>
        <w:contextualSpacing w:val="0"/>
        <w:rPr>
          <w:szCs w:val="22"/>
        </w:rPr>
      </w:pPr>
      <w:r w:rsidRPr="004A4134">
        <w:rPr>
          <w:szCs w:val="22"/>
        </w:rPr>
        <w:t>In preparing to apply for funding, organisations are encouraged to consider what changes they will make to their service models and practices that achieve these improvements and how they will describe these in their applications.</w:t>
      </w:r>
    </w:p>
    <w:p w14:paraId="6592A8C7" w14:textId="11E8A831" w:rsidR="00015E1E" w:rsidRPr="004A4134" w:rsidRDefault="00015E1E" w:rsidP="00693685">
      <w:pPr>
        <w:pStyle w:val="ListParagraph"/>
        <w:numPr>
          <w:ilvl w:val="0"/>
          <w:numId w:val="40"/>
        </w:numPr>
        <w:tabs>
          <w:tab w:val="left" w:pos="709"/>
        </w:tabs>
        <w:spacing w:before="120" w:after="0" w:line="240" w:lineRule="auto"/>
        <w:ind w:left="709" w:hanging="709"/>
        <w:contextualSpacing w:val="0"/>
        <w:rPr>
          <w:szCs w:val="22"/>
        </w:rPr>
      </w:pPr>
      <w:r w:rsidRPr="004A4134">
        <w:rPr>
          <w:szCs w:val="22"/>
        </w:rPr>
        <w:t>The commissioning process included collective development of outcomes and mapping of the outcomes framework to the ACT Wellbeing Framework.  This means that during the investment phase, applicants will nominate from the published co-design information, the relevant outcomes and indicators that align to their proposed service model and these will be reflected in subsequent contractual arrangement.</w:t>
      </w:r>
    </w:p>
    <w:p w14:paraId="1E9D0731" w14:textId="500F466C" w:rsidR="00431B90" w:rsidRPr="00431B90" w:rsidRDefault="00BB5403" w:rsidP="00DB24B9">
      <w:pPr>
        <w:pStyle w:val="Heading1"/>
        <w:numPr>
          <w:ilvl w:val="0"/>
          <w:numId w:val="22"/>
        </w:numPr>
      </w:pPr>
      <w:bookmarkStart w:id="12" w:name="_Toc116548592"/>
      <w:r>
        <w:lastRenderedPageBreak/>
        <w:t>R</w:t>
      </w:r>
      <w:r w:rsidR="00431B90" w:rsidRPr="00431B90">
        <w:t>espond</w:t>
      </w:r>
      <w:r>
        <w:t>ing</w:t>
      </w:r>
      <w:r w:rsidR="00431B90" w:rsidRPr="00431B90">
        <w:t xml:space="preserve"> to needs of Aboriginal and Torres Strait Islanders</w:t>
      </w:r>
      <w:bookmarkEnd w:id="12"/>
    </w:p>
    <w:p w14:paraId="2F23395C" w14:textId="5B02551B" w:rsidR="00431B90" w:rsidRPr="006A2AC5" w:rsidRDefault="006A2AC5" w:rsidP="006A2AC5">
      <w:pPr>
        <w:pStyle w:val="ListParagraph"/>
        <w:numPr>
          <w:ilvl w:val="0"/>
          <w:numId w:val="42"/>
        </w:numPr>
        <w:spacing w:before="120" w:after="0" w:line="240" w:lineRule="auto"/>
        <w:ind w:hanging="720"/>
        <w:contextualSpacing w:val="0"/>
        <w:rPr>
          <w:szCs w:val="22"/>
          <w:highlight w:val="yellow"/>
        </w:rPr>
      </w:pPr>
      <w:r w:rsidRPr="006A2AC5">
        <w:rPr>
          <w:szCs w:val="22"/>
          <w:highlight w:val="yellow"/>
        </w:rPr>
        <w:t xml:space="preserve">Outline specifics for how the commissioning engagement phase identified needs or service improvements for Aboriginal and Torres </w:t>
      </w:r>
      <w:r w:rsidR="00431B90" w:rsidRPr="006A2AC5">
        <w:rPr>
          <w:szCs w:val="22"/>
          <w:highlight w:val="yellow"/>
        </w:rPr>
        <w:t xml:space="preserve">Strait Islander people </w:t>
      </w:r>
      <w:r w:rsidR="00431B90" w:rsidRPr="006A2AC5">
        <w:rPr>
          <w:szCs w:val="22"/>
        </w:rPr>
        <w:t xml:space="preserve"> </w:t>
      </w:r>
    </w:p>
    <w:p w14:paraId="349785B2" w14:textId="7114158B" w:rsidR="00431B90" w:rsidRPr="004A4134" w:rsidRDefault="00431B90" w:rsidP="00BE1B8A">
      <w:pPr>
        <w:spacing w:before="120" w:after="0" w:line="240" w:lineRule="auto"/>
        <w:ind w:left="709"/>
        <w:rPr>
          <w:b/>
          <w:bCs/>
          <w:color w:val="7030A0"/>
          <w:szCs w:val="22"/>
        </w:rPr>
      </w:pPr>
      <w:r w:rsidRPr="004A4134">
        <w:rPr>
          <w:b/>
          <w:bCs/>
          <w:color w:val="7030A0"/>
          <w:szCs w:val="22"/>
        </w:rPr>
        <w:t>Aboriginal Community Controlled Organisations (ACCOs)</w:t>
      </w:r>
    </w:p>
    <w:p w14:paraId="6BF06F0A" w14:textId="18C604A7" w:rsidR="004D0A9C" w:rsidRPr="006A2AC5" w:rsidRDefault="006A2AC5" w:rsidP="006A2AC5">
      <w:pPr>
        <w:pStyle w:val="ListParagraph"/>
        <w:numPr>
          <w:ilvl w:val="0"/>
          <w:numId w:val="42"/>
        </w:numPr>
        <w:spacing w:before="120" w:after="0" w:line="240" w:lineRule="auto"/>
        <w:ind w:hanging="720"/>
        <w:contextualSpacing w:val="0"/>
        <w:rPr>
          <w:szCs w:val="22"/>
          <w:highlight w:val="yellow"/>
        </w:rPr>
      </w:pPr>
      <w:r w:rsidRPr="006A2AC5">
        <w:rPr>
          <w:szCs w:val="22"/>
          <w:highlight w:val="yellow"/>
        </w:rPr>
        <w:t xml:space="preserve">Will there be support for an </w:t>
      </w:r>
      <w:r w:rsidR="004D0A9C" w:rsidRPr="006A2AC5">
        <w:rPr>
          <w:szCs w:val="22"/>
          <w:highlight w:val="yellow"/>
        </w:rPr>
        <w:t>Aboriginal Community Controlled Organisations</w:t>
      </w:r>
      <w:r w:rsidRPr="006A2AC5">
        <w:rPr>
          <w:szCs w:val="22"/>
          <w:highlight w:val="yellow"/>
        </w:rPr>
        <w:t>- outline the approach</w:t>
      </w:r>
    </w:p>
    <w:p w14:paraId="01E0C38E" w14:textId="77777777" w:rsidR="004D0A9C" w:rsidRPr="006A2AC5" w:rsidRDefault="004D0A9C" w:rsidP="00693685">
      <w:pPr>
        <w:pStyle w:val="ListParagraph"/>
        <w:numPr>
          <w:ilvl w:val="0"/>
          <w:numId w:val="42"/>
        </w:numPr>
        <w:spacing w:before="120" w:after="0" w:line="240" w:lineRule="auto"/>
        <w:ind w:hanging="720"/>
        <w:contextualSpacing w:val="0"/>
        <w:rPr>
          <w:szCs w:val="22"/>
          <w:highlight w:val="yellow"/>
        </w:rPr>
      </w:pPr>
      <w:r w:rsidRPr="006A2AC5">
        <w:rPr>
          <w:szCs w:val="22"/>
          <w:highlight w:val="yellow"/>
        </w:rPr>
        <w:t>The ACT government is committed to a range of work to develop and provide better culturally appropriate housing options for Aboriginal and Torres Strait Islander people in the Territory.</w:t>
      </w:r>
    </w:p>
    <w:p w14:paraId="14613736" w14:textId="7BEE3EA2" w:rsidR="004D0A9C" w:rsidRPr="004D0A9C" w:rsidRDefault="0072642D" w:rsidP="00DB24B9">
      <w:pPr>
        <w:pStyle w:val="Heading1"/>
        <w:numPr>
          <w:ilvl w:val="0"/>
          <w:numId w:val="22"/>
        </w:numPr>
      </w:pPr>
      <w:bookmarkStart w:id="13" w:name="_Toc116548593"/>
      <w:r>
        <w:t>T</w:t>
      </w:r>
      <w:r w:rsidR="004D0A9C" w:rsidRPr="004D0A9C">
        <w:t xml:space="preserve">he need for </w:t>
      </w:r>
      <w:bookmarkEnd w:id="13"/>
      <w:r w:rsidR="006A2AC5">
        <w:t xml:space="preserve">service or program </w:t>
      </w:r>
    </w:p>
    <w:p w14:paraId="6D8A7735" w14:textId="77777777" w:rsidR="006A2AC5" w:rsidRDefault="006A2AC5" w:rsidP="00693685">
      <w:pPr>
        <w:pStyle w:val="ListParagraph"/>
        <w:numPr>
          <w:ilvl w:val="0"/>
          <w:numId w:val="43"/>
        </w:numPr>
        <w:tabs>
          <w:tab w:val="left" w:pos="709"/>
        </w:tabs>
        <w:spacing w:before="120" w:after="0" w:line="240" w:lineRule="auto"/>
        <w:ind w:left="709" w:hanging="709"/>
        <w:contextualSpacing w:val="0"/>
        <w:rPr>
          <w:szCs w:val="22"/>
          <w:highlight w:val="yellow"/>
        </w:rPr>
      </w:pPr>
      <w:r w:rsidRPr="006A2AC5">
        <w:rPr>
          <w:szCs w:val="22"/>
          <w:highlight w:val="yellow"/>
        </w:rPr>
        <w:t>Provide detail on a key theme or data that emerged from the engagement processes</w:t>
      </w:r>
    </w:p>
    <w:p w14:paraId="75CCEED3" w14:textId="37140DB9" w:rsidR="006A2AC5" w:rsidRPr="006A2AC5" w:rsidRDefault="0086333E" w:rsidP="00693685">
      <w:pPr>
        <w:pStyle w:val="ListParagraph"/>
        <w:numPr>
          <w:ilvl w:val="0"/>
          <w:numId w:val="43"/>
        </w:numPr>
        <w:tabs>
          <w:tab w:val="left" w:pos="709"/>
        </w:tabs>
        <w:spacing w:before="120" w:after="0" w:line="240" w:lineRule="auto"/>
        <w:ind w:left="709" w:hanging="709"/>
        <w:contextualSpacing w:val="0"/>
        <w:rPr>
          <w:szCs w:val="22"/>
          <w:highlight w:val="yellow"/>
        </w:rPr>
      </w:pPr>
      <w:r>
        <w:rPr>
          <w:szCs w:val="22"/>
          <w:highlight w:val="yellow"/>
        </w:rPr>
        <w:t xml:space="preserve">Provide an outline of any other programs, services or initiatives that relate to this service or program </w:t>
      </w:r>
      <w:r w:rsidR="006A2AC5" w:rsidRPr="006A2AC5">
        <w:rPr>
          <w:szCs w:val="22"/>
          <w:highlight w:val="yellow"/>
        </w:rPr>
        <w:t xml:space="preserve"> </w:t>
      </w:r>
    </w:p>
    <w:p w14:paraId="02C4D202" w14:textId="281C2A2A" w:rsidR="00A71220" w:rsidRDefault="00A71220" w:rsidP="00DB24B9">
      <w:pPr>
        <w:pStyle w:val="Heading1"/>
        <w:numPr>
          <w:ilvl w:val="0"/>
          <w:numId w:val="22"/>
        </w:numPr>
      </w:pPr>
      <w:bookmarkStart w:id="14" w:name="_Toc116548594"/>
      <w:r>
        <w:t>Service System enhancements</w:t>
      </w:r>
      <w:bookmarkEnd w:id="14"/>
    </w:p>
    <w:p w14:paraId="7F89BAA5" w14:textId="6E38D588" w:rsidR="0086333E" w:rsidRPr="0086333E" w:rsidRDefault="0086333E" w:rsidP="0086333E">
      <w:pPr>
        <w:pStyle w:val="ListParagraph"/>
        <w:numPr>
          <w:ilvl w:val="0"/>
          <w:numId w:val="44"/>
        </w:numPr>
        <w:spacing w:before="120" w:after="0" w:line="240" w:lineRule="auto"/>
        <w:ind w:left="709" w:hanging="720"/>
        <w:contextualSpacing w:val="0"/>
        <w:rPr>
          <w:szCs w:val="22"/>
          <w:highlight w:val="yellow"/>
        </w:rPr>
      </w:pPr>
      <w:r w:rsidRPr="0086333E">
        <w:rPr>
          <w:szCs w:val="22"/>
          <w:highlight w:val="yellow"/>
        </w:rPr>
        <w:t xml:space="preserve">Describe what needs to change in the system or service and how the engagement informed these requirements. </w:t>
      </w:r>
    </w:p>
    <w:p w14:paraId="3D5709FE" w14:textId="0511A723" w:rsidR="00A71220" w:rsidRPr="0086333E" w:rsidRDefault="0086333E" w:rsidP="00693685">
      <w:pPr>
        <w:pStyle w:val="ListParagraph"/>
        <w:numPr>
          <w:ilvl w:val="0"/>
          <w:numId w:val="44"/>
        </w:numPr>
        <w:spacing w:before="120" w:after="0" w:line="240" w:lineRule="auto"/>
        <w:ind w:left="709" w:hanging="720"/>
        <w:contextualSpacing w:val="0"/>
        <w:rPr>
          <w:szCs w:val="22"/>
          <w:highlight w:val="yellow"/>
        </w:rPr>
      </w:pPr>
      <w:r w:rsidRPr="0086333E">
        <w:rPr>
          <w:szCs w:val="22"/>
          <w:highlight w:val="yellow"/>
        </w:rPr>
        <w:t xml:space="preserve">Example - </w:t>
      </w:r>
      <w:r w:rsidR="00A71220" w:rsidRPr="0086333E">
        <w:rPr>
          <w:szCs w:val="22"/>
          <w:highlight w:val="yellow"/>
        </w:rPr>
        <w:t xml:space="preserve">improved data collection to support the delivery of efficient, </w:t>
      </w:r>
      <w:r w:rsidR="00C768B8" w:rsidRPr="0086333E">
        <w:rPr>
          <w:szCs w:val="22"/>
          <w:highlight w:val="yellow"/>
        </w:rPr>
        <w:t>responsible,</w:t>
      </w:r>
      <w:r w:rsidR="00A71220" w:rsidRPr="0086333E">
        <w:rPr>
          <w:szCs w:val="22"/>
          <w:highlight w:val="yellow"/>
        </w:rPr>
        <w:t xml:space="preserve"> and outcomes-based services. </w:t>
      </w:r>
    </w:p>
    <w:p w14:paraId="0A503BBE" w14:textId="77777777" w:rsidR="00693B65" w:rsidRDefault="00693B65" w:rsidP="00DB24B9">
      <w:pPr>
        <w:pStyle w:val="Heading1"/>
        <w:numPr>
          <w:ilvl w:val="0"/>
          <w:numId w:val="22"/>
        </w:numPr>
      </w:pPr>
      <w:bookmarkStart w:id="15" w:name="_Toc116548595"/>
      <w:r>
        <w:t>Meeting</w:t>
      </w:r>
      <w:r w:rsidRPr="00AE5583">
        <w:t xml:space="preserve"> needs of clients who face barriers</w:t>
      </w:r>
      <w:bookmarkEnd w:id="15"/>
      <w:r w:rsidRPr="00AE5583">
        <w:t xml:space="preserve"> </w:t>
      </w:r>
    </w:p>
    <w:p w14:paraId="41B8BD93" w14:textId="65809B57" w:rsidR="0086333E" w:rsidRPr="0086333E" w:rsidRDefault="0086333E" w:rsidP="00693685">
      <w:pPr>
        <w:pStyle w:val="ListParagraph"/>
        <w:numPr>
          <w:ilvl w:val="0"/>
          <w:numId w:val="45"/>
        </w:numPr>
        <w:spacing w:before="120" w:after="0" w:line="240" w:lineRule="auto"/>
        <w:ind w:left="709" w:hanging="709"/>
        <w:contextualSpacing w:val="0"/>
        <w:rPr>
          <w:szCs w:val="22"/>
          <w:highlight w:val="yellow"/>
        </w:rPr>
      </w:pPr>
      <w:r w:rsidRPr="0086333E">
        <w:rPr>
          <w:szCs w:val="22"/>
          <w:highlight w:val="yellow"/>
        </w:rPr>
        <w:t>Is there a specific client cohort that needs a targeted response – outline their needs here</w:t>
      </w:r>
    </w:p>
    <w:p w14:paraId="4DDA662D" w14:textId="3D9BF6E1" w:rsidR="00670C2A" w:rsidRPr="00670C2A" w:rsidRDefault="0072642D" w:rsidP="00DB24B9">
      <w:pPr>
        <w:pStyle w:val="Heading1"/>
        <w:numPr>
          <w:ilvl w:val="0"/>
          <w:numId w:val="22"/>
        </w:numPr>
      </w:pPr>
      <w:bookmarkStart w:id="16" w:name="_Toc116548596"/>
      <w:r>
        <w:t>Supporting</w:t>
      </w:r>
      <w:r w:rsidR="00670C2A">
        <w:t xml:space="preserve"> c</w:t>
      </w:r>
      <w:r w:rsidR="00670C2A" w:rsidRPr="00670C2A">
        <w:t>lients with high and complex needs</w:t>
      </w:r>
      <w:bookmarkEnd w:id="16"/>
      <w:r w:rsidR="00670C2A" w:rsidRPr="00670C2A">
        <w:t xml:space="preserve"> </w:t>
      </w:r>
    </w:p>
    <w:p w14:paraId="155528F1" w14:textId="384525BB" w:rsidR="0086333E" w:rsidRPr="0086333E" w:rsidRDefault="0086333E" w:rsidP="00693685">
      <w:pPr>
        <w:pStyle w:val="ListParagraph"/>
        <w:numPr>
          <w:ilvl w:val="0"/>
          <w:numId w:val="46"/>
        </w:numPr>
        <w:spacing w:before="120" w:after="0" w:line="240" w:lineRule="auto"/>
        <w:ind w:hanging="720"/>
        <w:contextualSpacing w:val="0"/>
        <w:rPr>
          <w:szCs w:val="22"/>
          <w:highlight w:val="yellow"/>
        </w:rPr>
      </w:pPr>
      <w:r w:rsidRPr="0086333E">
        <w:rPr>
          <w:szCs w:val="22"/>
          <w:highlight w:val="yellow"/>
        </w:rPr>
        <w:t xml:space="preserve">Do clients have high or complex needs? How will this service meet those needs? </w:t>
      </w:r>
    </w:p>
    <w:p w14:paraId="3D36DC16" w14:textId="7951CD30" w:rsidR="009B32DA" w:rsidRDefault="0072642D" w:rsidP="00DB24B9">
      <w:pPr>
        <w:pStyle w:val="Heading1"/>
        <w:numPr>
          <w:ilvl w:val="0"/>
          <w:numId w:val="22"/>
        </w:numPr>
      </w:pPr>
      <w:bookmarkStart w:id="17" w:name="_Toc116548597"/>
      <w:r>
        <w:t xml:space="preserve">A new model for </w:t>
      </w:r>
      <w:bookmarkEnd w:id="17"/>
      <w:proofErr w:type="spellStart"/>
      <w:r w:rsidR="0086333E">
        <w:t>xxxx</w:t>
      </w:r>
      <w:proofErr w:type="spellEnd"/>
    </w:p>
    <w:p w14:paraId="05D62F79" w14:textId="61F612D3" w:rsidR="0086333E" w:rsidRPr="0086333E" w:rsidRDefault="0086333E" w:rsidP="00693685">
      <w:pPr>
        <w:pStyle w:val="ListParagraph"/>
        <w:numPr>
          <w:ilvl w:val="0"/>
          <w:numId w:val="48"/>
        </w:numPr>
        <w:spacing w:before="120" w:after="0" w:line="240" w:lineRule="auto"/>
        <w:ind w:left="709" w:hanging="709"/>
        <w:contextualSpacing w:val="0"/>
        <w:rPr>
          <w:szCs w:val="22"/>
          <w:highlight w:val="yellow"/>
        </w:rPr>
      </w:pPr>
      <w:r w:rsidRPr="0086333E">
        <w:rPr>
          <w:szCs w:val="22"/>
          <w:highlight w:val="yellow"/>
        </w:rPr>
        <w:t xml:space="preserve">Will the service be delivered by a new model – like a Central Intake Service? </w:t>
      </w:r>
    </w:p>
    <w:p w14:paraId="1C32D84B" w14:textId="2BB3A8BD" w:rsidR="0086333E" w:rsidRPr="0086333E" w:rsidRDefault="0050456F" w:rsidP="0086333E">
      <w:pPr>
        <w:pStyle w:val="Heading1"/>
        <w:numPr>
          <w:ilvl w:val="0"/>
          <w:numId w:val="22"/>
        </w:numPr>
      </w:pPr>
      <w:bookmarkStart w:id="18" w:name="_Toc116548598"/>
      <w:r>
        <w:t>Conclusion</w:t>
      </w:r>
      <w:bookmarkEnd w:id="18"/>
    </w:p>
    <w:p w14:paraId="3C870036" w14:textId="383D214A" w:rsidR="0050456F" w:rsidRPr="0086333E" w:rsidRDefault="0050456F" w:rsidP="00693685">
      <w:pPr>
        <w:pStyle w:val="ListParagraph"/>
        <w:numPr>
          <w:ilvl w:val="0"/>
          <w:numId w:val="49"/>
        </w:numPr>
        <w:spacing w:before="120" w:after="0" w:line="240" w:lineRule="auto"/>
        <w:ind w:hanging="720"/>
        <w:contextualSpacing w:val="0"/>
        <w:rPr>
          <w:szCs w:val="22"/>
          <w:highlight w:val="yellow"/>
        </w:rPr>
      </w:pPr>
      <w:r w:rsidRPr="0086333E">
        <w:rPr>
          <w:szCs w:val="22"/>
          <w:highlight w:val="yellow"/>
        </w:rPr>
        <w:t>This paper provides the sector with an overview of the government’s intentions for the investment phase of the commissioning process.  It articulates a mix of methods that will be used to make investment decisions and how these decisions were made. It demonstrates how deep engagement of service providers, people with lived experience, and other stakeholders through the first phases of the commissioning cycle has informed the investment phase.</w:t>
      </w:r>
    </w:p>
    <w:p w14:paraId="444EDC4E" w14:textId="265D1E2C" w:rsidR="00C85C74" w:rsidRPr="0086333E" w:rsidRDefault="0050456F" w:rsidP="00693685">
      <w:pPr>
        <w:pStyle w:val="ListParagraph"/>
        <w:numPr>
          <w:ilvl w:val="0"/>
          <w:numId w:val="49"/>
        </w:numPr>
        <w:spacing w:before="120" w:after="0" w:line="240" w:lineRule="auto"/>
        <w:ind w:hanging="720"/>
        <w:contextualSpacing w:val="0"/>
        <w:rPr>
          <w:szCs w:val="22"/>
          <w:highlight w:val="yellow"/>
        </w:rPr>
      </w:pPr>
      <w:r w:rsidRPr="0086333E">
        <w:rPr>
          <w:szCs w:val="22"/>
          <w:highlight w:val="yellow"/>
        </w:rPr>
        <w:t>Commissioning doe</w:t>
      </w:r>
      <w:r w:rsidR="000413BD" w:rsidRPr="0086333E">
        <w:rPr>
          <w:szCs w:val="22"/>
          <w:highlight w:val="yellow"/>
        </w:rPr>
        <w:t>s not</w:t>
      </w:r>
      <w:r w:rsidRPr="0086333E">
        <w:rPr>
          <w:szCs w:val="22"/>
          <w:highlight w:val="yellow"/>
        </w:rPr>
        <w:t xml:space="preserve"> end here.  The delivery phase extends for the life of the contracts and signals a new approach to partnership for delivery of outcomes between government and our funded partners.</w:t>
      </w:r>
    </w:p>
    <w:p w14:paraId="316543BE" w14:textId="404447E3" w:rsidR="00C85C74" w:rsidRPr="004A4134" w:rsidRDefault="00C85C74" w:rsidP="00693685">
      <w:pPr>
        <w:pStyle w:val="ListParagraph"/>
        <w:numPr>
          <w:ilvl w:val="0"/>
          <w:numId w:val="49"/>
        </w:numPr>
        <w:spacing w:before="120" w:after="0" w:line="240" w:lineRule="auto"/>
        <w:ind w:hanging="720"/>
        <w:contextualSpacing w:val="0"/>
        <w:rPr>
          <w:szCs w:val="22"/>
        </w:rPr>
      </w:pPr>
      <w:r w:rsidRPr="004A4134">
        <w:rPr>
          <w:szCs w:val="22"/>
        </w:rPr>
        <w:t xml:space="preserve">Commissioning enables us to continue to be responsive to changing need or circumstances by using the cycle again as required.  A key additional step will be to ensure that the knowledge gained through the </w:t>
      </w:r>
      <w:r w:rsidR="0086333E" w:rsidRPr="0086333E">
        <w:rPr>
          <w:szCs w:val="22"/>
          <w:highlight w:val="yellow"/>
        </w:rPr>
        <w:t>&lt;NAME&gt;</w:t>
      </w:r>
      <w:r w:rsidR="0086333E">
        <w:rPr>
          <w:szCs w:val="22"/>
        </w:rPr>
        <w:t xml:space="preserve"> </w:t>
      </w:r>
      <w:r w:rsidRPr="004A4134">
        <w:rPr>
          <w:szCs w:val="22"/>
        </w:rPr>
        <w:t xml:space="preserve">commissioning cycle is now shared </w:t>
      </w:r>
      <w:r w:rsidR="00755D3F" w:rsidRPr="004A4134">
        <w:rPr>
          <w:szCs w:val="22"/>
        </w:rPr>
        <w:t xml:space="preserve">widely.  It needs to </w:t>
      </w:r>
      <w:r w:rsidRPr="004A4134">
        <w:rPr>
          <w:szCs w:val="22"/>
        </w:rPr>
        <w:t xml:space="preserve">inform other related commissioning cycles, particularly where there are interfaces between the </w:t>
      </w:r>
      <w:r w:rsidR="0086333E" w:rsidRPr="0086333E">
        <w:rPr>
          <w:szCs w:val="22"/>
          <w:highlight w:val="yellow"/>
        </w:rPr>
        <w:t>&lt;NAME&gt;</w:t>
      </w:r>
      <w:r w:rsidRPr="004A4134">
        <w:rPr>
          <w:szCs w:val="22"/>
        </w:rPr>
        <w:t xml:space="preserve"> system and other parts of the human services and health systems. This will ensure </w:t>
      </w:r>
      <w:r w:rsidR="005A153D">
        <w:rPr>
          <w:szCs w:val="22"/>
        </w:rPr>
        <w:t>shared clients</w:t>
      </w:r>
      <w:r w:rsidR="005A153D" w:rsidRPr="004A4134">
        <w:rPr>
          <w:szCs w:val="22"/>
        </w:rPr>
        <w:t xml:space="preserve"> </w:t>
      </w:r>
      <w:r w:rsidRPr="004A4134">
        <w:rPr>
          <w:szCs w:val="22"/>
        </w:rPr>
        <w:t xml:space="preserve">do not need to repeat input they have already provided and </w:t>
      </w:r>
      <w:r w:rsidR="00755D3F" w:rsidRPr="004A4134">
        <w:rPr>
          <w:szCs w:val="22"/>
        </w:rPr>
        <w:t>highlight</w:t>
      </w:r>
      <w:r w:rsidR="001901D6" w:rsidRPr="004A4134">
        <w:rPr>
          <w:szCs w:val="22"/>
        </w:rPr>
        <w:t xml:space="preserve"> the shared responsibility for addressing </w:t>
      </w:r>
      <w:r w:rsidRPr="004A4134">
        <w:rPr>
          <w:szCs w:val="22"/>
        </w:rPr>
        <w:t>interface challenges</w:t>
      </w:r>
      <w:r w:rsidR="001901D6" w:rsidRPr="004A4134">
        <w:rPr>
          <w:szCs w:val="22"/>
        </w:rPr>
        <w:t>.</w:t>
      </w:r>
    </w:p>
    <w:sectPr w:rsidR="00C85C74" w:rsidRPr="004A4134" w:rsidSect="007C34A7">
      <w:headerReference w:type="default" r:id="rId19"/>
      <w:footerReference w:type="default" r:id="rId20"/>
      <w:footerReference w:type="first" r:id="rId21"/>
      <w:type w:val="continuous"/>
      <w:pgSz w:w="11907" w:h="16840" w:code="9"/>
      <w:pgMar w:top="1134" w:right="1134" w:bottom="1702" w:left="1134" w:header="567" w:footer="2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E35E" w14:textId="77777777" w:rsidR="0020760C" w:rsidRDefault="0020760C">
      <w:pPr>
        <w:spacing w:before="0" w:after="0"/>
      </w:pPr>
      <w:r>
        <w:separator/>
      </w:r>
    </w:p>
    <w:p w14:paraId="529D8243" w14:textId="77777777" w:rsidR="0020760C" w:rsidRDefault="0020760C"/>
  </w:endnote>
  <w:endnote w:type="continuationSeparator" w:id="0">
    <w:p w14:paraId="7C54C2B7" w14:textId="77777777" w:rsidR="0020760C" w:rsidRDefault="0020760C">
      <w:pPr>
        <w:spacing w:before="0" w:after="0"/>
      </w:pPr>
      <w:r>
        <w:continuationSeparator/>
      </w:r>
    </w:p>
    <w:p w14:paraId="5ABEF06C" w14:textId="77777777" w:rsidR="0020760C" w:rsidRDefault="00207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5635842"/>
      <w:docPartObj>
        <w:docPartGallery w:val="Page Numbers (Bottom of Page)"/>
        <w:docPartUnique/>
      </w:docPartObj>
    </w:sdtPr>
    <w:sdtEndPr>
      <w:rPr>
        <w:rStyle w:val="PageNumber"/>
      </w:rPr>
    </w:sdtEnd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138035189"/>
      <w:docPartObj>
        <w:docPartGallery w:val="Page Numbers (Bottom of Page)"/>
        <w:docPartUnique/>
      </w:docPartObj>
    </w:sdtPr>
    <w:sdtEndPr>
      <w:rPr>
        <w:rStyle w:val="PageNumber"/>
      </w:rPr>
    </w:sdtEndPr>
    <w:sdtContent>
      <w:p w14:paraId="362FA08C" w14:textId="7D3A4454"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1DCD7035" w:rsidR="000459F7" w:rsidRPr="005561B3" w:rsidRDefault="000A1179" w:rsidP="00786B29">
    <w:pPr>
      <w:pStyle w:val="Footer"/>
      <w:tabs>
        <w:tab w:val="clear" w:pos="3969"/>
      </w:tabs>
      <w:rPr>
        <w:b/>
      </w:rPr>
    </w:pPr>
    <w:r>
      <w:rPr>
        <w:noProof/>
      </w:rPr>
      <w:drawing>
        <wp:anchor distT="0" distB="0" distL="114300" distR="114300" simplePos="0" relativeHeight="251657216" behindDoc="1" locked="0" layoutInCell="1" allowOverlap="1" wp14:anchorId="2F866DD3" wp14:editId="2311D128">
          <wp:simplePos x="0" y="0"/>
          <wp:positionH relativeFrom="column">
            <wp:posOffset>-453390</wp:posOffset>
          </wp:positionH>
          <wp:positionV relativeFrom="paragraph">
            <wp:posOffset>-60960</wp:posOffset>
          </wp:positionV>
          <wp:extent cx="6883200" cy="252000"/>
          <wp:effectExtent l="0" t="0" r="0" b="0"/>
          <wp:wrapNone/>
          <wp:docPr id="1"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483345">
      <w:rPr>
        <w:noProof/>
      </w:rPr>
      <w:t xml:space="preserve"> Community </w:t>
    </w:r>
    <w:r w:rsidR="00786B29">
      <w:rPr>
        <w:noProof/>
      </w:rPr>
      <w:t xml:space="preserve">Services </w:t>
    </w:r>
    <w:r w:rsidR="00483345">
      <w:rPr>
        <w:noProof/>
      </w:rPr>
      <w:t xml:space="preserve"> Directorate</w:t>
    </w:r>
    <w:r w:rsidR="00A50ACF" w:rsidRPr="00723F5C">
      <w:rPr>
        <w:noProof/>
      </w:rPr>
      <w:t xml:space="preserve"> </w:t>
    </w:r>
    <w:r w:rsidR="00723F5C">
      <w:rPr>
        <w:noProof/>
      </w:rPr>
      <w:tab/>
    </w:r>
    <w:r w:rsidR="004D749A">
      <w:rPr>
        <w:noProof/>
      </w:rPr>
      <w:tab/>
    </w:r>
    <w:r w:rsidR="004D749A">
      <w:rPr>
        <w:noProof/>
      </w:rPr>
      <w:tab/>
      <w:t xml:space="preserve"> </w:t>
    </w:r>
    <w:r w:rsidR="004D749A">
      <w:rPr>
        <w:noProof/>
      </w:rPr>
      <w:tab/>
    </w:r>
    <w:r w:rsidR="004D749A">
      <w:rPr>
        <w:noProof/>
      </w:rPr>
      <w:tab/>
    </w:r>
    <w:r w:rsidR="004D749A">
      <w:rPr>
        <w:noProof/>
      </w:rPr>
      <w:tab/>
    </w:r>
    <w:r w:rsidR="004D749A">
      <w:rPr>
        <w:noProof/>
      </w:rPr>
      <w:tab/>
    </w:r>
    <w:r w:rsidR="00786B29">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6D75" w14:textId="09D02F9C" w:rsidR="00FD74DA" w:rsidRPr="004A388F" w:rsidRDefault="00FD74DA" w:rsidP="00FD74DA">
    <w:pPr>
      <w:pStyle w:val="Header"/>
      <w:pBdr>
        <w:top w:val="single" w:sz="4" w:space="1" w:color="auto"/>
      </w:pBdr>
      <w:jc w:val="right"/>
      <w:rPr>
        <w:sz w:val="20"/>
        <w:szCs w:val="16"/>
      </w:rPr>
    </w:pPr>
    <w:r w:rsidRPr="004A388F">
      <w:rPr>
        <w:sz w:val="20"/>
        <w:szCs w:val="16"/>
      </w:rPr>
      <w:t xml:space="preserve">Page </w:t>
    </w:r>
    <w:r w:rsidRPr="004A388F">
      <w:rPr>
        <w:sz w:val="20"/>
        <w:szCs w:val="16"/>
      </w:rPr>
      <w:fldChar w:fldCharType="begin"/>
    </w:r>
    <w:r w:rsidRPr="004A388F">
      <w:rPr>
        <w:sz w:val="20"/>
        <w:szCs w:val="16"/>
      </w:rPr>
      <w:instrText xml:space="preserve"> PAGE </w:instrText>
    </w:r>
    <w:r w:rsidRPr="004A388F">
      <w:rPr>
        <w:sz w:val="20"/>
        <w:szCs w:val="16"/>
      </w:rPr>
      <w:fldChar w:fldCharType="separate"/>
    </w:r>
    <w:r w:rsidRPr="004A388F">
      <w:rPr>
        <w:sz w:val="20"/>
        <w:szCs w:val="16"/>
      </w:rPr>
      <w:t>2</w:t>
    </w:r>
    <w:r w:rsidRPr="004A388F">
      <w:rPr>
        <w:noProof/>
        <w:sz w:val="20"/>
        <w:szCs w:val="16"/>
      </w:rPr>
      <w:fldChar w:fldCharType="end"/>
    </w:r>
    <w:r w:rsidRPr="004A388F">
      <w:rPr>
        <w:sz w:val="20"/>
        <w:szCs w:val="16"/>
      </w:rPr>
      <w:t xml:space="preserve"> of </w:t>
    </w:r>
    <w:r w:rsidRPr="004A388F">
      <w:rPr>
        <w:noProof/>
        <w:sz w:val="20"/>
        <w:szCs w:val="16"/>
      </w:rPr>
      <w:fldChar w:fldCharType="begin"/>
    </w:r>
    <w:r w:rsidRPr="004A388F">
      <w:rPr>
        <w:noProof/>
        <w:sz w:val="20"/>
        <w:szCs w:val="16"/>
      </w:rPr>
      <w:instrText xml:space="preserve"> NUMPAGES  </w:instrText>
    </w:r>
    <w:r w:rsidRPr="004A388F">
      <w:rPr>
        <w:noProof/>
        <w:sz w:val="20"/>
        <w:szCs w:val="16"/>
      </w:rPr>
      <w:fldChar w:fldCharType="separate"/>
    </w:r>
    <w:r w:rsidRPr="004A388F">
      <w:rPr>
        <w:noProof/>
        <w:sz w:val="20"/>
        <w:szCs w:val="16"/>
      </w:rPr>
      <w:t>12</w:t>
    </w:r>
    <w:r w:rsidRPr="004A388F">
      <w:rPr>
        <w:noProof/>
        <w:sz w:val="20"/>
        <w:szCs w:val="16"/>
      </w:rPr>
      <w:fldChar w:fldCharType="end"/>
    </w:r>
  </w:p>
  <w:p w14:paraId="26081496" w14:textId="1571F56D" w:rsidR="00623AB4" w:rsidRPr="00090188" w:rsidRDefault="00623AB4" w:rsidP="0009018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F1FA" w14:textId="34F6929D" w:rsidR="00623AB4" w:rsidRDefault="00623AB4" w:rsidP="00623AB4">
    <w:pPr>
      <w:pStyle w:val="NoSpacing"/>
      <w:jc w:val="cen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71BBA" w14:textId="77777777" w:rsidR="0020760C" w:rsidRDefault="0020760C" w:rsidP="001723F7">
      <w:pPr>
        <w:spacing w:before="0" w:after="0"/>
      </w:pPr>
      <w:r>
        <w:separator/>
      </w:r>
    </w:p>
  </w:footnote>
  <w:footnote w:type="continuationSeparator" w:id="0">
    <w:p w14:paraId="18485022" w14:textId="77777777" w:rsidR="0020760C" w:rsidRDefault="0020760C">
      <w:pPr>
        <w:spacing w:before="0" w:after="0"/>
      </w:pPr>
      <w:r>
        <w:continuationSeparator/>
      </w:r>
    </w:p>
    <w:p w14:paraId="2936D443" w14:textId="77777777" w:rsidR="0020760C" w:rsidRDefault="002076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09AF" w14:textId="5FCD792B" w:rsidR="00E61BB1" w:rsidRDefault="00C329BF">
    <w:pPr>
      <w:pStyle w:val="Header"/>
    </w:pPr>
    <w:r>
      <w:rPr>
        <w:noProof/>
      </w:rPr>
      <w:pict w14:anchorId="68AE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style="position:absolute;margin-left:0;margin-top:0;width:491.1pt;height:694.55pt;z-index:-251658240;mso-wrap-edited:f;mso-position-horizontal:center;mso-position-horizontal-relative:margin;mso-position-vertical:center;mso-position-vertical-relative:margin" o:allowincell="f">
          <v:imagedata r:id="rId1" o:title="ACT_Gov_Templates_Report_bl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D73D" w14:textId="77777777" w:rsidR="00C72116" w:rsidRDefault="00C72116" w:rsidP="00C72116">
    <w:pPr>
      <w:pStyle w:val="Header"/>
      <w:pBdr>
        <w:top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6075" w14:textId="680E4C96" w:rsidR="00623AB4" w:rsidRPr="004A388F" w:rsidRDefault="00581C86" w:rsidP="004A388F">
    <w:pPr>
      <w:pStyle w:val="Header"/>
      <w:pBdr>
        <w:bottom w:val="single" w:sz="4" w:space="1" w:color="auto"/>
      </w:pBdr>
      <w:jc w:val="right"/>
      <w:rPr>
        <w:sz w:val="20"/>
        <w:szCs w:val="16"/>
      </w:rPr>
    </w:pPr>
    <w:r w:rsidRPr="00581C86">
      <w:rPr>
        <w:sz w:val="20"/>
        <w:szCs w:val="16"/>
        <w:highlight w:val="yellow"/>
      </w:rPr>
      <w:t>&lt;COMMISSIONING CYCLE&gt;</w:t>
    </w:r>
    <w:r w:rsidR="004A388F" w:rsidRPr="004A388F">
      <w:rPr>
        <w:sz w:val="20"/>
        <w:szCs w:val="16"/>
      </w:rPr>
      <w:t xml:space="preserve"> </w:t>
    </w:r>
    <w:r w:rsidR="00E509AE">
      <w:rPr>
        <w:sz w:val="20"/>
        <w:szCs w:val="16"/>
      </w:rPr>
      <w:t>Strategic</w:t>
    </w:r>
    <w:r w:rsidR="004A388F" w:rsidRPr="004A388F">
      <w:rPr>
        <w:sz w:val="20"/>
        <w:szCs w:val="16"/>
      </w:rPr>
      <w:t xml:space="preserve"> Investment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5B0"/>
    <w:multiLevelType w:val="hybridMultilevel"/>
    <w:tmpl w:val="11BE098C"/>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576E9E"/>
    <w:multiLevelType w:val="multilevel"/>
    <w:tmpl w:val="402E7EF2"/>
    <w:numStyleLink w:val="AppendixNumbers"/>
  </w:abstractNum>
  <w:abstractNum w:abstractNumId="2" w15:restartNumberingAfterBreak="0">
    <w:nsid w:val="03A04574"/>
    <w:multiLevelType w:val="hybridMultilevel"/>
    <w:tmpl w:val="69DA29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A2786F"/>
    <w:multiLevelType w:val="hybridMultilevel"/>
    <w:tmpl w:val="1CFC4168"/>
    <w:lvl w:ilvl="0" w:tplc="8172560E">
      <w:start w:val="1"/>
      <w:numFmt w:val="decimal"/>
      <w:lvlText w:val="16.1.%1"/>
      <w:lvlJc w:val="left"/>
      <w:pPr>
        <w:ind w:left="720" w:hanging="360"/>
      </w:pPr>
      <w:rPr>
        <w:rFonts w:hint="default"/>
        <w:b w:val="0"/>
        <w:color w:val="auto"/>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980D55"/>
    <w:multiLevelType w:val="hybridMultilevel"/>
    <w:tmpl w:val="5EFEB8B2"/>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3AF41EE"/>
    <w:multiLevelType w:val="hybridMultilevel"/>
    <w:tmpl w:val="24D0AB7A"/>
    <w:lvl w:ilvl="0" w:tplc="CCF2E05C">
      <w:start w:val="1"/>
      <w:numFmt w:val="decimal"/>
      <w:lvlText w:val="10.1.%1"/>
      <w:lvlJc w:val="left"/>
      <w:pPr>
        <w:ind w:left="720" w:hanging="360"/>
      </w:pPr>
      <w:rPr>
        <w:rFonts w:hint="default"/>
        <w:b w:val="0"/>
        <w:i w:val="0"/>
        <w:color w:val="auto"/>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351C35"/>
    <w:multiLevelType w:val="hybridMultilevel"/>
    <w:tmpl w:val="A9C45350"/>
    <w:lvl w:ilvl="0" w:tplc="8E4C669C">
      <w:start w:val="1"/>
      <w:numFmt w:val="decimal"/>
      <w:lvlText w:val="12.1.%1"/>
      <w:lvlJc w:val="left"/>
      <w:pPr>
        <w:ind w:left="720" w:hanging="360"/>
      </w:pPr>
      <w:rPr>
        <w:rFonts w:hint="default"/>
        <w:b w:val="0"/>
        <w:i w:val="0"/>
        <w:color w:val="auto"/>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C83105"/>
    <w:multiLevelType w:val="hybridMultilevel"/>
    <w:tmpl w:val="90BA9194"/>
    <w:lvl w:ilvl="0" w:tplc="9B4E6E10">
      <w:start w:val="1"/>
      <w:numFmt w:val="decimal"/>
      <w:pStyle w:val="List"/>
      <w:lvlText w:val="1.1.%1."/>
      <w:lvlJc w:val="left"/>
      <w:pPr>
        <w:ind w:left="720" w:hanging="360"/>
      </w:pPr>
      <w:rPr>
        <w:rFonts w:hint="default"/>
        <w:b w:val="0"/>
        <w:color w:val="auto"/>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6B7950"/>
    <w:multiLevelType w:val="hybridMultilevel"/>
    <w:tmpl w:val="41F25802"/>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41413B"/>
    <w:multiLevelType w:val="hybridMultilevel"/>
    <w:tmpl w:val="62B2BB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8D443F"/>
    <w:multiLevelType w:val="hybridMultilevel"/>
    <w:tmpl w:val="6AD01FBC"/>
    <w:lvl w:ilvl="0" w:tplc="C5E8C9EA">
      <w:start w:val="1"/>
      <w:numFmt w:val="decimal"/>
      <w:lvlText w:val="3.1.%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A6064A6"/>
    <w:multiLevelType w:val="hybridMultilevel"/>
    <w:tmpl w:val="E45C505A"/>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D264C0"/>
    <w:multiLevelType w:val="hybridMultilevel"/>
    <w:tmpl w:val="EEA4963A"/>
    <w:lvl w:ilvl="0" w:tplc="3B4066AA">
      <w:start w:val="1"/>
      <w:numFmt w:val="decimal"/>
      <w:lvlText w:val="14.1.%1"/>
      <w:lvlJc w:val="left"/>
      <w:pPr>
        <w:ind w:left="720" w:hanging="360"/>
      </w:pPr>
      <w:rPr>
        <w:rFonts w:hint="default"/>
        <w:b w:val="0"/>
        <w:color w:val="auto"/>
        <w:sz w:val="22"/>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7F3438"/>
    <w:multiLevelType w:val="hybridMultilevel"/>
    <w:tmpl w:val="78864A06"/>
    <w:lvl w:ilvl="0" w:tplc="5718AA04">
      <w:start w:val="1"/>
      <w:numFmt w:val="decimal"/>
      <w:lvlText w:val="11.1.%1"/>
      <w:lvlJc w:val="left"/>
      <w:pPr>
        <w:ind w:left="720" w:hanging="360"/>
      </w:pPr>
      <w:rPr>
        <w:rFonts w:hint="default"/>
        <w:b w:val="0"/>
        <w:i w:val="0"/>
        <w:color w:val="auto"/>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A9796F"/>
    <w:multiLevelType w:val="hybridMultilevel"/>
    <w:tmpl w:val="96C20096"/>
    <w:lvl w:ilvl="0" w:tplc="1E3AF35C">
      <w:start w:val="1"/>
      <w:numFmt w:val="decimal"/>
      <w:lvlText w:val="15.1.%1"/>
      <w:lvlJc w:val="left"/>
      <w:pPr>
        <w:ind w:left="720" w:hanging="360"/>
      </w:pPr>
      <w:rPr>
        <w:rFonts w:hint="default"/>
        <w:b w:val="0"/>
        <w:color w:val="auto"/>
        <w:sz w:val="22"/>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AD2ACA"/>
    <w:multiLevelType w:val="hybridMultilevel"/>
    <w:tmpl w:val="A0C8B0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24A7CB2"/>
    <w:multiLevelType w:val="hybridMultilevel"/>
    <w:tmpl w:val="310E40E0"/>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5872B8"/>
    <w:multiLevelType w:val="hybridMultilevel"/>
    <w:tmpl w:val="AC941D52"/>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9B6C70"/>
    <w:multiLevelType w:val="hybridMultilevel"/>
    <w:tmpl w:val="B958F4E6"/>
    <w:lvl w:ilvl="0" w:tplc="A426EFF8">
      <w:start w:val="1"/>
      <w:numFmt w:val="bullet"/>
      <w:pStyle w:val="NormalRedBullet"/>
      <w:lvlText w:val=""/>
      <w:lvlJc w:val="left"/>
      <w:pPr>
        <w:ind w:left="928" w:hanging="360"/>
      </w:pPr>
      <w:rPr>
        <w:rFonts w:ascii="Symbol" w:hAnsi="Symbol" w:hint="default"/>
        <w:color w:val="000000"/>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23"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5" w15:restartNumberingAfterBreak="0">
    <w:nsid w:val="430A2AA5"/>
    <w:multiLevelType w:val="multilevel"/>
    <w:tmpl w:val="99CEF076"/>
    <w:lvl w:ilvl="0">
      <w:start w:val="1"/>
      <w:numFmt w:val="decimal"/>
      <w:pStyle w:val="Schedule1PACT"/>
      <w:lvlText w:val="Schedule %1."/>
      <w:lvlJc w:val="left"/>
      <w:pPr>
        <w:ind w:left="2835" w:hanging="2835"/>
      </w:pPr>
    </w:lvl>
    <w:lvl w:ilvl="1">
      <w:start w:val="1"/>
      <w:numFmt w:val="decimal"/>
      <w:pStyle w:val="1-PACT"/>
      <w:lvlText w:val="%2."/>
      <w:lvlJc w:val="left"/>
      <w:pPr>
        <w:ind w:left="1134" w:hanging="1134"/>
      </w:pPr>
    </w:lvl>
    <w:lvl w:ilvl="2">
      <w:start w:val="1"/>
      <w:numFmt w:val="decimal"/>
      <w:pStyle w:val="11-PACT"/>
      <w:lvlText w:val="%2.%3."/>
      <w:lvlJc w:val="left"/>
      <w:pPr>
        <w:ind w:left="1134" w:hanging="1134"/>
      </w:pPr>
      <w:rPr>
        <w:b w:val="0"/>
        <w:bCs w:val="0"/>
        <w:i w:val="0"/>
        <w:iCs w:val="0"/>
        <w:caps w:val="0"/>
        <w:smallCaps w:val="0"/>
        <w:strike w:val="0"/>
        <w:dstrike w:val="0"/>
        <w:outline w:val="0"/>
        <w:shadow w:val="0"/>
        <w:emboss w:val="0"/>
        <w:imprint w:val="0"/>
        <w:vanish w:val="0"/>
        <w:webHidden w:val="0"/>
        <w:color w:val="482D8C"/>
        <w:spacing w:val="0"/>
        <w:kern w:val="0"/>
        <w:position w:val="0"/>
        <w:u w:val="none"/>
        <w:effect w:val="none"/>
        <w:vertAlign w:val="baseline"/>
        <w:em w:val="none"/>
        <w:specVanish w:val="0"/>
        <w14:ligatures w14:val="none"/>
        <w14:numForm w14:val="default"/>
        <w14:numSpacing w14:val="default"/>
        <w14:stylisticSets/>
        <w14:cntxtAlts w14:val="0"/>
      </w:rPr>
    </w:lvl>
    <w:lvl w:ilvl="3">
      <w:start w:val="1"/>
      <w:numFmt w:val="decimal"/>
      <w:pStyle w:val="111-PACT"/>
      <w:lvlText w:val="%2.%3.%4."/>
      <w:lvlJc w:val="left"/>
      <w:pPr>
        <w:ind w:left="1134" w:hanging="1134"/>
      </w:pPr>
      <w:rPr>
        <w:strike w:val="0"/>
        <w:dstrike w:val="0"/>
        <w:color w:val="auto"/>
        <w:u w:val="none"/>
        <w:effect w:val="none"/>
      </w:rPr>
    </w:lvl>
    <w:lvl w:ilvl="4">
      <w:start w:val="1"/>
      <w:numFmt w:val="lowerLetter"/>
      <w:pStyle w:val="a-PACT"/>
      <w:lvlText w:val="(%5)"/>
      <w:lvlJc w:val="left"/>
      <w:pPr>
        <w:ind w:left="1701" w:hanging="567"/>
      </w:pPr>
      <w:rPr>
        <w:color w:val="auto"/>
      </w:rPr>
    </w:lvl>
    <w:lvl w:ilvl="5">
      <w:start w:val="1"/>
      <w:numFmt w:val="lowerRoman"/>
      <w:pStyle w:val="i-PACT"/>
      <w:lvlText w:val="%6."/>
      <w:lvlJc w:val="left"/>
      <w:pPr>
        <w:ind w:left="2268" w:hanging="567"/>
      </w:pPr>
    </w:lvl>
    <w:lvl w:ilvl="6">
      <w:start w:val="1"/>
      <w:numFmt w:val="decimal"/>
      <w:lvlText w:val="%1.%2.%3.%4.%5.%6.%7."/>
      <w:lvlJc w:val="left"/>
      <w:pPr>
        <w:ind w:left="2835" w:hanging="567"/>
      </w:pPr>
    </w:lvl>
    <w:lvl w:ilvl="7">
      <w:start w:val="1"/>
      <w:numFmt w:val="decimal"/>
      <w:lvlText w:val="%1.%2.%3.%4.%5.%6.%7.%8."/>
      <w:lvlJc w:val="left"/>
      <w:pPr>
        <w:ind w:left="3402" w:hanging="567"/>
      </w:pPr>
    </w:lvl>
    <w:lvl w:ilvl="8">
      <w:start w:val="1"/>
      <w:numFmt w:val="decimal"/>
      <w:lvlText w:val="%1.%2.%3.%4.%5.%6.%7.%8.%9."/>
      <w:lvlJc w:val="left"/>
      <w:pPr>
        <w:ind w:left="3969" w:hanging="567"/>
      </w:pPr>
    </w:lvl>
  </w:abstractNum>
  <w:abstractNum w:abstractNumId="26" w15:restartNumberingAfterBreak="0">
    <w:nsid w:val="45CD7FF5"/>
    <w:multiLevelType w:val="hybridMultilevel"/>
    <w:tmpl w:val="5C4C3AE2"/>
    <w:lvl w:ilvl="0" w:tplc="0C090017">
      <w:start w:val="1"/>
      <w:numFmt w:val="lowerLetter"/>
      <w:lvlText w:val="%1)"/>
      <w:lvlJc w:val="left"/>
      <w:pPr>
        <w:ind w:left="1571" w:hanging="360"/>
      </w:pPr>
      <w:rPr>
        <w:rFonts w:hint="default"/>
      </w:r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start w:val="1"/>
      <w:numFmt w:val="bullet"/>
      <w:lvlText w:val=""/>
      <w:lvlJc w:val="left"/>
      <w:pPr>
        <w:ind w:left="3731" w:hanging="360"/>
      </w:pPr>
      <w:rPr>
        <w:rFonts w:ascii="Symbol" w:hAnsi="Symbol" w:hint="default"/>
      </w:rPr>
    </w:lvl>
    <w:lvl w:ilvl="4" w:tplc="FFFFFFFF">
      <w:start w:val="1"/>
      <w:numFmt w:val="bullet"/>
      <w:lvlText w:val="o"/>
      <w:lvlJc w:val="left"/>
      <w:pPr>
        <w:ind w:left="4451" w:hanging="360"/>
      </w:pPr>
      <w:rPr>
        <w:rFonts w:ascii="Courier New" w:hAnsi="Courier New" w:cs="Courier New" w:hint="default"/>
      </w:rPr>
    </w:lvl>
    <w:lvl w:ilvl="5" w:tplc="FFFFFFFF">
      <w:start w:val="1"/>
      <w:numFmt w:val="bullet"/>
      <w:lvlText w:val=""/>
      <w:lvlJc w:val="left"/>
      <w:pPr>
        <w:ind w:left="5171" w:hanging="360"/>
      </w:pPr>
      <w:rPr>
        <w:rFonts w:ascii="Wingdings" w:hAnsi="Wingdings" w:hint="default"/>
      </w:rPr>
    </w:lvl>
    <w:lvl w:ilvl="6" w:tplc="FFFFFFFF">
      <w:start w:val="1"/>
      <w:numFmt w:val="bullet"/>
      <w:lvlText w:val=""/>
      <w:lvlJc w:val="left"/>
      <w:pPr>
        <w:ind w:left="5891" w:hanging="360"/>
      </w:pPr>
      <w:rPr>
        <w:rFonts w:ascii="Symbol" w:hAnsi="Symbol" w:hint="default"/>
      </w:rPr>
    </w:lvl>
    <w:lvl w:ilvl="7" w:tplc="FFFFFFFF">
      <w:start w:val="1"/>
      <w:numFmt w:val="bullet"/>
      <w:lvlText w:val="o"/>
      <w:lvlJc w:val="left"/>
      <w:pPr>
        <w:ind w:left="6611" w:hanging="360"/>
      </w:pPr>
      <w:rPr>
        <w:rFonts w:ascii="Courier New" w:hAnsi="Courier New" w:cs="Courier New" w:hint="default"/>
      </w:rPr>
    </w:lvl>
    <w:lvl w:ilvl="8" w:tplc="FFFFFFFF">
      <w:start w:val="1"/>
      <w:numFmt w:val="bullet"/>
      <w:lvlText w:val=""/>
      <w:lvlJc w:val="left"/>
      <w:pPr>
        <w:ind w:left="7331" w:hanging="360"/>
      </w:pPr>
      <w:rPr>
        <w:rFonts w:ascii="Wingdings" w:hAnsi="Wingdings" w:hint="default"/>
      </w:rPr>
    </w:lvl>
  </w:abstractNum>
  <w:abstractNum w:abstractNumId="27"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A2C4FC2"/>
    <w:multiLevelType w:val="hybridMultilevel"/>
    <w:tmpl w:val="F5AEA3CC"/>
    <w:lvl w:ilvl="0" w:tplc="44CE0BD4">
      <w:start w:val="1"/>
      <w:numFmt w:val="lowerLetter"/>
      <w:pStyle w:val="bulletalpha"/>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B5D7E37"/>
    <w:multiLevelType w:val="hybridMultilevel"/>
    <w:tmpl w:val="AE0CB144"/>
    <w:lvl w:ilvl="0" w:tplc="FBD4BF2A">
      <w:start w:val="1"/>
      <w:numFmt w:val="decimal"/>
      <w:lvlText w:val="7.1.%1"/>
      <w:lvlJc w:val="left"/>
      <w:pPr>
        <w:ind w:left="720" w:hanging="360"/>
      </w:pPr>
      <w:rPr>
        <w:rFonts w:hint="default"/>
        <w:b w:val="0"/>
        <w:i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5E7141"/>
    <w:multiLevelType w:val="hybridMultilevel"/>
    <w:tmpl w:val="E94A7E1C"/>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D882B74"/>
    <w:multiLevelType w:val="hybridMultilevel"/>
    <w:tmpl w:val="7B527F58"/>
    <w:lvl w:ilvl="0" w:tplc="C9A2D7B6">
      <w:start w:val="1"/>
      <w:numFmt w:val="decimal"/>
      <w:lvlText w:val="9.1.%1"/>
      <w:lvlJc w:val="left"/>
      <w:pPr>
        <w:ind w:left="720" w:hanging="360"/>
      </w:pPr>
      <w:rPr>
        <w:rFonts w:hint="default"/>
        <w:b w:val="0"/>
        <w:color w:val="auto"/>
        <w:sz w:val="22"/>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F9664E9"/>
    <w:multiLevelType w:val="hybridMultilevel"/>
    <w:tmpl w:val="27D0B552"/>
    <w:lvl w:ilvl="0" w:tplc="9C9C7A00">
      <w:start w:val="1"/>
      <w:numFmt w:val="decimal"/>
      <w:lvlText w:val="8.1.%1."/>
      <w:lvlJc w:val="left"/>
      <w:pPr>
        <w:ind w:left="720" w:hanging="360"/>
      </w:pPr>
      <w:rPr>
        <w:rFonts w:hint="default"/>
        <w:b w:val="0"/>
        <w:sz w:val="22"/>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0517343"/>
    <w:multiLevelType w:val="multilevel"/>
    <w:tmpl w:val="131EEC6C"/>
    <w:numStyleLink w:val="TableNumbers"/>
  </w:abstractNum>
  <w:abstractNum w:abstractNumId="34" w15:restartNumberingAfterBreak="0">
    <w:nsid w:val="50E12008"/>
    <w:multiLevelType w:val="multilevel"/>
    <w:tmpl w:val="57D26A18"/>
    <w:numStyleLink w:val="KCBullets"/>
  </w:abstractNum>
  <w:abstractNum w:abstractNumId="35"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563048B"/>
    <w:multiLevelType w:val="multilevel"/>
    <w:tmpl w:val="C284D0B0"/>
    <w:numStyleLink w:val="FigureNumbers"/>
  </w:abstractNum>
  <w:abstractNum w:abstractNumId="38" w15:restartNumberingAfterBreak="0">
    <w:nsid w:val="58F27F68"/>
    <w:multiLevelType w:val="hybridMultilevel"/>
    <w:tmpl w:val="1C0AFFAE"/>
    <w:lvl w:ilvl="0" w:tplc="39AAAEFE">
      <w:start w:val="1"/>
      <w:numFmt w:val="decimal"/>
      <w:lvlText w:val="6.1.%1"/>
      <w:lvlJc w:val="left"/>
      <w:pPr>
        <w:ind w:left="720" w:hanging="360"/>
      </w:pPr>
      <w:rPr>
        <w:rFonts w:hint="default"/>
        <w:b w:val="0"/>
        <w:i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BE41240"/>
    <w:multiLevelType w:val="hybridMultilevel"/>
    <w:tmpl w:val="AF5CCD7C"/>
    <w:lvl w:ilvl="0" w:tplc="3052FF44">
      <w:start w:val="1"/>
      <w:numFmt w:val="decimal"/>
      <w:lvlText w:val="5.1.%1."/>
      <w:lvlJc w:val="left"/>
      <w:pPr>
        <w:ind w:left="720" w:hanging="360"/>
      </w:pPr>
      <w:rPr>
        <w:rFonts w:hint="default"/>
        <w:b w:val="0"/>
        <w:i w:val="0"/>
        <w:color w:val="auto"/>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E966298"/>
    <w:multiLevelType w:val="hybridMultilevel"/>
    <w:tmpl w:val="FB3E3810"/>
    <w:lvl w:ilvl="0" w:tplc="13223F52">
      <w:start w:val="1"/>
      <w:numFmt w:val="decimal"/>
      <w:pStyle w:val="Heading1"/>
      <w:lvlText w:val="%1."/>
      <w:lvlJc w:val="left"/>
      <w:pPr>
        <w:ind w:left="360" w:hanging="360"/>
      </w:pPr>
    </w:lvl>
    <w:lvl w:ilvl="1" w:tplc="0298DA6C">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FBF74BC"/>
    <w:multiLevelType w:val="hybridMultilevel"/>
    <w:tmpl w:val="2FA640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613B579C"/>
    <w:multiLevelType w:val="hybridMultilevel"/>
    <w:tmpl w:val="501CCDEE"/>
    <w:lvl w:ilvl="0" w:tplc="4238AAFE">
      <w:start w:val="1"/>
      <w:numFmt w:val="decimal"/>
      <w:lvlText w:val="13.1.%1"/>
      <w:lvlJc w:val="left"/>
      <w:pPr>
        <w:ind w:left="720" w:hanging="360"/>
      </w:pPr>
      <w:rPr>
        <w:rFonts w:hint="default"/>
        <w:b w:val="0"/>
        <w:color w:val="auto"/>
        <w:sz w:val="22"/>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16A5DAF"/>
    <w:multiLevelType w:val="hybridMultilevel"/>
    <w:tmpl w:val="B6E0368E"/>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4" w15:restartNumberingAfterBreak="0">
    <w:nsid w:val="64F016FB"/>
    <w:multiLevelType w:val="hybridMultilevel"/>
    <w:tmpl w:val="84AE9B2E"/>
    <w:lvl w:ilvl="0" w:tplc="EED4DFB8">
      <w:start w:val="1"/>
      <w:numFmt w:val="decimal"/>
      <w:lvlText w:val="2.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72845EF"/>
    <w:multiLevelType w:val="hybridMultilevel"/>
    <w:tmpl w:val="B6AEA346"/>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B52725C"/>
    <w:multiLevelType w:val="hybridMultilevel"/>
    <w:tmpl w:val="24A2D254"/>
    <w:lvl w:ilvl="0" w:tplc="0B983A28">
      <w:start w:val="1"/>
      <w:numFmt w:val="decimal"/>
      <w:lvlText w:val="4.1.%1"/>
      <w:lvlJc w:val="left"/>
      <w:pPr>
        <w:ind w:left="720" w:hanging="360"/>
      </w:pPr>
      <w:rPr>
        <w:rFonts w:hint="default"/>
        <w:b w:val="0"/>
        <w:color w:val="auto"/>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F6F4461"/>
    <w:multiLevelType w:val="hybridMultilevel"/>
    <w:tmpl w:val="507E4968"/>
    <w:lvl w:ilvl="0" w:tplc="509CF1E8">
      <w:start w:val="1"/>
      <w:numFmt w:val="decimal"/>
      <w:lvlText w:val="17.1.%1"/>
      <w:lvlJc w:val="left"/>
      <w:pPr>
        <w:ind w:left="720" w:hanging="360"/>
      </w:pPr>
      <w:rPr>
        <w:rFonts w:hint="default"/>
        <w:color w:val="auto"/>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7AC5370"/>
    <w:multiLevelType w:val="hybridMultilevel"/>
    <w:tmpl w:val="9F0879AE"/>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D30667B"/>
    <w:multiLevelType w:val="hybridMultilevel"/>
    <w:tmpl w:val="F7FC1858"/>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1375735923">
    <w:abstractNumId w:val="14"/>
  </w:num>
  <w:num w:numId="2" w16cid:durableId="540099102">
    <w:abstractNumId w:val="27"/>
  </w:num>
  <w:num w:numId="3" w16cid:durableId="931165910">
    <w:abstractNumId w:val="47"/>
  </w:num>
  <w:num w:numId="4" w16cid:durableId="538129790">
    <w:abstractNumId w:val="51"/>
  </w:num>
  <w:num w:numId="5" w16cid:durableId="756554858">
    <w:abstractNumId w:val="5"/>
  </w:num>
  <w:num w:numId="6" w16cid:durableId="1148398259">
    <w:abstractNumId w:val="34"/>
  </w:num>
  <w:num w:numId="7" w16cid:durableId="1737975280">
    <w:abstractNumId w:val="28"/>
  </w:num>
  <w:num w:numId="8" w16cid:durableId="101148886">
    <w:abstractNumId w:val="23"/>
  </w:num>
  <w:num w:numId="9" w16cid:durableId="759791494">
    <w:abstractNumId w:val="24"/>
  </w:num>
  <w:num w:numId="10" w16cid:durableId="735510749">
    <w:abstractNumId w:val="10"/>
  </w:num>
  <w:num w:numId="11" w16cid:durableId="1332878417">
    <w:abstractNumId w:val="37"/>
  </w:num>
  <w:num w:numId="12" w16cid:durableId="1513252963">
    <w:abstractNumId w:val="36"/>
  </w:num>
  <w:num w:numId="13" w16cid:durableId="1142888030">
    <w:abstractNumId w:val="12"/>
  </w:num>
  <w:num w:numId="14" w16cid:durableId="1852141077">
    <w:abstractNumId w:val="33"/>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2122068688">
    <w:abstractNumId w:val="1"/>
  </w:num>
  <w:num w:numId="16" w16cid:durableId="773210211">
    <w:abstractNumId w:val="35"/>
  </w:num>
  <w:num w:numId="17" w16cid:durableId="1518495968">
    <w:abstractNumId w:val="22"/>
  </w:num>
  <w:num w:numId="18" w16cid:durableId="1866358179">
    <w:abstractNumId w:val="8"/>
  </w:num>
  <w:num w:numId="19" w16cid:durableId="135069890">
    <w:abstractNumId w:val="25"/>
  </w:num>
  <w:num w:numId="20" w16cid:durableId="2060592083">
    <w:abstractNumId w:val="21"/>
  </w:num>
  <w:num w:numId="21" w16cid:durableId="715083750">
    <w:abstractNumId w:val="40"/>
  </w:num>
  <w:num w:numId="22" w16cid:durableId="2125076179">
    <w:abstractNumId w:val="40"/>
    <w:lvlOverride w:ilvl="0">
      <w:startOverride w:val="1"/>
    </w:lvlOverride>
  </w:num>
  <w:num w:numId="23" w16cid:durableId="1917930620">
    <w:abstractNumId w:val="44"/>
  </w:num>
  <w:num w:numId="24" w16cid:durableId="276959348">
    <w:abstractNumId w:val="15"/>
  </w:num>
  <w:num w:numId="25" w16cid:durableId="912010603">
    <w:abstractNumId w:val="4"/>
  </w:num>
  <w:num w:numId="26" w16cid:durableId="463275046">
    <w:abstractNumId w:val="43"/>
  </w:num>
  <w:num w:numId="27" w16cid:durableId="872108408">
    <w:abstractNumId w:val="9"/>
  </w:num>
  <w:num w:numId="28" w16cid:durableId="132211232">
    <w:abstractNumId w:val="13"/>
  </w:num>
  <w:num w:numId="29" w16cid:durableId="928394423">
    <w:abstractNumId w:val="26"/>
  </w:num>
  <w:num w:numId="30" w16cid:durableId="217009870">
    <w:abstractNumId w:val="46"/>
  </w:num>
  <w:num w:numId="31" w16cid:durableId="1195312970">
    <w:abstractNumId w:val="39"/>
  </w:num>
  <w:num w:numId="32" w16cid:durableId="401636639">
    <w:abstractNumId w:val="30"/>
  </w:num>
  <w:num w:numId="33" w16cid:durableId="1532255711">
    <w:abstractNumId w:val="50"/>
  </w:num>
  <w:num w:numId="34" w16cid:durableId="2127039193">
    <w:abstractNumId w:val="38"/>
  </w:num>
  <w:num w:numId="35" w16cid:durableId="1769227707">
    <w:abstractNumId w:val="29"/>
  </w:num>
  <w:num w:numId="36" w16cid:durableId="114638932">
    <w:abstractNumId w:val="20"/>
  </w:num>
  <w:num w:numId="37" w16cid:durableId="700715210">
    <w:abstractNumId w:val="32"/>
  </w:num>
  <w:num w:numId="38" w16cid:durableId="1671905309">
    <w:abstractNumId w:val="31"/>
  </w:num>
  <w:num w:numId="39" w16cid:durableId="545416594">
    <w:abstractNumId w:val="45"/>
  </w:num>
  <w:num w:numId="40" w16cid:durableId="1526405038">
    <w:abstractNumId w:val="6"/>
  </w:num>
  <w:num w:numId="41" w16cid:durableId="642195559">
    <w:abstractNumId w:val="49"/>
  </w:num>
  <w:num w:numId="42" w16cid:durableId="2028555536">
    <w:abstractNumId w:val="17"/>
  </w:num>
  <w:num w:numId="43" w16cid:durableId="806704824">
    <w:abstractNumId w:val="7"/>
  </w:num>
  <w:num w:numId="44" w16cid:durableId="736631838">
    <w:abstractNumId w:val="42"/>
  </w:num>
  <w:num w:numId="45" w16cid:durableId="644244200">
    <w:abstractNumId w:val="16"/>
  </w:num>
  <w:num w:numId="46" w16cid:durableId="962076634">
    <w:abstractNumId w:val="18"/>
  </w:num>
  <w:num w:numId="47" w16cid:durableId="1453161013">
    <w:abstractNumId w:val="0"/>
  </w:num>
  <w:num w:numId="48" w16cid:durableId="1262027732">
    <w:abstractNumId w:val="3"/>
  </w:num>
  <w:num w:numId="49" w16cid:durableId="811485685">
    <w:abstractNumId w:val="48"/>
  </w:num>
  <w:num w:numId="50" w16cid:durableId="2093813567">
    <w:abstractNumId w:val="19"/>
  </w:num>
  <w:num w:numId="51" w16cid:durableId="1431511871">
    <w:abstractNumId w:val="41"/>
  </w:num>
  <w:num w:numId="52" w16cid:durableId="515119355">
    <w:abstractNumId w:val="2"/>
  </w:num>
  <w:num w:numId="53" w16cid:durableId="1845316653">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159F"/>
    <w:rsid w:val="00002A83"/>
    <w:rsid w:val="00002AF7"/>
    <w:rsid w:val="00002E80"/>
    <w:rsid w:val="000067E5"/>
    <w:rsid w:val="00006FFC"/>
    <w:rsid w:val="0001033F"/>
    <w:rsid w:val="00011180"/>
    <w:rsid w:val="00013E34"/>
    <w:rsid w:val="000148A1"/>
    <w:rsid w:val="00015E1E"/>
    <w:rsid w:val="000166E2"/>
    <w:rsid w:val="00024DB8"/>
    <w:rsid w:val="00025CB4"/>
    <w:rsid w:val="00030F0F"/>
    <w:rsid w:val="00033095"/>
    <w:rsid w:val="00033B8B"/>
    <w:rsid w:val="00034451"/>
    <w:rsid w:val="00036E8E"/>
    <w:rsid w:val="00036FBB"/>
    <w:rsid w:val="000409CC"/>
    <w:rsid w:val="00041229"/>
    <w:rsid w:val="000413BD"/>
    <w:rsid w:val="00042315"/>
    <w:rsid w:val="000439B9"/>
    <w:rsid w:val="000459F7"/>
    <w:rsid w:val="0004651A"/>
    <w:rsid w:val="000468A5"/>
    <w:rsid w:val="00046C7E"/>
    <w:rsid w:val="00047A2F"/>
    <w:rsid w:val="00050E3C"/>
    <w:rsid w:val="0005202D"/>
    <w:rsid w:val="00052CE2"/>
    <w:rsid w:val="00052E3C"/>
    <w:rsid w:val="000540F8"/>
    <w:rsid w:val="0005427C"/>
    <w:rsid w:val="00060883"/>
    <w:rsid w:val="00061209"/>
    <w:rsid w:val="00061CB7"/>
    <w:rsid w:val="00062FC3"/>
    <w:rsid w:val="00063F53"/>
    <w:rsid w:val="00067AB9"/>
    <w:rsid w:val="00067E3F"/>
    <w:rsid w:val="00067F06"/>
    <w:rsid w:val="00067FA8"/>
    <w:rsid w:val="00070352"/>
    <w:rsid w:val="00070C45"/>
    <w:rsid w:val="000772E8"/>
    <w:rsid w:val="00080696"/>
    <w:rsid w:val="00080A08"/>
    <w:rsid w:val="000815FE"/>
    <w:rsid w:val="00082C1E"/>
    <w:rsid w:val="00090659"/>
    <w:rsid w:val="00093948"/>
    <w:rsid w:val="000945FC"/>
    <w:rsid w:val="000977F2"/>
    <w:rsid w:val="000A1179"/>
    <w:rsid w:val="000A2753"/>
    <w:rsid w:val="000A31F3"/>
    <w:rsid w:val="000A5858"/>
    <w:rsid w:val="000A6F7E"/>
    <w:rsid w:val="000B192F"/>
    <w:rsid w:val="000B357A"/>
    <w:rsid w:val="000B359C"/>
    <w:rsid w:val="000B416C"/>
    <w:rsid w:val="000B5A89"/>
    <w:rsid w:val="000B64FF"/>
    <w:rsid w:val="000B7423"/>
    <w:rsid w:val="000B79ED"/>
    <w:rsid w:val="000C124F"/>
    <w:rsid w:val="000C6941"/>
    <w:rsid w:val="000D3642"/>
    <w:rsid w:val="000D3DE7"/>
    <w:rsid w:val="000D409C"/>
    <w:rsid w:val="000D473E"/>
    <w:rsid w:val="000D5635"/>
    <w:rsid w:val="000D64AA"/>
    <w:rsid w:val="000D7B2A"/>
    <w:rsid w:val="000E01B8"/>
    <w:rsid w:val="000E11E7"/>
    <w:rsid w:val="000E35A9"/>
    <w:rsid w:val="000E523B"/>
    <w:rsid w:val="000E6B4A"/>
    <w:rsid w:val="000F1369"/>
    <w:rsid w:val="000F3C70"/>
    <w:rsid w:val="000F489D"/>
    <w:rsid w:val="000F58E3"/>
    <w:rsid w:val="000F6C81"/>
    <w:rsid w:val="000F7076"/>
    <w:rsid w:val="00100416"/>
    <w:rsid w:val="00103C68"/>
    <w:rsid w:val="0010655A"/>
    <w:rsid w:val="0011082B"/>
    <w:rsid w:val="00112A3D"/>
    <w:rsid w:val="00113337"/>
    <w:rsid w:val="00116A4B"/>
    <w:rsid w:val="001202BC"/>
    <w:rsid w:val="00120DB6"/>
    <w:rsid w:val="001221C2"/>
    <w:rsid w:val="00122B4D"/>
    <w:rsid w:val="00125E59"/>
    <w:rsid w:val="00126A84"/>
    <w:rsid w:val="001274ED"/>
    <w:rsid w:val="00137F41"/>
    <w:rsid w:val="00140E63"/>
    <w:rsid w:val="001411B2"/>
    <w:rsid w:val="001456B1"/>
    <w:rsid w:val="00146D8C"/>
    <w:rsid w:val="00147183"/>
    <w:rsid w:val="00147648"/>
    <w:rsid w:val="00147A4B"/>
    <w:rsid w:val="001509FD"/>
    <w:rsid w:val="00152710"/>
    <w:rsid w:val="001569D0"/>
    <w:rsid w:val="0016024F"/>
    <w:rsid w:val="00161B06"/>
    <w:rsid w:val="001628EB"/>
    <w:rsid w:val="001659C3"/>
    <w:rsid w:val="00165D31"/>
    <w:rsid w:val="001723F7"/>
    <w:rsid w:val="00177AC2"/>
    <w:rsid w:val="00182264"/>
    <w:rsid w:val="00182F29"/>
    <w:rsid w:val="00183FC6"/>
    <w:rsid w:val="0018551C"/>
    <w:rsid w:val="00185CCE"/>
    <w:rsid w:val="00185FE1"/>
    <w:rsid w:val="00186490"/>
    <w:rsid w:val="001868B5"/>
    <w:rsid w:val="001901D6"/>
    <w:rsid w:val="001901D9"/>
    <w:rsid w:val="0019032A"/>
    <w:rsid w:val="00190528"/>
    <w:rsid w:val="00195BBE"/>
    <w:rsid w:val="001A6487"/>
    <w:rsid w:val="001A7172"/>
    <w:rsid w:val="001A7D21"/>
    <w:rsid w:val="001B0DA3"/>
    <w:rsid w:val="001B2D33"/>
    <w:rsid w:val="001B4763"/>
    <w:rsid w:val="001B5152"/>
    <w:rsid w:val="001B5B9D"/>
    <w:rsid w:val="001B6B20"/>
    <w:rsid w:val="001B6E8E"/>
    <w:rsid w:val="001C0082"/>
    <w:rsid w:val="001C5977"/>
    <w:rsid w:val="001D0003"/>
    <w:rsid w:val="001D03E6"/>
    <w:rsid w:val="001D0CB2"/>
    <w:rsid w:val="001D47FB"/>
    <w:rsid w:val="001E00FC"/>
    <w:rsid w:val="001E0980"/>
    <w:rsid w:val="001E0C4D"/>
    <w:rsid w:val="001E0F16"/>
    <w:rsid w:val="001E174B"/>
    <w:rsid w:val="001E2685"/>
    <w:rsid w:val="001E6D0F"/>
    <w:rsid w:val="001F14CD"/>
    <w:rsid w:val="001F2EBF"/>
    <w:rsid w:val="001F38B3"/>
    <w:rsid w:val="001F5368"/>
    <w:rsid w:val="001F5A1E"/>
    <w:rsid w:val="00200493"/>
    <w:rsid w:val="00206AF0"/>
    <w:rsid w:val="00207295"/>
    <w:rsid w:val="0020760C"/>
    <w:rsid w:val="00212FE1"/>
    <w:rsid w:val="00214621"/>
    <w:rsid w:val="002151D4"/>
    <w:rsid w:val="00216914"/>
    <w:rsid w:val="002220C0"/>
    <w:rsid w:val="0022284A"/>
    <w:rsid w:val="00222B9C"/>
    <w:rsid w:val="00222C35"/>
    <w:rsid w:val="002246A4"/>
    <w:rsid w:val="00224A6B"/>
    <w:rsid w:val="00225168"/>
    <w:rsid w:val="00225D81"/>
    <w:rsid w:val="00226D92"/>
    <w:rsid w:val="00227DEA"/>
    <w:rsid w:val="00232D72"/>
    <w:rsid w:val="00243DFE"/>
    <w:rsid w:val="00245622"/>
    <w:rsid w:val="002456B4"/>
    <w:rsid w:val="002519BD"/>
    <w:rsid w:val="00253ACB"/>
    <w:rsid w:val="00254EE3"/>
    <w:rsid w:val="0025564E"/>
    <w:rsid w:val="00257E4B"/>
    <w:rsid w:val="00260282"/>
    <w:rsid w:val="00264497"/>
    <w:rsid w:val="00272E11"/>
    <w:rsid w:val="00273FD1"/>
    <w:rsid w:val="002754B6"/>
    <w:rsid w:val="00277AF5"/>
    <w:rsid w:val="0028052C"/>
    <w:rsid w:val="00284B1E"/>
    <w:rsid w:val="00284C68"/>
    <w:rsid w:val="0028772E"/>
    <w:rsid w:val="002901DC"/>
    <w:rsid w:val="002903A5"/>
    <w:rsid w:val="00290922"/>
    <w:rsid w:val="00291845"/>
    <w:rsid w:val="00292832"/>
    <w:rsid w:val="002A0931"/>
    <w:rsid w:val="002A3C2D"/>
    <w:rsid w:val="002A47C5"/>
    <w:rsid w:val="002A47F8"/>
    <w:rsid w:val="002B1F30"/>
    <w:rsid w:val="002B3A89"/>
    <w:rsid w:val="002B4201"/>
    <w:rsid w:val="002B6770"/>
    <w:rsid w:val="002C2C9A"/>
    <w:rsid w:val="002C40CE"/>
    <w:rsid w:val="002C494E"/>
    <w:rsid w:val="002C4BD6"/>
    <w:rsid w:val="002D0C44"/>
    <w:rsid w:val="002D3D10"/>
    <w:rsid w:val="002D5F6C"/>
    <w:rsid w:val="002D741F"/>
    <w:rsid w:val="002D7E91"/>
    <w:rsid w:val="002E15CE"/>
    <w:rsid w:val="002E54EC"/>
    <w:rsid w:val="002E5AF0"/>
    <w:rsid w:val="002E5B30"/>
    <w:rsid w:val="002E72ED"/>
    <w:rsid w:val="002F0652"/>
    <w:rsid w:val="002F14F6"/>
    <w:rsid w:val="002F4845"/>
    <w:rsid w:val="002F639E"/>
    <w:rsid w:val="00300CCC"/>
    <w:rsid w:val="003035F1"/>
    <w:rsid w:val="003037D0"/>
    <w:rsid w:val="00306EC7"/>
    <w:rsid w:val="0031029F"/>
    <w:rsid w:val="0031221A"/>
    <w:rsid w:val="0031298B"/>
    <w:rsid w:val="003144A1"/>
    <w:rsid w:val="00316C30"/>
    <w:rsid w:val="00325808"/>
    <w:rsid w:val="0032718E"/>
    <w:rsid w:val="003273EB"/>
    <w:rsid w:val="00327C98"/>
    <w:rsid w:val="00334042"/>
    <w:rsid w:val="0033488F"/>
    <w:rsid w:val="003355AA"/>
    <w:rsid w:val="00340363"/>
    <w:rsid w:val="003418BE"/>
    <w:rsid w:val="003435A9"/>
    <w:rsid w:val="003452E4"/>
    <w:rsid w:val="00350A19"/>
    <w:rsid w:val="00350BBA"/>
    <w:rsid w:val="003512DE"/>
    <w:rsid w:val="00357013"/>
    <w:rsid w:val="00360481"/>
    <w:rsid w:val="003633D4"/>
    <w:rsid w:val="003677B1"/>
    <w:rsid w:val="00370197"/>
    <w:rsid w:val="00371114"/>
    <w:rsid w:val="00371DB7"/>
    <w:rsid w:val="003721D4"/>
    <w:rsid w:val="003722F1"/>
    <w:rsid w:val="00373693"/>
    <w:rsid w:val="00376982"/>
    <w:rsid w:val="00381149"/>
    <w:rsid w:val="00382CED"/>
    <w:rsid w:val="00385761"/>
    <w:rsid w:val="00386324"/>
    <w:rsid w:val="00386B33"/>
    <w:rsid w:val="00386FE4"/>
    <w:rsid w:val="0039075C"/>
    <w:rsid w:val="003908E5"/>
    <w:rsid w:val="00391887"/>
    <w:rsid w:val="003942B4"/>
    <w:rsid w:val="00395563"/>
    <w:rsid w:val="00396F98"/>
    <w:rsid w:val="003A0CC4"/>
    <w:rsid w:val="003A12EE"/>
    <w:rsid w:val="003A148A"/>
    <w:rsid w:val="003A1497"/>
    <w:rsid w:val="003A2050"/>
    <w:rsid w:val="003A4765"/>
    <w:rsid w:val="003A5449"/>
    <w:rsid w:val="003A5E33"/>
    <w:rsid w:val="003A74DD"/>
    <w:rsid w:val="003B4079"/>
    <w:rsid w:val="003B42E5"/>
    <w:rsid w:val="003B7CE2"/>
    <w:rsid w:val="003C0B38"/>
    <w:rsid w:val="003C2BC2"/>
    <w:rsid w:val="003C3BAF"/>
    <w:rsid w:val="003C3D01"/>
    <w:rsid w:val="003C4BF0"/>
    <w:rsid w:val="003C4D86"/>
    <w:rsid w:val="003C5CA1"/>
    <w:rsid w:val="003C5ED1"/>
    <w:rsid w:val="003D22DE"/>
    <w:rsid w:val="003D26ED"/>
    <w:rsid w:val="003D4137"/>
    <w:rsid w:val="003D6B00"/>
    <w:rsid w:val="003E232D"/>
    <w:rsid w:val="003E42E0"/>
    <w:rsid w:val="003E45FA"/>
    <w:rsid w:val="003E4738"/>
    <w:rsid w:val="003F0AFC"/>
    <w:rsid w:val="003F1850"/>
    <w:rsid w:val="003F440B"/>
    <w:rsid w:val="003F5486"/>
    <w:rsid w:val="003F6C33"/>
    <w:rsid w:val="003F7835"/>
    <w:rsid w:val="00401DFD"/>
    <w:rsid w:val="004020B1"/>
    <w:rsid w:val="00402516"/>
    <w:rsid w:val="00402C25"/>
    <w:rsid w:val="00403623"/>
    <w:rsid w:val="00405565"/>
    <w:rsid w:val="00405778"/>
    <w:rsid w:val="004100BC"/>
    <w:rsid w:val="0041086B"/>
    <w:rsid w:val="00410DB1"/>
    <w:rsid w:val="00415667"/>
    <w:rsid w:val="00416498"/>
    <w:rsid w:val="00417870"/>
    <w:rsid w:val="00420A2A"/>
    <w:rsid w:val="004212A4"/>
    <w:rsid w:val="004235A7"/>
    <w:rsid w:val="00423CA3"/>
    <w:rsid w:val="004244E6"/>
    <w:rsid w:val="00425FF0"/>
    <w:rsid w:val="00430784"/>
    <w:rsid w:val="00431B90"/>
    <w:rsid w:val="00435884"/>
    <w:rsid w:val="00435E6A"/>
    <w:rsid w:val="00441160"/>
    <w:rsid w:val="00441D11"/>
    <w:rsid w:val="00442B9C"/>
    <w:rsid w:val="00443784"/>
    <w:rsid w:val="00444579"/>
    <w:rsid w:val="0044482D"/>
    <w:rsid w:val="00454420"/>
    <w:rsid w:val="00455360"/>
    <w:rsid w:val="00457A95"/>
    <w:rsid w:val="00460520"/>
    <w:rsid w:val="00462830"/>
    <w:rsid w:val="004634C5"/>
    <w:rsid w:val="00465ECA"/>
    <w:rsid w:val="0046681C"/>
    <w:rsid w:val="004670B2"/>
    <w:rsid w:val="0046797D"/>
    <w:rsid w:val="00470DB3"/>
    <w:rsid w:val="00471BF4"/>
    <w:rsid w:val="00472B05"/>
    <w:rsid w:val="00473ED1"/>
    <w:rsid w:val="004779EA"/>
    <w:rsid w:val="00480801"/>
    <w:rsid w:val="00481CB2"/>
    <w:rsid w:val="0048305D"/>
    <w:rsid w:val="00483345"/>
    <w:rsid w:val="00483F8D"/>
    <w:rsid w:val="00484923"/>
    <w:rsid w:val="00493D80"/>
    <w:rsid w:val="00495309"/>
    <w:rsid w:val="00495C6A"/>
    <w:rsid w:val="004A003A"/>
    <w:rsid w:val="004A388F"/>
    <w:rsid w:val="004A4134"/>
    <w:rsid w:val="004A4652"/>
    <w:rsid w:val="004A4DD8"/>
    <w:rsid w:val="004A501E"/>
    <w:rsid w:val="004A5A93"/>
    <w:rsid w:val="004A6470"/>
    <w:rsid w:val="004A7B2F"/>
    <w:rsid w:val="004B03AD"/>
    <w:rsid w:val="004B36EB"/>
    <w:rsid w:val="004B44FE"/>
    <w:rsid w:val="004B4F16"/>
    <w:rsid w:val="004B7F23"/>
    <w:rsid w:val="004C59F7"/>
    <w:rsid w:val="004D0A9C"/>
    <w:rsid w:val="004D113F"/>
    <w:rsid w:val="004D2E2C"/>
    <w:rsid w:val="004D749A"/>
    <w:rsid w:val="004E0C46"/>
    <w:rsid w:val="004E3BF4"/>
    <w:rsid w:val="004E4E46"/>
    <w:rsid w:val="004E501E"/>
    <w:rsid w:val="004E5B32"/>
    <w:rsid w:val="004E6622"/>
    <w:rsid w:val="004E720C"/>
    <w:rsid w:val="004F34E6"/>
    <w:rsid w:val="004F3F45"/>
    <w:rsid w:val="004F65EA"/>
    <w:rsid w:val="00500C7F"/>
    <w:rsid w:val="00503A25"/>
    <w:rsid w:val="00503BA7"/>
    <w:rsid w:val="0050456F"/>
    <w:rsid w:val="00510DEA"/>
    <w:rsid w:val="00511720"/>
    <w:rsid w:val="00513CD6"/>
    <w:rsid w:val="00514C3A"/>
    <w:rsid w:val="00515C14"/>
    <w:rsid w:val="00517864"/>
    <w:rsid w:val="005239B3"/>
    <w:rsid w:val="00525465"/>
    <w:rsid w:val="005331E2"/>
    <w:rsid w:val="00534CCC"/>
    <w:rsid w:val="0053613A"/>
    <w:rsid w:val="00536956"/>
    <w:rsid w:val="00541AB8"/>
    <w:rsid w:val="00544D0B"/>
    <w:rsid w:val="00545100"/>
    <w:rsid w:val="00550867"/>
    <w:rsid w:val="0055278D"/>
    <w:rsid w:val="00555ED7"/>
    <w:rsid w:val="005561B3"/>
    <w:rsid w:val="00557502"/>
    <w:rsid w:val="005600CB"/>
    <w:rsid w:val="00561662"/>
    <w:rsid w:val="00564033"/>
    <w:rsid w:val="00564C40"/>
    <w:rsid w:val="00565FB4"/>
    <w:rsid w:val="00566404"/>
    <w:rsid w:val="00567695"/>
    <w:rsid w:val="00572530"/>
    <w:rsid w:val="00577972"/>
    <w:rsid w:val="00581C86"/>
    <w:rsid w:val="0058437E"/>
    <w:rsid w:val="0058476B"/>
    <w:rsid w:val="005847B8"/>
    <w:rsid w:val="00586F3A"/>
    <w:rsid w:val="00587343"/>
    <w:rsid w:val="00587E63"/>
    <w:rsid w:val="005908CE"/>
    <w:rsid w:val="00590F62"/>
    <w:rsid w:val="0059219A"/>
    <w:rsid w:val="005921C2"/>
    <w:rsid w:val="005929CA"/>
    <w:rsid w:val="00593F35"/>
    <w:rsid w:val="005951BD"/>
    <w:rsid w:val="005970FF"/>
    <w:rsid w:val="005A153D"/>
    <w:rsid w:val="005A4883"/>
    <w:rsid w:val="005A4F2B"/>
    <w:rsid w:val="005B1F3C"/>
    <w:rsid w:val="005B458D"/>
    <w:rsid w:val="005B6770"/>
    <w:rsid w:val="005B6FCE"/>
    <w:rsid w:val="005B7B67"/>
    <w:rsid w:val="005C2352"/>
    <w:rsid w:val="005C302A"/>
    <w:rsid w:val="005C564F"/>
    <w:rsid w:val="005D23F2"/>
    <w:rsid w:val="005D314B"/>
    <w:rsid w:val="005D37BD"/>
    <w:rsid w:val="005D3D59"/>
    <w:rsid w:val="005D3F6F"/>
    <w:rsid w:val="005D525C"/>
    <w:rsid w:val="005D5A3F"/>
    <w:rsid w:val="005D5ABB"/>
    <w:rsid w:val="005D72E2"/>
    <w:rsid w:val="005D78BC"/>
    <w:rsid w:val="005E1406"/>
    <w:rsid w:val="005E210D"/>
    <w:rsid w:val="005E238A"/>
    <w:rsid w:val="005E262F"/>
    <w:rsid w:val="005E35C3"/>
    <w:rsid w:val="005E3AB9"/>
    <w:rsid w:val="005E69BD"/>
    <w:rsid w:val="005F0068"/>
    <w:rsid w:val="005F18E4"/>
    <w:rsid w:val="005F1C51"/>
    <w:rsid w:val="005F1EC8"/>
    <w:rsid w:val="005F70C4"/>
    <w:rsid w:val="0060051C"/>
    <w:rsid w:val="006017C1"/>
    <w:rsid w:val="00602987"/>
    <w:rsid w:val="00606296"/>
    <w:rsid w:val="006073A7"/>
    <w:rsid w:val="00613213"/>
    <w:rsid w:val="00613831"/>
    <w:rsid w:val="0061416F"/>
    <w:rsid w:val="0061514F"/>
    <w:rsid w:val="00615621"/>
    <w:rsid w:val="00620366"/>
    <w:rsid w:val="0062146F"/>
    <w:rsid w:val="0062157D"/>
    <w:rsid w:val="00623AB4"/>
    <w:rsid w:val="0062637E"/>
    <w:rsid w:val="00627258"/>
    <w:rsid w:val="006325DA"/>
    <w:rsid w:val="00634960"/>
    <w:rsid w:val="006358B9"/>
    <w:rsid w:val="006361AE"/>
    <w:rsid w:val="00636612"/>
    <w:rsid w:val="00642335"/>
    <w:rsid w:val="006438A7"/>
    <w:rsid w:val="00650E29"/>
    <w:rsid w:val="00652582"/>
    <w:rsid w:val="0065359F"/>
    <w:rsid w:val="00654372"/>
    <w:rsid w:val="00654D09"/>
    <w:rsid w:val="00656B4A"/>
    <w:rsid w:val="00657B12"/>
    <w:rsid w:val="006602F4"/>
    <w:rsid w:val="00664036"/>
    <w:rsid w:val="00667B0C"/>
    <w:rsid w:val="0067060B"/>
    <w:rsid w:val="00670AB7"/>
    <w:rsid w:val="00670C2A"/>
    <w:rsid w:val="006744F8"/>
    <w:rsid w:val="00675B96"/>
    <w:rsid w:val="00684E82"/>
    <w:rsid w:val="00686BB4"/>
    <w:rsid w:val="00687E34"/>
    <w:rsid w:val="00691BCF"/>
    <w:rsid w:val="0069252D"/>
    <w:rsid w:val="00693685"/>
    <w:rsid w:val="00693B65"/>
    <w:rsid w:val="00695160"/>
    <w:rsid w:val="0069673E"/>
    <w:rsid w:val="00697374"/>
    <w:rsid w:val="00697892"/>
    <w:rsid w:val="006A00BD"/>
    <w:rsid w:val="006A0434"/>
    <w:rsid w:val="006A1CA9"/>
    <w:rsid w:val="006A2AC5"/>
    <w:rsid w:val="006A3567"/>
    <w:rsid w:val="006A6532"/>
    <w:rsid w:val="006A686B"/>
    <w:rsid w:val="006A76B4"/>
    <w:rsid w:val="006B0E38"/>
    <w:rsid w:val="006B1AD1"/>
    <w:rsid w:val="006B4600"/>
    <w:rsid w:val="006B4D3E"/>
    <w:rsid w:val="006B56AA"/>
    <w:rsid w:val="006C2975"/>
    <w:rsid w:val="006C3AC5"/>
    <w:rsid w:val="006C447F"/>
    <w:rsid w:val="006C5DF6"/>
    <w:rsid w:val="006C6D9F"/>
    <w:rsid w:val="006C71C3"/>
    <w:rsid w:val="006C7E6E"/>
    <w:rsid w:val="006D2061"/>
    <w:rsid w:val="006D6CF5"/>
    <w:rsid w:val="006D7258"/>
    <w:rsid w:val="006E0151"/>
    <w:rsid w:val="006E167F"/>
    <w:rsid w:val="006E2503"/>
    <w:rsid w:val="006F1A3F"/>
    <w:rsid w:val="006F4A72"/>
    <w:rsid w:val="006F51A9"/>
    <w:rsid w:val="006F7B65"/>
    <w:rsid w:val="006F7F07"/>
    <w:rsid w:val="00700913"/>
    <w:rsid w:val="00705236"/>
    <w:rsid w:val="00705EF2"/>
    <w:rsid w:val="007127C2"/>
    <w:rsid w:val="007136CE"/>
    <w:rsid w:val="0071373F"/>
    <w:rsid w:val="007145ED"/>
    <w:rsid w:val="00716175"/>
    <w:rsid w:val="00716CFA"/>
    <w:rsid w:val="0072393F"/>
    <w:rsid w:val="00723F5C"/>
    <w:rsid w:val="007245BD"/>
    <w:rsid w:val="0072642D"/>
    <w:rsid w:val="00726A29"/>
    <w:rsid w:val="00727119"/>
    <w:rsid w:val="00730294"/>
    <w:rsid w:val="00730E76"/>
    <w:rsid w:val="00731BA1"/>
    <w:rsid w:val="00733974"/>
    <w:rsid w:val="00736191"/>
    <w:rsid w:val="0073728F"/>
    <w:rsid w:val="007413E4"/>
    <w:rsid w:val="007428F1"/>
    <w:rsid w:val="00744D15"/>
    <w:rsid w:val="007459DC"/>
    <w:rsid w:val="00751C91"/>
    <w:rsid w:val="00755D3F"/>
    <w:rsid w:val="00756957"/>
    <w:rsid w:val="00757931"/>
    <w:rsid w:val="00760F11"/>
    <w:rsid w:val="0076133C"/>
    <w:rsid w:val="0076195F"/>
    <w:rsid w:val="007621B2"/>
    <w:rsid w:val="00765E05"/>
    <w:rsid w:val="007668A8"/>
    <w:rsid w:val="007669F4"/>
    <w:rsid w:val="00770344"/>
    <w:rsid w:val="007723F5"/>
    <w:rsid w:val="007728C4"/>
    <w:rsid w:val="00774390"/>
    <w:rsid w:val="007763D8"/>
    <w:rsid w:val="007770D2"/>
    <w:rsid w:val="007805E2"/>
    <w:rsid w:val="007811EC"/>
    <w:rsid w:val="00781C6C"/>
    <w:rsid w:val="00783E48"/>
    <w:rsid w:val="00785513"/>
    <w:rsid w:val="00785C0E"/>
    <w:rsid w:val="00785D24"/>
    <w:rsid w:val="00786B29"/>
    <w:rsid w:val="007870A9"/>
    <w:rsid w:val="007877D4"/>
    <w:rsid w:val="0079173B"/>
    <w:rsid w:val="00792C68"/>
    <w:rsid w:val="00793117"/>
    <w:rsid w:val="007931DD"/>
    <w:rsid w:val="00796814"/>
    <w:rsid w:val="0079704B"/>
    <w:rsid w:val="0079755F"/>
    <w:rsid w:val="007A0612"/>
    <w:rsid w:val="007A1203"/>
    <w:rsid w:val="007A2F11"/>
    <w:rsid w:val="007A346C"/>
    <w:rsid w:val="007B0885"/>
    <w:rsid w:val="007B6D93"/>
    <w:rsid w:val="007B7F17"/>
    <w:rsid w:val="007C31FD"/>
    <w:rsid w:val="007C34A7"/>
    <w:rsid w:val="007C3FE1"/>
    <w:rsid w:val="007C43E0"/>
    <w:rsid w:val="007C65A3"/>
    <w:rsid w:val="007C6A53"/>
    <w:rsid w:val="007C762F"/>
    <w:rsid w:val="007D1067"/>
    <w:rsid w:val="007D1854"/>
    <w:rsid w:val="007D31D0"/>
    <w:rsid w:val="007D37ED"/>
    <w:rsid w:val="007D6B26"/>
    <w:rsid w:val="007D7624"/>
    <w:rsid w:val="007E09A7"/>
    <w:rsid w:val="007E0C22"/>
    <w:rsid w:val="007E150A"/>
    <w:rsid w:val="007E1ADF"/>
    <w:rsid w:val="007E1E31"/>
    <w:rsid w:val="007E5050"/>
    <w:rsid w:val="007F2817"/>
    <w:rsid w:val="007F2F83"/>
    <w:rsid w:val="00804089"/>
    <w:rsid w:val="00805FD8"/>
    <w:rsid w:val="008069F5"/>
    <w:rsid w:val="00807B4A"/>
    <w:rsid w:val="00810AF1"/>
    <w:rsid w:val="00813D10"/>
    <w:rsid w:val="00813F2C"/>
    <w:rsid w:val="00814AEE"/>
    <w:rsid w:val="00814D89"/>
    <w:rsid w:val="008150D6"/>
    <w:rsid w:val="00815552"/>
    <w:rsid w:val="00823A16"/>
    <w:rsid w:val="00824F4C"/>
    <w:rsid w:val="00825C83"/>
    <w:rsid w:val="00831175"/>
    <w:rsid w:val="0083203F"/>
    <w:rsid w:val="00832706"/>
    <w:rsid w:val="00832A81"/>
    <w:rsid w:val="00832AB2"/>
    <w:rsid w:val="00832E86"/>
    <w:rsid w:val="00833C90"/>
    <w:rsid w:val="0084164E"/>
    <w:rsid w:val="00842844"/>
    <w:rsid w:val="00843B9B"/>
    <w:rsid w:val="00844A05"/>
    <w:rsid w:val="00846EFE"/>
    <w:rsid w:val="00850058"/>
    <w:rsid w:val="00850953"/>
    <w:rsid w:val="00851091"/>
    <w:rsid w:val="008524A3"/>
    <w:rsid w:val="00852E60"/>
    <w:rsid w:val="00853876"/>
    <w:rsid w:val="00854DDA"/>
    <w:rsid w:val="00855415"/>
    <w:rsid w:val="008618D2"/>
    <w:rsid w:val="00861E0D"/>
    <w:rsid w:val="00862227"/>
    <w:rsid w:val="0086333E"/>
    <w:rsid w:val="00863A4C"/>
    <w:rsid w:val="00864104"/>
    <w:rsid w:val="00864883"/>
    <w:rsid w:val="0086708C"/>
    <w:rsid w:val="00870043"/>
    <w:rsid w:val="00871424"/>
    <w:rsid w:val="00872A7C"/>
    <w:rsid w:val="0087638C"/>
    <w:rsid w:val="008765D6"/>
    <w:rsid w:val="00881627"/>
    <w:rsid w:val="0088195F"/>
    <w:rsid w:val="00887730"/>
    <w:rsid w:val="008878D6"/>
    <w:rsid w:val="00892EA3"/>
    <w:rsid w:val="00894215"/>
    <w:rsid w:val="008958D2"/>
    <w:rsid w:val="00896247"/>
    <w:rsid w:val="008A0404"/>
    <w:rsid w:val="008A1976"/>
    <w:rsid w:val="008A251E"/>
    <w:rsid w:val="008A46A8"/>
    <w:rsid w:val="008A555D"/>
    <w:rsid w:val="008B5D97"/>
    <w:rsid w:val="008C081A"/>
    <w:rsid w:val="008C1A20"/>
    <w:rsid w:val="008C3BB7"/>
    <w:rsid w:val="008C5418"/>
    <w:rsid w:val="008C7FD2"/>
    <w:rsid w:val="008D0602"/>
    <w:rsid w:val="008D23FB"/>
    <w:rsid w:val="008D5E0B"/>
    <w:rsid w:val="008D5EAC"/>
    <w:rsid w:val="008D6BB7"/>
    <w:rsid w:val="008D736B"/>
    <w:rsid w:val="008D743C"/>
    <w:rsid w:val="008E07C5"/>
    <w:rsid w:val="008E13EE"/>
    <w:rsid w:val="008E3B95"/>
    <w:rsid w:val="008E62A6"/>
    <w:rsid w:val="008F068E"/>
    <w:rsid w:val="008F0A6B"/>
    <w:rsid w:val="008F4C1C"/>
    <w:rsid w:val="008F617D"/>
    <w:rsid w:val="008F70AD"/>
    <w:rsid w:val="00900532"/>
    <w:rsid w:val="009051C5"/>
    <w:rsid w:val="00905992"/>
    <w:rsid w:val="00911A17"/>
    <w:rsid w:val="00912EE1"/>
    <w:rsid w:val="00913B7E"/>
    <w:rsid w:val="009169D8"/>
    <w:rsid w:val="009171D8"/>
    <w:rsid w:val="00917D52"/>
    <w:rsid w:val="009266DD"/>
    <w:rsid w:val="009273A3"/>
    <w:rsid w:val="0093265F"/>
    <w:rsid w:val="00934578"/>
    <w:rsid w:val="00936B0E"/>
    <w:rsid w:val="00940E2C"/>
    <w:rsid w:val="00944865"/>
    <w:rsid w:val="0094593A"/>
    <w:rsid w:val="00945946"/>
    <w:rsid w:val="00945A13"/>
    <w:rsid w:val="00945B17"/>
    <w:rsid w:val="00951E03"/>
    <w:rsid w:val="00953B18"/>
    <w:rsid w:val="00961E86"/>
    <w:rsid w:val="00962518"/>
    <w:rsid w:val="00962CDD"/>
    <w:rsid w:val="00964BB7"/>
    <w:rsid w:val="0096521B"/>
    <w:rsid w:val="00966E3D"/>
    <w:rsid w:val="009712C4"/>
    <w:rsid w:val="00972784"/>
    <w:rsid w:val="00975187"/>
    <w:rsid w:val="00975E18"/>
    <w:rsid w:val="00975EA9"/>
    <w:rsid w:val="00980D7D"/>
    <w:rsid w:val="00981E36"/>
    <w:rsid w:val="00982D0B"/>
    <w:rsid w:val="00982D35"/>
    <w:rsid w:val="0098420B"/>
    <w:rsid w:val="009876C6"/>
    <w:rsid w:val="0099597A"/>
    <w:rsid w:val="00996406"/>
    <w:rsid w:val="009A2F21"/>
    <w:rsid w:val="009A37F5"/>
    <w:rsid w:val="009A5B2A"/>
    <w:rsid w:val="009A6B73"/>
    <w:rsid w:val="009A6D81"/>
    <w:rsid w:val="009A7D27"/>
    <w:rsid w:val="009B32DA"/>
    <w:rsid w:val="009B765E"/>
    <w:rsid w:val="009C6EF0"/>
    <w:rsid w:val="009D1D56"/>
    <w:rsid w:val="009D2444"/>
    <w:rsid w:val="009D3931"/>
    <w:rsid w:val="009D3D0A"/>
    <w:rsid w:val="009D5769"/>
    <w:rsid w:val="009E0A13"/>
    <w:rsid w:val="009E6741"/>
    <w:rsid w:val="009E7231"/>
    <w:rsid w:val="009E7672"/>
    <w:rsid w:val="009E7F64"/>
    <w:rsid w:val="009F1345"/>
    <w:rsid w:val="009F1A2F"/>
    <w:rsid w:val="009F4D46"/>
    <w:rsid w:val="009F67E1"/>
    <w:rsid w:val="00A0120A"/>
    <w:rsid w:val="00A0335D"/>
    <w:rsid w:val="00A06137"/>
    <w:rsid w:val="00A061B8"/>
    <w:rsid w:val="00A070FE"/>
    <w:rsid w:val="00A07E1A"/>
    <w:rsid w:val="00A10BAB"/>
    <w:rsid w:val="00A1203B"/>
    <w:rsid w:val="00A1237C"/>
    <w:rsid w:val="00A14766"/>
    <w:rsid w:val="00A225E8"/>
    <w:rsid w:val="00A23149"/>
    <w:rsid w:val="00A23763"/>
    <w:rsid w:val="00A25E44"/>
    <w:rsid w:val="00A2632E"/>
    <w:rsid w:val="00A31721"/>
    <w:rsid w:val="00A31BA5"/>
    <w:rsid w:val="00A345D8"/>
    <w:rsid w:val="00A36463"/>
    <w:rsid w:val="00A42E9A"/>
    <w:rsid w:val="00A44C99"/>
    <w:rsid w:val="00A47788"/>
    <w:rsid w:val="00A47BB5"/>
    <w:rsid w:val="00A47E3D"/>
    <w:rsid w:val="00A50ACF"/>
    <w:rsid w:val="00A51A6D"/>
    <w:rsid w:val="00A52C0F"/>
    <w:rsid w:val="00A53C78"/>
    <w:rsid w:val="00A53D59"/>
    <w:rsid w:val="00A5763E"/>
    <w:rsid w:val="00A614ED"/>
    <w:rsid w:val="00A6370F"/>
    <w:rsid w:val="00A64EF8"/>
    <w:rsid w:val="00A663F3"/>
    <w:rsid w:val="00A66AC5"/>
    <w:rsid w:val="00A6761B"/>
    <w:rsid w:val="00A71220"/>
    <w:rsid w:val="00A72F08"/>
    <w:rsid w:val="00A73FD0"/>
    <w:rsid w:val="00A74F68"/>
    <w:rsid w:val="00A754BB"/>
    <w:rsid w:val="00A75733"/>
    <w:rsid w:val="00A75F42"/>
    <w:rsid w:val="00A767D7"/>
    <w:rsid w:val="00A77EA4"/>
    <w:rsid w:val="00A80D4A"/>
    <w:rsid w:val="00A84831"/>
    <w:rsid w:val="00A8523A"/>
    <w:rsid w:val="00A92730"/>
    <w:rsid w:val="00AA4AC9"/>
    <w:rsid w:val="00AA51A2"/>
    <w:rsid w:val="00AA658C"/>
    <w:rsid w:val="00AA7C1A"/>
    <w:rsid w:val="00AB2221"/>
    <w:rsid w:val="00AB317C"/>
    <w:rsid w:val="00AB4664"/>
    <w:rsid w:val="00AB55B3"/>
    <w:rsid w:val="00AB6329"/>
    <w:rsid w:val="00AB661A"/>
    <w:rsid w:val="00AC12C3"/>
    <w:rsid w:val="00AC267D"/>
    <w:rsid w:val="00AC4601"/>
    <w:rsid w:val="00AC5AF0"/>
    <w:rsid w:val="00AC64F8"/>
    <w:rsid w:val="00AD3418"/>
    <w:rsid w:val="00AE3381"/>
    <w:rsid w:val="00AE52FA"/>
    <w:rsid w:val="00AE5583"/>
    <w:rsid w:val="00AE6F9B"/>
    <w:rsid w:val="00AE7D36"/>
    <w:rsid w:val="00AF2708"/>
    <w:rsid w:val="00AF4372"/>
    <w:rsid w:val="00AF4B63"/>
    <w:rsid w:val="00AF59B7"/>
    <w:rsid w:val="00AF5EF6"/>
    <w:rsid w:val="00B003A4"/>
    <w:rsid w:val="00B008B4"/>
    <w:rsid w:val="00B00C37"/>
    <w:rsid w:val="00B02572"/>
    <w:rsid w:val="00B028FA"/>
    <w:rsid w:val="00B02B1E"/>
    <w:rsid w:val="00B0415B"/>
    <w:rsid w:val="00B1096B"/>
    <w:rsid w:val="00B12782"/>
    <w:rsid w:val="00B12EB8"/>
    <w:rsid w:val="00B1430D"/>
    <w:rsid w:val="00B16BD6"/>
    <w:rsid w:val="00B16CCF"/>
    <w:rsid w:val="00B178AD"/>
    <w:rsid w:val="00B248D7"/>
    <w:rsid w:val="00B257F4"/>
    <w:rsid w:val="00B2580E"/>
    <w:rsid w:val="00B303AF"/>
    <w:rsid w:val="00B3460C"/>
    <w:rsid w:val="00B358EC"/>
    <w:rsid w:val="00B40632"/>
    <w:rsid w:val="00B40ECE"/>
    <w:rsid w:val="00B42371"/>
    <w:rsid w:val="00B4239B"/>
    <w:rsid w:val="00B42ACF"/>
    <w:rsid w:val="00B42B61"/>
    <w:rsid w:val="00B4488A"/>
    <w:rsid w:val="00B4507C"/>
    <w:rsid w:val="00B46596"/>
    <w:rsid w:val="00B46B29"/>
    <w:rsid w:val="00B46B93"/>
    <w:rsid w:val="00B514E3"/>
    <w:rsid w:val="00B5293F"/>
    <w:rsid w:val="00B54D08"/>
    <w:rsid w:val="00B5537D"/>
    <w:rsid w:val="00B621B9"/>
    <w:rsid w:val="00B62D1F"/>
    <w:rsid w:val="00B6389F"/>
    <w:rsid w:val="00B6647F"/>
    <w:rsid w:val="00B76680"/>
    <w:rsid w:val="00B769CC"/>
    <w:rsid w:val="00B77263"/>
    <w:rsid w:val="00B83969"/>
    <w:rsid w:val="00B83F53"/>
    <w:rsid w:val="00B84CC3"/>
    <w:rsid w:val="00B85096"/>
    <w:rsid w:val="00B91B47"/>
    <w:rsid w:val="00B9341E"/>
    <w:rsid w:val="00B95D27"/>
    <w:rsid w:val="00B96CAB"/>
    <w:rsid w:val="00BA5408"/>
    <w:rsid w:val="00BA7CDA"/>
    <w:rsid w:val="00BB2F88"/>
    <w:rsid w:val="00BB5403"/>
    <w:rsid w:val="00BB65D1"/>
    <w:rsid w:val="00BB794A"/>
    <w:rsid w:val="00BC0D5F"/>
    <w:rsid w:val="00BC4261"/>
    <w:rsid w:val="00BC531E"/>
    <w:rsid w:val="00BC673B"/>
    <w:rsid w:val="00BC712F"/>
    <w:rsid w:val="00BD0C45"/>
    <w:rsid w:val="00BD165F"/>
    <w:rsid w:val="00BD5395"/>
    <w:rsid w:val="00BD5DFB"/>
    <w:rsid w:val="00BD6431"/>
    <w:rsid w:val="00BD7543"/>
    <w:rsid w:val="00BD7ADC"/>
    <w:rsid w:val="00BE16AB"/>
    <w:rsid w:val="00BE1B8A"/>
    <w:rsid w:val="00BE310F"/>
    <w:rsid w:val="00BE3CFD"/>
    <w:rsid w:val="00BE50C2"/>
    <w:rsid w:val="00BE5B54"/>
    <w:rsid w:val="00BE65EC"/>
    <w:rsid w:val="00BE67AE"/>
    <w:rsid w:val="00BF2882"/>
    <w:rsid w:val="00BF4732"/>
    <w:rsid w:val="00BF5B50"/>
    <w:rsid w:val="00BF6B28"/>
    <w:rsid w:val="00BF7487"/>
    <w:rsid w:val="00BF7E02"/>
    <w:rsid w:val="00C00757"/>
    <w:rsid w:val="00C02A27"/>
    <w:rsid w:val="00C068D6"/>
    <w:rsid w:val="00C06FD9"/>
    <w:rsid w:val="00C10379"/>
    <w:rsid w:val="00C10B18"/>
    <w:rsid w:val="00C1197A"/>
    <w:rsid w:val="00C12B90"/>
    <w:rsid w:val="00C2077D"/>
    <w:rsid w:val="00C23AE3"/>
    <w:rsid w:val="00C30B8B"/>
    <w:rsid w:val="00C329BF"/>
    <w:rsid w:val="00C32A8C"/>
    <w:rsid w:val="00C32ACB"/>
    <w:rsid w:val="00C3330E"/>
    <w:rsid w:val="00C33B04"/>
    <w:rsid w:val="00C34C1C"/>
    <w:rsid w:val="00C35E44"/>
    <w:rsid w:val="00C36102"/>
    <w:rsid w:val="00C3795E"/>
    <w:rsid w:val="00C45989"/>
    <w:rsid w:val="00C47C73"/>
    <w:rsid w:val="00C50044"/>
    <w:rsid w:val="00C51819"/>
    <w:rsid w:val="00C537D5"/>
    <w:rsid w:val="00C54568"/>
    <w:rsid w:val="00C55542"/>
    <w:rsid w:val="00C5559F"/>
    <w:rsid w:val="00C56123"/>
    <w:rsid w:val="00C57BB2"/>
    <w:rsid w:val="00C62187"/>
    <w:rsid w:val="00C62D1C"/>
    <w:rsid w:val="00C6331E"/>
    <w:rsid w:val="00C65D22"/>
    <w:rsid w:val="00C72116"/>
    <w:rsid w:val="00C73E0D"/>
    <w:rsid w:val="00C768B8"/>
    <w:rsid w:val="00C809BD"/>
    <w:rsid w:val="00C80B9D"/>
    <w:rsid w:val="00C833B5"/>
    <w:rsid w:val="00C837A4"/>
    <w:rsid w:val="00C85C74"/>
    <w:rsid w:val="00C91661"/>
    <w:rsid w:val="00C92867"/>
    <w:rsid w:val="00CA31DD"/>
    <w:rsid w:val="00CA321B"/>
    <w:rsid w:val="00CA351B"/>
    <w:rsid w:val="00CA512E"/>
    <w:rsid w:val="00CA7E0E"/>
    <w:rsid w:val="00CB038E"/>
    <w:rsid w:val="00CB111F"/>
    <w:rsid w:val="00CB3342"/>
    <w:rsid w:val="00CC0126"/>
    <w:rsid w:val="00CC2B24"/>
    <w:rsid w:val="00CC412C"/>
    <w:rsid w:val="00CC6ABC"/>
    <w:rsid w:val="00CC730C"/>
    <w:rsid w:val="00CE176F"/>
    <w:rsid w:val="00CE416B"/>
    <w:rsid w:val="00CE5718"/>
    <w:rsid w:val="00CF24C8"/>
    <w:rsid w:val="00CF5F82"/>
    <w:rsid w:val="00D024CA"/>
    <w:rsid w:val="00D03790"/>
    <w:rsid w:val="00D05444"/>
    <w:rsid w:val="00D05766"/>
    <w:rsid w:val="00D059FB"/>
    <w:rsid w:val="00D060B7"/>
    <w:rsid w:val="00D06645"/>
    <w:rsid w:val="00D06CF5"/>
    <w:rsid w:val="00D13AF7"/>
    <w:rsid w:val="00D147F8"/>
    <w:rsid w:val="00D14BEB"/>
    <w:rsid w:val="00D173A4"/>
    <w:rsid w:val="00D17F50"/>
    <w:rsid w:val="00D20335"/>
    <w:rsid w:val="00D2656E"/>
    <w:rsid w:val="00D27A0B"/>
    <w:rsid w:val="00D27F93"/>
    <w:rsid w:val="00D31CA8"/>
    <w:rsid w:val="00D32D2A"/>
    <w:rsid w:val="00D33CD9"/>
    <w:rsid w:val="00D347C0"/>
    <w:rsid w:val="00D35AF4"/>
    <w:rsid w:val="00D3648B"/>
    <w:rsid w:val="00D37A81"/>
    <w:rsid w:val="00D40B93"/>
    <w:rsid w:val="00D42111"/>
    <w:rsid w:val="00D42947"/>
    <w:rsid w:val="00D440B0"/>
    <w:rsid w:val="00D4447F"/>
    <w:rsid w:val="00D45299"/>
    <w:rsid w:val="00D4564A"/>
    <w:rsid w:val="00D47905"/>
    <w:rsid w:val="00D50DE9"/>
    <w:rsid w:val="00D52252"/>
    <w:rsid w:val="00D5231F"/>
    <w:rsid w:val="00D5237E"/>
    <w:rsid w:val="00D53344"/>
    <w:rsid w:val="00D549E1"/>
    <w:rsid w:val="00D55EB0"/>
    <w:rsid w:val="00D565AB"/>
    <w:rsid w:val="00D56624"/>
    <w:rsid w:val="00D572A8"/>
    <w:rsid w:val="00D619E4"/>
    <w:rsid w:val="00D6240D"/>
    <w:rsid w:val="00D6784A"/>
    <w:rsid w:val="00D720FE"/>
    <w:rsid w:val="00D722A0"/>
    <w:rsid w:val="00D73FC9"/>
    <w:rsid w:val="00D76208"/>
    <w:rsid w:val="00D80487"/>
    <w:rsid w:val="00D80869"/>
    <w:rsid w:val="00D81AA3"/>
    <w:rsid w:val="00D83139"/>
    <w:rsid w:val="00D837AB"/>
    <w:rsid w:val="00D843E0"/>
    <w:rsid w:val="00D905AF"/>
    <w:rsid w:val="00D95232"/>
    <w:rsid w:val="00DA0027"/>
    <w:rsid w:val="00DA0CFC"/>
    <w:rsid w:val="00DA1AB4"/>
    <w:rsid w:val="00DA2C46"/>
    <w:rsid w:val="00DA302E"/>
    <w:rsid w:val="00DA320A"/>
    <w:rsid w:val="00DA420D"/>
    <w:rsid w:val="00DA478B"/>
    <w:rsid w:val="00DA4799"/>
    <w:rsid w:val="00DA5C67"/>
    <w:rsid w:val="00DB1A2C"/>
    <w:rsid w:val="00DB1BE6"/>
    <w:rsid w:val="00DB24B9"/>
    <w:rsid w:val="00DB3100"/>
    <w:rsid w:val="00DB7FC3"/>
    <w:rsid w:val="00DC03B2"/>
    <w:rsid w:val="00DC4F38"/>
    <w:rsid w:val="00DC6CD3"/>
    <w:rsid w:val="00DC7EA0"/>
    <w:rsid w:val="00DD0826"/>
    <w:rsid w:val="00DD6070"/>
    <w:rsid w:val="00DD71A1"/>
    <w:rsid w:val="00DE12B2"/>
    <w:rsid w:val="00DE1C3E"/>
    <w:rsid w:val="00DE2366"/>
    <w:rsid w:val="00DE3318"/>
    <w:rsid w:val="00DE3F3E"/>
    <w:rsid w:val="00DE4B31"/>
    <w:rsid w:val="00DE63CA"/>
    <w:rsid w:val="00DF037A"/>
    <w:rsid w:val="00DF21AB"/>
    <w:rsid w:val="00DF3B6F"/>
    <w:rsid w:val="00DF5059"/>
    <w:rsid w:val="00DF5208"/>
    <w:rsid w:val="00E00F4A"/>
    <w:rsid w:val="00E071F5"/>
    <w:rsid w:val="00E10878"/>
    <w:rsid w:val="00E10C37"/>
    <w:rsid w:val="00E11E0C"/>
    <w:rsid w:val="00E12C79"/>
    <w:rsid w:val="00E155D9"/>
    <w:rsid w:val="00E24314"/>
    <w:rsid w:val="00E31246"/>
    <w:rsid w:val="00E345D3"/>
    <w:rsid w:val="00E35D14"/>
    <w:rsid w:val="00E3756B"/>
    <w:rsid w:val="00E40127"/>
    <w:rsid w:val="00E509AE"/>
    <w:rsid w:val="00E513D9"/>
    <w:rsid w:val="00E51989"/>
    <w:rsid w:val="00E52BC3"/>
    <w:rsid w:val="00E53156"/>
    <w:rsid w:val="00E544A0"/>
    <w:rsid w:val="00E61BB1"/>
    <w:rsid w:val="00E63215"/>
    <w:rsid w:val="00E65238"/>
    <w:rsid w:val="00E67C9A"/>
    <w:rsid w:val="00E733FE"/>
    <w:rsid w:val="00E7341F"/>
    <w:rsid w:val="00E80388"/>
    <w:rsid w:val="00E80F78"/>
    <w:rsid w:val="00E81555"/>
    <w:rsid w:val="00E83AA0"/>
    <w:rsid w:val="00E83D6F"/>
    <w:rsid w:val="00E8455D"/>
    <w:rsid w:val="00E863E5"/>
    <w:rsid w:val="00E90D49"/>
    <w:rsid w:val="00E92BF8"/>
    <w:rsid w:val="00E966CA"/>
    <w:rsid w:val="00EA3604"/>
    <w:rsid w:val="00EA47E3"/>
    <w:rsid w:val="00EA6023"/>
    <w:rsid w:val="00EB4651"/>
    <w:rsid w:val="00EB55F8"/>
    <w:rsid w:val="00EB6FED"/>
    <w:rsid w:val="00EC0659"/>
    <w:rsid w:val="00EC09ED"/>
    <w:rsid w:val="00EC28F6"/>
    <w:rsid w:val="00EC459D"/>
    <w:rsid w:val="00EC519D"/>
    <w:rsid w:val="00EC5694"/>
    <w:rsid w:val="00EC6674"/>
    <w:rsid w:val="00ED1301"/>
    <w:rsid w:val="00ED1700"/>
    <w:rsid w:val="00ED37A8"/>
    <w:rsid w:val="00ED72CA"/>
    <w:rsid w:val="00ED7A5E"/>
    <w:rsid w:val="00EE34F5"/>
    <w:rsid w:val="00EE3562"/>
    <w:rsid w:val="00EE48D2"/>
    <w:rsid w:val="00EE67FE"/>
    <w:rsid w:val="00EE6C52"/>
    <w:rsid w:val="00EF0487"/>
    <w:rsid w:val="00EF6F02"/>
    <w:rsid w:val="00EF77CA"/>
    <w:rsid w:val="00EF7A80"/>
    <w:rsid w:val="00F01833"/>
    <w:rsid w:val="00F049EF"/>
    <w:rsid w:val="00F04ACA"/>
    <w:rsid w:val="00F053EF"/>
    <w:rsid w:val="00F07642"/>
    <w:rsid w:val="00F1233C"/>
    <w:rsid w:val="00F1499E"/>
    <w:rsid w:val="00F162CF"/>
    <w:rsid w:val="00F169F1"/>
    <w:rsid w:val="00F214BE"/>
    <w:rsid w:val="00F2286D"/>
    <w:rsid w:val="00F235B9"/>
    <w:rsid w:val="00F2424C"/>
    <w:rsid w:val="00F24DFF"/>
    <w:rsid w:val="00F271F9"/>
    <w:rsid w:val="00F278D5"/>
    <w:rsid w:val="00F31EEF"/>
    <w:rsid w:val="00F33EBD"/>
    <w:rsid w:val="00F34F5D"/>
    <w:rsid w:val="00F354C8"/>
    <w:rsid w:val="00F36ED3"/>
    <w:rsid w:val="00F377DC"/>
    <w:rsid w:val="00F379D4"/>
    <w:rsid w:val="00F46791"/>
    <w:rsid w:val="00F47020"/>
    <w:rsid w:val="00F508F4"/>
    <w:rsid w:val="00F50F96"/>
    <w:rsid w:val="00F51125"/>
    <w:rsid w:val="00F52258"/>
    <w:rsid w:val="00F52F3B"/>
    <w:rsid w:val="00F55CB0"/>
    <w:rsid w:val="00F55D0F"/>
    <w:rsid w:val="00F56ED2"/>
    <w:rsid w:val="00F66D3F"/>
    <w:rsid w:val="00F7318F"/>
    <w:rsid w:val="00F732D8"/>
    <w:rsid w:val="00F74592"/>
    <w:rsid w:val="00F76AAC"/>
    <w:rsid w:val="00F76D7B"/>
    <w:rsid w:val="00F76EF3"/>
    <w:rsid w:val="00F80284"/>
    <w:rsid w:val="00F82EAA"/>
    <w:rsid w:val="00F83811"/>
    <w:rsid w:val="00F8713C"/>
    <w:rsid w:val="00F9220D"/>
    <w:rsid w:val="00F939BC"/>
    <w:rsid w:val="00F957C1"/>
    <w:rsid w:val="00F95BCA"/>
    <w:rsid w:val="00F97651"/>
    <w:rsid w:val="00F97959"/>
    <w:rsid w:val="00FA0C41"/>
    <w:rsid w:val="00FA1DE0"/>
    <w:rsid w:val="00FA6FCF"/>
    <w:rsid w:val="00FB1A89"/>
    <w:rsid w:val="00FB23DB"/>
    <w:rsid w:val="00FB3D0B"/>
    <w:rsid w:val="00FB592F"/>
    <w:rsid w:val="00FB6B08"/>
    <w:rsid w:val="00FC25F6"/>
    <w:rsid w:val="00FC62A5"/>
    <w:rsid w:val="00FD0DA5"/>
    <w:rsid w:val="00FD231A"/>
    <w:rsid w:val="00FD74DA"/>
    <w:rsid w:val="00FE0085"/>
    <w:rsid w:val="00FE1572"/>
    <w:rsid w:val="00FE2259"/>
    <w:rsid w:val="00FE4197"/>
    <w:rsid w:val="00FE47DA"/>
    <w:rsid w:val="00FE4EF8"/>
    <w:rsid w:val="00FE4F77"/>
    <w:rsid w:val="00FE53D4"/>
    <w:rsid w:val="00FE5BE0"/>
    <w:rsid w:val="00FE73A4"/>
    <w:rsid w:val="00FF2AB3"/>
    <w:rsid w:val="00FF3135"/>
    <w:rsid w:val="00FF3D10"/>
    <w:rsid w:val="00FF3FF3"/>
    <w:rsid w:val="00FF4175"/>
    <w:rsid w:val="00FF435C"/>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67A6E00C-C980-4F91-8530-52EB5420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F1"/>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DB24B9"/>
    <w:pPr>
      <w:keepNext/>
      <w:numPr>
        <w:numId w:val="21"/>
      </w:numPr>
      <w:pBdr>
        <w:bottom w:val="single" w:sz="4" w:space="1" w:color="auto"/>
      </w:pBdr>
      <w:tabs>
        <w:tab w:val="left" w:pos="567"/>
      </w:tabs>
      <w:spacing w:before="120" w:after="0" w:line="240" w:lineRule="auto"/>
      <w:jc w:val="both"/>
      <w:outlineLvl w:val="0"/>
    </w:pPr>
    <w:rPr>
      <w:rFonts w:asciiTheme="minorHAnsi" w:eastAsiaTheme="minorHAnsi" w:hAnsiTheme="minorHAnsi" w:cstheme="minorHAnsi"/>
      <w:b/>
      <w:color w:val="7030A0"/>
      <w:kern w:val="28"/>
      <w:sz w:val="32"/>
      <w:szCs w:val="14"/>
    </w:rPr>
  </w:style>
  <w:style w:type="paragraph" w:styleId="Heading2">
    <w:name w:val="heading 2"/>
    <w:aliases w:val="1.1,Defs Heading,h2,2 headline,h,Para2"/>
    <w:basedOn w:val="Normal"/>
    <w:next w:val="Normal"/>
    <w:link w:val="Heading2Char"/>
    <w:uiPriority w:val="99"/>
    <w:qFormat/>
    <w:rsid w:val="005F70C4"/>
    <w:pPr>
      <w:keepNext/>
      <w:spacing w:before="240" w:after="60"/>
      <w:outlineLvl w:val="1"/>
    </w:pPr>
    <w:rPr>
      <w:rFonts w:ascii="Arial" w:hAnsi="Arial"/>
      <w:b/>
      <w:snapToGrid w:val="0"/>
      <w:color w:val="7030A0"/>
      <w:sz w:val="30"/>
    </w:rPr>
  </w:style>
  <w:style w:type="paragraph" w:styleId="Heading3">
    <w:name w:val="heading 3"/>
    <w:aliases w:val="(a),Plain Heading,Third Level,3 bullet,b,2,Para3,Heading 3 OL,Level 1 - 1,h3,3,Head 3,C Sub-Sub/Italic,Head 31,Head 32,C Sub-Sub/Italic1,Head 33,C Sub-Sub/Italic2,Head 311,Head 321,C Sub-Sub/Italic11,h31,h3 sub heading,H3,hoofdstuk 1.1.1,H31"/>
    <w:basedOn w:val="Normal"/>
    <w:next w:val="Normal"/>
    <w:link w:val="Heading3Char"/>
    <w:autoRedefine/>
    <w:uiPriority w:val="99"/>
    <w:qFormat/>
    <w:rsid w:val="004A7B2F"/>
    <w:pPr>
      <w:spacing w:before="0" w:after="120" w:line="240" w:lineRule="auto"/>
      <w:outlineLvl w:val="2"/>
    </w:pPr>
    <w:rPr>
      <w:rFonts w:asciiTheme="minorHAnsi" w:hAnsiTheme="minorHAnsi" w:cstheme="minorHAnsi"/>
      <w:b/>
      <w:szCs w:val="24"/>
    </w:rPr>
  </w:style>
  <w:style w:type="paragraph" w:styleId="Heading4">
    <w:name w:val="heading 4"/>
    <w:basedOn w:val="Normal"/>
    <w:next w:val="Normal"/>
    <w:link w:val="Heading4Char"/>
    <w:autoRedefine/>
    <w:qFormat/>
    <w:rsid w:val="00A73FD0"/>
    <w:pPr>
      <w:keepNext/>
      <w:keepLines/>
      <w:tabs>
        <w:tab w:val="left" w:pos="709"/>
      </w:tabs>
      <w:spacing w:before="120" w:after="0" w:line="240" w:lineRule="auto"/>
      <w:outlineLvl w:val="3"/>
    </w:pPr>
    <w:rPr>
      <w:rFonts w:asciiTheme="minorHAnsi" w:hAnsiTheme="minorHAnsi" w:cstheme="majorBidi"/>
      <w:b/>
      <w:color w:val="7030A0"/>
      <w:sz w:val="28"/>
      <w:szCs w:val="22"/>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4B9"/>
    <w:rPr>
      <w:rFonts w:cstheme="minorHAnsi"/>
      <w:b/>
      <w:color w:val="7030A0"/>
      <w:kern w:val="28"/>
      <w:sz w:val="32"/>
      <w:szCs w:val="14"/>
    </w:rPr>
  </w:style>
  <w:style w:type="character" w:customStyle="1" w:styleId="Heading2Char">
    <w:name w:val="Heading 2 Char"/>
    <w:aliases w:val="1.1 Char,Defs Heading Char,h2 Char,2 headline Char,h Char,Para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aliases w:val="(a) Char,Plain Heading Char,Third Level Char,3 bullet Char,b Char,2 Char,Para3 Char,Heading 3 OL Char,Level 1 - 1 Char,h3 Char,3 Char,Head 3 Char,C Sub-Sub/Italic Char,Head 31 Char,Head 32 Char,C Sub-Sub/Italic1 Char,Head 33 Char,h31 Char"/>
    <w:basedOn w:val="DefaultParagraphFont"/>
    <w:link w:val="Heading3"/>
    <w:uiPriority w:val="99"/>
    <w:rsid w:val="004A7B2F"/>
    <w:rPr>
      <w:rFonts w:eastAsia="Times New Roman" w:cstheme="minorHAnsi"/>
      <w:b/>
      <w:szCs w:val="24"/>
    </w:rPr>
  </w:style>
  <w:style w:type="character" w:customStyle="1" w:styleId="Heading4Char">
    <w:name w:val="Heading 4 Char"/>
    <w:basedOn w:val="DefaultParagraphFont"/>
    <w:link w:val="Heading4"/>
    <w:rsid w:val="00A73FD0"/>
    <w:rPr>
      <w:rFonts w:eastAsia="Times New Roman" w:cstheme="majorBidi"/>
      <w:b/>
      <w:color w:val="7030A0"/>
      <w:sz w:val="28"/>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uiPriority w:val="99"/>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Cs w:val="20"/>
    </w:rPr>
  </w:style>
  <w:style w:type="paragraph" w:customStyle="1" w:styleId="Tablefigures">
    <w:name w:val="Table figures"/>
    <w:basedOn w:val="Tabletext"/>
    <w:link w:val="TablefiguresChar"/>
    <w:autoRedefine/>
    <w:qFormat/>
    <w:rsid w:val="0086333E"/>
    <w:rPr>
      <w:bCs/>
      <w:i/>
      <w:i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86333E"/>
    <w:rPr>
      <w:rFonts w:ascii="Calibri" w:eastAsia="Times New Roman" w:hAnsi="Calibri" w:cs="Times New Roman"/>
      <w:bCs/>
      <w:i/>
      <w:iCs/>
      <w:sz w:val="20"/>
      <w:szCs w:val="20"/>
      <w:lang w:eastAsia="en-AU"/>
    </w:rPr>
  </w:style>
  <w:style w:type="character" w:customStyle="1" w:styleId="TabletextChar">
    <w:name w:val="Table text Char"/>
    <w:aliases w:val="List Paragraph Char,Recommendation Char,List Paragraph1 Char,List Paragraph11 Char,Bullet point Char,Bullets Char,NAST Quote Char,L Char,CV text Char,F5 List Paragraph Char,Dot pt Char,List Paragraph111 Char,Numbered Paragraph Char"/>
    <w:basedOn w:val="DefaultParagraphFont"/>
    <w:link w:val="Tabletext"/>
    <w:uiPriority w:val="34"/>
    <w:qForma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aliases w:val="Recommendation,List Paragraph1,List Paragraph11,Bullet point,Bullets,NAST Quote,L,CV text,F5 List Paragraph,Dot pt,List Paragraph111,Medium Grid 1 - Accent 21,Numbered Paragraph,List Paragraph2,NFP GP Bulleted List,FooterText,列,Heading 2."/>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11"/>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11"/>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uiPriority w:val="11"/>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ind w:left="357" w:hanging="357"/>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character" w:styleId="Emphasis">
    <w:name w:val="Emphasis"/>
    <w:basedOn w:val="DefaultParagraphFont"/>
    <w:uiPriority w:val="20"/>
    <w:qFormat/>
    <w:rsid w:val="00A47BB5"/>
    <w:rPr>
      <w:i/>
      <w:iCs/>
    </w:rPr>
  </w:style>
  <w:style w:type="table" w:styleId="GridTable1Light-Accent2">
    <w:name w:val="Grid Table 1 Light Accent 2"/>
    <w:basedOn w:val="TableNormal"/>
    <w:uiPriority w:val="46"/>
    <w:rsid w:val="00A47BB5"/>
    <w:pPr>
      <w:spacing w:after="0" w:line="240" w:lineRule="auto"/>
    </w:pPr>
    <w:rPr>
      <w:rFonts w:eastAsiaTheme="minorEastAsia"/>
      <w:kern w:val="22"/>
      <w:lang w:val="en-US" w:eastAsia="ja-JP"/>
      <w14:ligatures w14:val="standard"/>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NormalRedBullet">
    <w:name w:val="Normal Red Bullet"/>
    <w:basedOn w:val="Normal"/>
    <w:qFormat/>
    <w:rsid w:val="00786B29"/>
    <w:pPr>
      <w:numPr>
        <w:numId w:val="17"/>
      </w:numPr>
      <w:tabs>
        <w:tab w:val="left" w:pos="1080"/>
      </w:tabs>
      <w:spacing w:before="60" w:after="60" w:line="228" w:lineRule="auto"/>
    </w:pPr>
    <w:rPr>
      <w:rFonts w:cs="Calibri"/>
      <w:color w:val="C7461F"/>
      <w:szCs w:val="22"/>
    </w:rPr>
  </w:style>
  <w:style w:type="paragraph" w:customStyle="1" w:styleId="TableParagraph">
    <w:name w:val="Table Paragraph"/>
    <w:basedOn w:val="Normal"/>
    <w:uiPriority w:val="1"/>
    <w:qFormat/>
    <w:rsid w:val="00AF5EF6"/>
    <w:pPr>
      <w:widowControl w:val="0"/>
      <w:autoSpaceDE w:val="0"/>
      <w:autoSpaceDN w:val="0"/>
      <w:spacing w:before="121" w:after="0" w:line="240" w:lineRule="auto"/>
    </w:pPr>
    <w:rPr>
      <w:rFonts w:eastAsia="Calibri" w:cs="Calibri"/>
      <w:szCs w:val="22"/>
    </w:rPr>
  </w:style>
  <w:style w:type="paragraph" w:customStyle="1" w:styleId="ListParagraph2">
    <w:name w:val="List Paragraph 2"/>
    <w:basedOn w:val="ListParagraph"/>
    <w:qFormat/>
    <w:rsid w:val="0046681C"/>
    <w:pPr>
      <w:tabs>
        <w:tab w:val="left" w:pos="425"/>
        <w:tab w:val="left" w:pos="851"/>
      </w:tabs>
      <w:spacing w:before="240" w:after="0"/>
      <w:ind w:left="1440" w:hanging="360"/>
      <w:contextualSpacing w:val="0"/>
    </w:pPr>
    <w:rPr>
      <w:rFonts w:asciiTheme="minorHAnsi" w:eastAsiaTheme="minorEastAsia" w:hAnsiTheme="minorHAnsi" w:cstheme="minorBidi"/>
      <w:sz w:val="26"/>
      <w:szCs w:val="26"/>
    </w:rPr>
  </w:style>
  <w:style w:type="paragraph" w:customStyle="1" w:styleId="Default">
    <w:name w:val="Default"/>
    <w:rsid w:val="00067FA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9E7F64"/>
    <w:pPr>
      <w:spacing w:before="100" w:beforeAutospacing="1" w:after="100" w:afterAutospacing="1" w:line="240" w:lineRule="auto"/>
    </w:pPr>
    <w:rPr>
      <w:rFonts w:ascii="Times New Roman" w:hAnsi="Times New Roman"/>
      <w:sz w:val="24"/>
      <w:szCs w:val="24"/>
      <w:lang w:eastAsia="en-AU"/>
    </w:rPr>
  </w:style>
  <w:style w:type="paragraph" w:customStyle="1" w:styleId="1-PACT">
    <w:name w:val="1. - PACT"/>
    <w:basedOn w:val="Normal"/>
    <w:qFormat/>
    <w:rsid w:val="00F56ED2"/>
    <w:pPr>
      <w:numPr>
        <w:ilvl w:val="1"/>
        <w:numId w:val="19"/>
      </w:numPr>
      <w:spacing w:before="240" w:after="120" w:line="240" w:lineRule="auto"/>
      <w:jc w:val="both"/>
      <w:outlineLvl w:val="3"/>
    </w:pPr>
    <w:rPr>
      <w:rFonts w:ascii="Arial" w:eastAsiaTheme="minorHAnsi" w:hAnsi="Arial" w:cs="Arial"/>
      <w:b/>
      <w:color w:val="482D8C"/>
      <w:sz w:val="44"/>
      <w:szCs w:val="44"/>
    </w:rPr>
  </w:style>
  <w:style w:type="paragraph" w:customStyle="1" w:styleId="11-PACT">
    <w:name w:val="1.1 - PACT"/>
    <w:basedOn w:val="Normal"/>
    <w:qFormat/>
    <w:rsid w:val="00F56ED2"/>
    <w:pPr>
      <w:numPr>
        <w:ilvl w:val="2"/>
        <w:numId w:val="19"/>
      </w:numPr>
      <w:spacing w:before="240" w:after="120" w:line="240" w:lineRule="auto"/>
      <w:jc w:val="both"/>
      <w:outlineLvl w:val="3"/>
    </w:pPr>
    <w:rPr>
      <w:rFonts w:ascii="Arial" w:eastAsiaTheme="minorHAnsi" w:hAnsi="Arial" w:cs="Arial"/>
      <w:color w:val="482D8C"/>
      <w:sz w:val="32"/>
      <w:szCs w:val="32"/>
    </w:rPr>
  </w:style>
  <w:style w:type="character" w:customStyle="1" w:styleId="111-PACTChar">
    <w:name w:val="1.1.1. - PACT Char"/>
    <w:basedOn w:val="DefaultParagraphFont"/>
    <w:link w:val="111-PACT"/>
    <w:locked/>
    <w:rsid w:val="00F56ED2"/>
    <w:rPr>
      <w:rFonts w:ascii="Calibri" w:hAnsi="Calibri" w:cs="Calibri"/>
    </w:rPr>
  </w:style>
  <w:style w:type="paragraph" w:customStyle="1" w:styleId="111-PACT">
    <w:name w:val="1.1.1. - PACT"/>
    <w:basedOn w:val="Normal"/>
    <w:link w:val="111-PACTChar"/>
    <w:qFormat/>
    <w:rsid w:val="00F56ED2"/>
    <w:pPr>
      <w:numPr>
        <w:ilvl w:val="3"/>
        <w:numId w:val="19"/>
      </w:numPr>
      <w:spacing w:before="120" w:after="120" w:line="240" w:lineRule="auto"/>
      <w:jc w:val="both"/>
      <w:outlineLvl w:val="3"/>
    </w:pPr>
    <w:rPr>
      <w:rFonts w:eastAsiaTheme="minorHAnsi" w:cs="Calibri"/>
      <w:szCs w:val="22"/>
    </w:rPr>
  </w:style>
  <w:style w:type="paragraph" w:customStyle="1" w:styleId="i-PACT">
    <w:name w:val="i. - PACT"/>
    <w:basedOn w:val="Normal"/>
    <w:qFormat/>
    <w:rsid w:val="00F56ED2"/>
    <w:pPr>
      <w:numPr>
        <w:ilvl w:val="5"/>
        <w:numId w:val="19"/>
      </w:numPr>
      <w:spacing w:before="0" w:after="120" w:line="240" w:lineRule="auto"/>
      <w:jc w:val="both"/>
      <w:outlineLvl w:val="5"/>
    </w:pPr>
    <w:rPr>
      <w:rFonts w:eastAsia="Calibri"/>
      <w:szCs w:val="22"/>
    </w:rPr>
  </w:style>
  <w:style w:type="paragraph" w:customStyle="1" w:styleId="Schedule1PACT">
    <w:name w:val="Schedule 1. PACT"/>
    <w:basedOn w:val="Normal"/>
    <w:qFormat/>
    <w:rsid w:val="00F56ED2"/>
    <w:pPr>
      <w:pageBreakBefore/>
      <w:numPr>
        <w:numId w:val="19"/>
      </w:numPr>
      <w:spacing w:before="240" w:after="120" w:line="240" w:lineRule="auto"/>
      <w:outlineLvl w:val="3"/>
    </w:pPr>
    <w:rPr>
      <w:rFonts w:asciiTheme="majorHAnsi" w:eastAsiaTheme="minorHAnsi" w:hAnsiTheme="majorHAnsi" w:cstheme="majorHAnsi"/>
      <w:b/>
      <w:color w:val="482D8C"/>
      <w:sz w:val="44"/>
      <w:szCs w:val="44"/>
    </w:rPr>
  </w:style>
  <w:style w:type="paragraph" w:customStyle="1" w:styleId="a-PACT">
    <w:name w:val="(a) - PACT"/>
    <w:basedOn w:val="i-PACT"/>
    <w:link w:val="a-PACTChar"/>
    <w:qFormat/>
    <w:rsid w:val="00F56ED2"/>
    <w:pPr>
      <w:numPr>
        <w:ilvl w:val="4"/>
      </w:numPr>
      <w:outlineLvl w:val="4"/>
    </w:pPr>
  </w:style>
  <w:style w:type="character" w:customStyle="1" w:styleId="a-PACTChar">
    <w:name w:val="(a) - PACT Char"/>
    <w:basedOn w:val="DefaultParagraphFont"/>
    <w:link w:val="a-PACT"/>
    <w:locked/>
    <w:rsid w:val="00F56ED2"/>
    <w:rPr>
      <w:rFonts w:ascii="Calibri" w:eastAsia="Calibri" w:hAnsi="Calibri" w:cs="Times New Roman"/>
    </w:rPr>
  </w:style>
  <w:style w:type="paragraph" w:customStyle="1" w:styleId="RFPparagraph">
    <w:name w:val="RFP paragraph"/>
    <w:basedOn w:val="Heading3"/>
    <w:qFormat/>
    <w:rsid w:val="001221C2"/>
    <w:pPr>
      <w:tabs>
        <w:tab w:val="num" w:pos="1702"/>
      </w:tabs>
      <w:spacing w:beforeLines="100" w:after="0"/>
      <w:ind w:left="1702" w:hanging="851"/>
    </w:pPr>
    <w:rPr>
      <w:rFonts w:ascii="Times New Roman" w:hAnsi="Times New Roman"/>
      <w:bCs/>
    </w:rPr>
  </w:style>
  <w:style w:type="paragraph" w:customStyle="1" w:styleId="TableText0">
    <w:name w:val="Table Text"/>
    <w:basedOn w:val="Normal"/>
    <w:link w:val="TableTextChar0"/>
    <w:rsid w:val="001221C2"/>
    <w:pPr>
      <w:spacing w:before="60" w:after="60" w:line="240" w:lineRule="auto"/>
    </w:pPr>
    <w:rPr>
      <w:rFonts w:ascii="Times New Roman" w:hAnsi="Times New Roman"/>
      <w:sz w:val="24"/>
      <w:szCs w:val="24"/>
    </w:rPr>
  </w:style>
  <w:style w:type="character" w:customStyle="1" w:styleId="TableTextChar0">
    <w:name w:val="Table Text Char"/>
    <w:basedOn w:val="DefaultParagraphFont"/>
    <w:link w:val="TableText0"/>
    <w:locked/>
    <w:rsid w:val="001221C2"/>
    <w:rPr>
      <w:rFonts w:ascii="Times New Roman" w:eastAsia="Times New Roman" w:hAnsi="Times New Roman" w:cs="Times New Roman"/>
      <w:sz w:val="24"/>
      <w:szCs w:val="24"/>
    </w:rPr>
  </w:style>
  <w:style w:type="paragraph" w:customStyle="1" w:styleId="Criteria">
    <w:name w:val="Criteria"/>
    <w:basedOn w:val="RFPparagraph"/>
    <w:rsid w:val="001221C2"/>
    <w:pPr>
      <w:tabs>
        <w:tab w:val="clear" w:pos="1702"/>
      </w:tabs>
      <w:ind w:left="0" w:firstLine="0"/>
    </w:pPr>
  </w:style>
  <w:style w:type="paragraph" w:styleId="List">
    <w:name w:val="List"/>
    <w:basedOn w:val="Normal"/>
    <w:rsid w:val="001221C2"/>
    <w:pPr>
      <w:numPr>
        <w:numId w:val="18"/>
      </w:numPr>
      <w:spacing w:beforeLines="50" w:before="0" w:after="0" w:line="240" w:lineRule="auto"/>
      <w:ind w:right="612"/>
    </w:pPr>
    <w:rPr>
      <w:rFonts w:ascii="Times New Roman" w:hAnsi="Times New Roman"/>
      <w:sz w:val="24"/>
    </w:rPr>
  </w:style>
  <w:style w:type="paragraph" w:styleId="NoSpacing">
    <w:name w:val="No Spacing"/>
    <w:uiPriority w:val="1"/>
    <w:qFormat/>
    <w:rsid w:val="00623AB4"/>
    <w:pPr>
      <w:spacing w:after="0" w:line="240" w:lineRule="auto"/>
    </w:pPr>
    <w:rPr>
      <w:rFonts w:ascii="Verdana" w:eastAsia="Times New Roman" w:hAnsi="Verdana" w:cs="Times New Roman"/>
      <w:sz w:val="24"/>
    </w:rPr>
  </w:style>
  <w:style w:type="character" w:styleId="CommentReference">
    <w:name w:val="annotation reference"/>
    <w:basedOn w:val="DefaultParagraphFont"/>
    <w:uiPriority w:val="99"/>
    <w:unhideWhenUsed/>
    <w:rsid w:val="00100416"/>
    <w:rPr>
      <w:sz w:val="16"/>
      <w:szCs w:val="16"/>
    </w:rPr>
  </w:style>
  <w:style w:type="paragraph" w:styleId="CommentText">
    <w:name w:val="annotation text"/>
    <w:basedOn w:val="Normal"/>
    <w:link w:val="CommentTextChar"/>
    <w:uiPriority w:val="99"/>
    <w:unhideWhenUsed/>
    <w:rsid w:val="00100416"/>
    <w:pPr>
      <w:spacing w:line="240" w:lineRule="auto"/>
    </w:pPr>
    <w:rPr>
      <w:sz w:val="20"/>
    </w:rPr>
  </w:style>
  <w:style w:type="character" w:customStyle="1" w:styleId="CommentTextChar">
    <w:name w:val="Comment Text Char"/>
    <w:basedOn w:val="DefaultParagraphFont"/>
    <w:link w:val="CommentText"/>
    <w:uiPriority w:val="99"/>
    <w:rsid w:val="0010041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00416"/>
    <w:rPr>
      <w:b/>
      <w:bCs/>
    </w:rPr>
  </w:style>
  <w:style w:type="character" w:customStyle="1" w:styleId="CommentSubjectChar">
    <w:name w:val="Comment Subject Char"/>
    <w:basedOn w:val="CommentTextChar"/>
    <w:link w:val="CommentSubject"/>
    <w:uiPriority w:val="99"/>
    <w:semiHidden/>
    <w:rsid w:val="00100416"/>
    <w:rPr>
      <w:rFonts w:ascii="Calibri" w:eastAsia="Times New Roman" w:hAnsi="Calibri" w:cs="Times New Roman"/>
      <w:b/>
      <w:bCs/>
      <w:sz w:val="20"/>
      <w:szCs w:val="20"/>
    </w:rPr>
  </w:style>
  <w:style w:type="paragraph" w:styleId="Revision">
    <w:name w:val="Revision"/>
    <w:hidden/>
    <w:uiPriority w:val="99"/>
    <w:semiHidden/>
    <w:rsid w:val="003273EB"/>
    <w:pPr>
      <w:spacing w:after="0" w:line="240" w:lineRule="auto"/>
    </w:pPr>
    <w:rPr>
      <w:rFonts w:ascii="Calibri" w:eastAsia="Times New Roman" w:hAnsi="Calibri" w:cs="Times New Roman"/>
      <w:szCs w:val="20"/>
    </w:rPr>
  </w:style>
  <w:style w:type="paragraph" w:styleId="BodyText2">
    <w:name w:val="Body Text 2"/>
    <w:basedOn w:val="Normal"/>
    <w:link w:val="BodyText2Char"/>
    <w:uiPriority w:val="99"/>
    <w:semiHidden/>
    <w:unhideWhenUsed/>
    <w:rsid w:val="003037D0"/>
    <w:pPr>
      <w:spacing w:after="120" w:line="480" w:lineRule="auto"/>
    </w:pPr>
  </w:style>
  <w:style w:type="character" w:customStyle="1" w:styleId="BodyText2Char">
    <w:name w:val="Body Text 2 Char"/>
    <w:basedOn w:val="DefaultParagraphFont"/>
    <w:link w:val="BodyText2"/>
    <w:uiPriority w:val="99"/>
    <w:semiHidden/>
    <w:rsid w:val="003037D0"/>
    <w:rPr>
      <w:rFonts w:ascii="Calibri" w:eastAsia="Times New Roman" w:hAnsi="Calibri" w:cs="Times New Roman"/>
      <w:szCs w:val="20"/>
    </w:rPr>
  </w:style>
  <w:style w:type="paragraph" w:customStyle="1" w:styleId="CS-Paragraphnumbering">
    <w:name w:val="CS - Paragraph numbering"/>
    <w:basedOn w:val="Normal"/>
    <w:rsid w:val="00FE0085"/>
    <w:pPr>
      <w:numPr>
        <w:numId w:val="20"/>
      </w:numPr>
      <w:spacing w:before="0" w:after="120"/>
      <w:ind w:right="-45"/>
    </w:pPr>
    <w:rPr>
      <w:rFonts w:asciiTheme="minorHAnsi" w:eastAsiaTheme="minorHAnsi" w:hAnsiTheme="minorHAnsi" w:cstheme="minorBidi"/>
      <w:sz w:val="24"/>
      <w:szCs w:val="24"/>
    </w:rPr>
  </w:style>
  <w:style w:type="paragraph" w:styleId="TOCHeading">
    <w:name w:val="TOC Heading"/>
    <w:basedOn w:val="Heading1"/>
    <w:next w:val="Normal"/>
    <w:uiPriority w:val="39"/>
    <w:unhideWhenUsed/>
    <w:qFormat/>
    <w:rsid w:val="00687E34"/>
    <w:pPr>
      <w:keepLines/>
      <w:pBdr>
        <w:bottom w:val="none" w:sz="0" w:space="0" w:color="auto"/>
      </w:pBdr>
      <w:tabs>
        <w:tab w:val="clear" w:pos="567"/>
      </w:tabs>
      <w:spacing w:before="240" w:line="259" w:lineRule="auto"/>
      <w:outlineLvl w:val="9"/>
    </w:pPr>
    <w:rPr>
      <w:rFonts w:asciiTheme="majorHAnsi" w:eastAsiaTheme="majorEastAsia" w:hAnsiTheme="majorHAnsi" w:cstheme="majorBidi"/>
      <w:b w:val="0"/>
      <w:color w:val="2E74B5" w:themeColor="accent1" w:themeShade="BF"/>
      <w:kern w:val="0"/>
      <w:szCs w:val="32"/>
      <w:lang w:val="en-US"/>
    </w:rPr>
  </w:style>
  <w:style w:type="paragraph" w:styleId="TOC1">
    <w:name w:val="toc 1"/>
    <w:basedOn w:val="Normal"/>
    <w:next w:val="Normal"/>
    <w:autoRedefine/>
    <w:uiPriority w:val="39"/>
    <w:unhideWhenUsed/>
    <w:rsid w:val="00503A25"/>
    <w:pPr>
      <w:tabs>
        <w:tab w:val="left" w:pos="440"/>
        <w:tab w:val="right" w:leader="dot" w:pos="9629"/>
      </w:tabs>
      <w:spacing w:after="100"/>
    </w:pPr>
  </w:style>
  <w:style w:type="paragraph" w:styleId="TOC2">
    <w:name w:val="toc 2"/>
    <w:basedOn w:val="Normal"/>
    <w:next w:val="Normal"/>
    <w:autoRedefine/>
    <w:uiPriority w:val="39"/>
    <w:unhideWhenUsed/>
    <w:rsid w:val="008D23FB"/>
    <w:pPr>
      <w:tabs>
        <w:tab w:val="right" w:leader="dot" w:pos="9629"/>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030321">
      <w:bodyDiv w:val="1"/>
      <w:marLeft w:val="0"/>
      <w:marRight w:val="0"/>
      <w:marTop w:val="0"/>
      <w:marBottom w:val="0"/>
      <w:divBdr>
        <w:top w:val="none" w:sz="0" w:space="0" w:color="auto"/>
        <w:left w:val="none" w:sz="0" w:space="0" w:color="auto"/>
        <w:bottom w:val="none" w:sz="0" w:space="0" w:color="auto"/>
        <w:right w:val="none" w:sz="0" w:space="0" w:color="auto"/>
      </w:divBdr>
    </w:div>
    <w:div w:id="1117338501">
      <w:bodyDiv w:val="1"/>
      <w:marLeft w:val="0"/>
      <w:marRight w:val="0"/>
      <w:marTop w:val="0"/>
      <w:marBottom w:val="0"/>
      <w:divBdr>
        <w:top w:val="none" w:sz="0" w:space="0" w:color="auto"/>
        <w:left w:val="none" w:sz="0" w:space="0" w:color="auto"/>
        <w:bottom w:val="none" w:sz="0" w:space="0" w:color="auto"/>
        <w:right w:val="none" w:sz="0" w:space="0" w:color="auto"/>
      </w:divBdr>
      <w:divsChild>
        <w:div w:id="7879509">
          <w:marLeft w:val="1080"/>
          <w:marRight w:val="0"/>
          <w:marTop w:val="100"/>
          <w:marBottom w:val="0"/>
          <w:divBdr>
            <w:top w:val="none" w:sz="0" w:space="0" w:color="auto"/>
            <w:left w:val="none" w:sz="0" w:space="0" w:color="auto"/>
            <w:bottom w:val="none" w:sz="0" w:space="0" w:color="auto"/>
            <w:right w:val="none" w:sz="0" w:space="0" w:color="auto"/>
          </w:divBdr>
        </w:div>
        <w:div w:id="292835317">
          <w:marLeft w:val="1080"/>
          <w:marRight w:val="0"/>
          <w:marTop w:val="100"/>
          <w:marBottom w:val="0"/>
          <w:divBdr>
            <w:top w:val="none" w:sz="0" w:space="0" w:color="auto"/>
            <w:left w:val="none" w:sz="0" w:space="0" w:color="auto"/>
            <w:bottom w:val="none" w:sz="0" w:space="0" w:color="auto"/>
            <w:right w:val="none" w:sz="0" w:space="0" w:color="auto"/>
          </w:divBdr>
        </w:div>
        <w:div w:id="485825616">
          <w:marLeft w:val="1080"/>
          <w:marRight w:val="0"/>
          <w:marTop w:val="100"/>
          <w:marBottom w:val="0"/>
          <w:divBdr>
            <w:top w:val="none" w:sz="0" w:space="0" w:color="auto"/>
            <w:left w:val="none" w:sz="0" w:space="0" w:color="auto"/>
            <w:bottom w:val="none" w:sz="0" w:space="0" w:color="auto"/>
            <w:right w:val="none" w:sz="0" w:space="0" w:color="auto"/>
          </w:divBdr>
        </w:div>
        <w:div w:id="941230479">
          <w:marLeft w:val="1080"/>
          <w:marRight w:val="0"/>
          <w:marTop w:val="100"/>
          <w:marBottom w:val="0"/>
          <w:divBdr>
            <w:top w:val="none" w:sz="0" w:space="0" w:color="auto"/>
            <w:left w:val="none" w:sz="0" w:space="0" w:color="auto"/>
            <w:bottom w:val="none" w:sz="0" w:space="0" w:color="auto"/>
            <w:right w:val="none" w:sz="0" w:space="0" w:color="auto"/>
          </w:divBdr>
        </w:div>
        <w:div w:id="1506938602">
          <w:marLeft w:val="1080"/>
          <w:marRight w:val="0"/>
          <w:marTop w:val="100"/>
          <w:marBottom w:val="0"/>
          <w:divBdr>
            <w:top w:val="none" w:sz="0" w:space="0" w:color="auto"/>
            <w:left w:val="none" w:sz="0" w:space="0" w:color="auto"/>
            <w:bottom w:val="none" w:sz="0" w:space="0" w:color="auto"/>
            <w:right w:val="none" w:sz="0" w:space="0" w:color="auto"/>
          </w:divBdr>
        </w:div>
        <w:div w:id="1705058551">
          <w:marLeft w:val="1080"/>
          <w:marRight w:val="0"/>
          <w:marTop w:val="100"/>
          <w:marBottom w:val="0"/>
          <w:divBdr>
            <w:top w:val="none" w:sz="0" w:space="0" w:color="auto"/>
            <w:left w:val="none" w:sz="0" w:space="0" w:color="auto"/>
            <w:bottom w:val="none" w:sz="0" w:space="0" w:color="auto"/>
            <w:right w:val="none" w:sz="0" w:space="0" w:color="auto"/>
          </w:divBdr>
        </w:div>
        <w:div w:id="2079666657">
          <w:marLeft w:val="1080"/>
          <w:marRight w:val="0"/>
          <w:marTop w:val="100"/>
          <w:marBottom w:val="0"/>
          <w:divBdr>
            <w:top w:val="none" w:sz="0" w:space="0" w:color="auto"/>
            <w:left w:val="none" w:sz="0" w:space="0" w:color="auto"/>
            <w:bottom w:val="none" w:sz="0" w:space="0" w:color="auto"/>
            <w:right w:val="none" w:sz="0" w:space="0" w:color="auto"/>
          </w:divBdr>
        </w:div>
      </w:divsChild>
    </w:div>
    <w:div w:id="1279295477">
      <w:bodyDiv w:val="1"/>
      <w:marLeft w:val="0"/>
      <w:marRight w:val="0"/>
      <w:marTop w:val="0"/>
      <w:marBottom w:val="0"/>
      <w:divBdr>
        <w:top w:val="none" w:sz="0" w:space="0" w:color="auto"/>
        <w:left w:val="none" w:sz="0" w:space="0" w:color="auto"/>
        <w:bottom w:val="none" w:sz="0" w:space="0" w:color="auto"/>
        <w:right w:val="none" w:sz="0" w:space="0" w:color="auto"/>
      </w:divBdr>
    </w:div>
    <w:div w:id="1713921615">
      <w:bodyDiv w:val="1"/>
      <w:marLeft w:val="0"/>
      <w:marRight w:val="0"/>
      <w:marTop w:val="0"/>
      <w:marBottom w:val="0"/>
      <w:divBdr>
        <w:top w:val="none" w:sz="0" w:space="0" w:color="auto"/>
        <w:left w:val="none" w:sz="0" w:space="0" w:color="auto"/>
        <w:bottom w:val="none" w:sz="0" w:space="0" w:color="auto"/>
        <w:right w:val="none" w:sz="0" w:space="0" w:color="auto"/>
      </w:divBdr>
    </w:div>
    <w:div w:id="1978484046">
      <w:bodyDiv w:val="1"/>
      <w:marLeft w:val="0"/>
      <w:marRight w:val="0"/>
      <w:marTop w:val="0"/>
      <w:marBottom w:val="0"/>
      <w:divBdr>
        <w:top w:val="none" w:sz="0" w:space="0" w:color="auto"/>
        <w:left w:val="none" w:sz="0" w:space="0" w:color="auto"/>
        <w:bottom w:val="none" w:sz="0" w:space="0" w:color="auto"/>
        <w:right w:val="none" w:sz="0" w:space="0" w:color="auto"/>
      </w:divBdr>
    </w:div>
    <w:div w:id="200523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ommunityservices.act.gov.au/commissioning/sectors-in-progress/homelessness-service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2.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3.xml><?xml version="1.0" encoding="utf-8"?>
<ds:datastoreItem xmlns:ds="http://schemas.openxmlformats.org/officeDocument/2006/customXml" ds:itemID="{B08D71D4-E4DA-409D-98DE-F2C5F857E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3186</Words>
  <Characters>18164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Maskell, Alan</dc:creator>
  <cp:keywords/>
  <dc:description/>
  <cp:lastModifiedBy>Russell, Catherine</cp:lastModifiedBy>
  <cp:revision>3</cp:revision>
  <cp:lastPrinted>2019-06-13T01:11:00Z</cp:lastPrinted>
  <dcterms:created xsi:type="dcterms:W3CDTF">2022-12-08T00:29:00Z</dcterms:created>
  <dcterms:modified xsi:type="dcterms:W3CDTF">2022-12-08T01:26:00Z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ies>
</file>